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4FA7" w14:textId="77777777" w:rsidR="00000000" w:rsidRDefault="00000000">
      <w:pPr>
        <w:pStyle w:val="Heading1"/>
        <w:rPr>
          <w:rFonts w:cs="Arial"/>
        </w:rPr>
      </w:pPr>
      <w:bookmarkStart w:id="0" w:name="PRMS_RIName"/>
      <w:r>
        <w:rPr>
          <w:rFonts w:cs="Arial"/>
        </w:rPr>
        <w:t>Bupa Care Services NZ Limited - Erin Park Rest Home &amp; Hospital</w:t>
      </w:r>
      <w:bookmarkEnd w:id="0"/>
    </w:p>
    <w:p w14:paraId="713A736F" w14:textId="77777777" w:rsidR="00000000" w:rsidRDefault="00000000">
      <w:pPr>
        <w:pStyle w:val="Heading2"/>
        <w:spacing w:after="0"/>
        <w:rPr>
          <w:rFonts w:cs="Arial"/>
        </w:rPr>
      </w:pPr>
      <w:r>
        <w:rPr>
          <w:rFonts w:cs="Arial"/>
        </w:rPr>
        <w:t>Introduction</w:t>
      </w:r>
    </w:p>
    <w:p w14:paraId="6A6B6B3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5FE4EE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25561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B64CBA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4E6C0E1" w14:textId="77777777" w:rsidR="00000000" w:rsidRDefault="00000000">
      <w:pPr>
        <w:spacing w:before="240" w:after="240"/>
        <w:rPr>
          <w:rFonts w:cs="Arial"/>
          <w:lang w:eastAsia="en-NZ"/>
        </w:rPr>
      </w:pPr>
      <w:r>
        <w:rPr>
          <w:rFonts w:cs="Arial"/>
          <w:lang w:eastAsia="en-NZ"/>
        </w:rPr>
        <w:t>The specifics of this audit included:</w:t>
      </w:r>
    </w:p>
    <w:p w14:paraId="53825C7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B2139A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54AED8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Erin Park Rest Home &amp; Hospital</w:t>
      </w:r>
      <w:bookmarkEnd w:id="5"/>
    </w:p>
    <w:p w14:paraId="52A9E0E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w:t>
      </w:r>
      <w:r>
        <w:rPr>
          <w:rFonts w:cs="Arial"/>
        </w:rPr>
        <w:t>dementia care); Residential disability services - Physical</w:t>
      </w:r>
      <w:bookmarkEnd w:id="6"/>
    </w:p>
    <w:p w14:paraId="5A2571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June 2025</w:t>
      </w:r>
      <w:bookmarkEnd w:id="7"/>
      <w:r w:rsidRPr="009418D4">
        <w:rPr>
          <w:rFonts w:cs="Arial"/>
        </w:rPr>
        <w:tab/>
        <w:t xml:space="preserve">End date: </w:t>
      </w:r>
      <w:bookmarkStart w:id="8" w:name="AuditEndDate"/>
      <w:r>
        <w:rPr>
          <w:rFonts w:cs="Arial"/>
        </w:rPr>
        <w:t>4 June 2025</w:t>
      </w:r>
      <w:bookmarkEnd w:id="8"/>
    </w:p>
    <w:p w14:paraId="696E107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E7A1618" w14:textId="77777777" w:rsidR="0004740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111</w:t>
      </w:r>
      <w:bookmarkEnd w:id="10"/>
    </w:p>
    <w:p w14:paraId="6CAE7C65"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CE71B2F" w14:textId="77777777" w:rsidR="00000000" w:rsidRDefault="00000000">
      <w:pPr>
        <w:pStyle w:val="Heading1"/>
        <w:rPr>
          <w:rFonts w:cs="Arial"/>
        </w:rPr>
      </w:pPr>
      <w:r>
        <w:rPr>
          <w:rFonts w:cs="Arial"/>
        </w:rPr>
        <w:lastRenderedPageBreak/>
        <w:t>Executive summary of the audit</w:t>
      </w:r>
    </w:p>
    <w:p w14:paraId="490ADAE0" w14:textId="77777777" w:rsidR="00000000" w:rsidRDefault="00000000">
      <w:pPr>
        <w:pStyle w:val="Heading2"/>
        <w:rPr>
          <w:rFonts w:cs="Arial"/>
        </w:rPr>
      </w:pPr>
      <w:r>
        <w:rPr>
          <w:rFonts w:cs="Arial"/>
        </w:rPr>
        <w:t>Introduction</w:t>
      </w:r>
    </w:p>
    <w:p w14:paraId="407BA68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2AF889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318E28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CB61ED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1C91B5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B2B645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AB49E1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20CAD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5B11893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4740E" w14:paraId="6FDF9634" w14:textId="77777777">
        <w:trPr>
          <w:cantSplit/>
          <w:tblHeader/>
        </w:trPr>
        <w:tc>
          <w:tcPr>
            <w:tcW w:w="1260" w:type="dxa"/>
            <w:tcBorders>
              <w:bottom w:val="single" w:sz="4" w:space="0" w:color="000000"/>
            </w:tcBorders>
            <w:vAlign w:val="center"/>
          </w:tcPr>
          <w:p w14:paraId="4AC911C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BB547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3A30410" w14:textId="77777777" w:rsidR="00000000" w:rsidRDefault="00000000">
            <w:pPr>
              <w:spacing w:before="60" w:after="60"/>
              <w:rPr>
                <w:rFonts w:eastAsia="Calibri"/>
                <w:b/>
                <w:szCs w:val="24"/>
              </w:rPr>
            </w:pPr>
            <w:r>
              <w:rPr>
                <w:rFonts w:eastAsia="Calibri"/>
                <w:b/>
                <w:szCs w:val="24"/>
              </w:rPr>
              <w:t>Definition</w:t>
            </w:r>
          </w:p>
        </w:tc>
      </w:tr>
      <w:tr w:rsidR="0004740E" w14:paraId="28FCD4C9" w14:textId="77777777">
        <w:trPr>
          <w:cantSplit/>
          <w:trHeight w:val="964"/>
        </w:trPr>
        <w:tc>
          <w:tcPr>
            <w:tcW w:w="1260" w:type="dxa"/>
            <w:tcBorders>
              <w:bottom w:val="single" w:sz="4" w:space="0" w:color="000000"/>
            </w:tcBorders>
            <w:shd w:val="clear" w:color="0066FF" w:fill="0000FF"/>
            <w:vAlign w:val="center"/>
          </w:tcPr>
          <w:p w14:paraId="6F92322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69B570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066F61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4740E" w14:paraId="143CE4F8" w14:textId="77777777">
        <w:trPr>
          <w:cantSplit/>
          <w:trHeight w:val="964"/>
        </w:trPr>
        <w:tc>
          <w:tcPr>
            <w:tcW w:w="1260" w:type="dxa"/>
            <w:shd w:val="clear" w:color="33CC33" w:fill="00FF00"/>
            <w:vAlign w:val="center"/>
          </w:tcPr>
          <w:p w14:paraId="067BEE7A" w14:textId="77777777" w:rsidR="00000000" w:rsidRDefault="00000000">
            <w:pPr>
              <w:spacing w:before="60" w:after="60"/>
              <w:rPr>
                <w:rFonts w:eastAsia="Calibri"/>
                <w:szCs w:val="24"/>
              </w:rPr>
            </w:pPr>
          </w:p>
        </w:tc>
        <w:tc>
          <w:tcPr>
            <w:tcW w:w="7095" w:type="dxa"/>
            <w:shd w:val="clear" w:color="auto" w:fill="auto"/>
            <w:vAlign w:val="center"/>
          </w:tcPr>
          <w:p w14:paraId="5B786E6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31169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4740E" w14:paraId="0367DDF6" w14:textId="77777777">
        <w:trPr>
          <w:cantSplit/>
          <w:trHeight w:val="964"/>
        </w:trPr>
        <w:tc>
          <w:tcPr>
            <w:tcW w:w="1260" w:type="dxa"/>
            <w:tcBorders>
              <w:bottom w:val="single" w:sz="4" w:space="0" w:color="000000"/>
            </w:tcBorders>
            <w:shd w:val="clear" w:color="auto" w:fill="FFFF00"/>
            <w:vAlign w:val="center"/>
          </w:tcPr>
          <w:p w14:paraId="7F28BB75" w14:textId="77777777" w:rsidR="00000000" w:rsidRDefault="00000000">
            <w:pPr>
              <w:spacing w:before="60" w:after="60"/>
              <w:rPr>
                <w:rFonts w:eastAsia="Calibri"/>
                <w:szCs w:val="24"/>
              </w:rPr>
            </w:pPr>
          </w:p>
        </w:tc>
        <w:tc>
          <w:tcPr>
            <w:tcW w:w="7095" w:type="dxa"/>
            <w:shd w:val="clear" w:color="auto" w:fill="auto"/>
            <w:vAlign w:val="center"/>
          </w:tcPr>
          <w:p w14:paraId="58AC6EA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A1D5C3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4740E" w14:paraId="46F47C0B" w14:textId="77777777">
        <w:trPr>
          <w:cantSplit/>
          <w:trHeight w:val="964"/>
        </w:trPr>
        <w:tc>
          <w:tcPr>
            <w:tcW w:w="1260" w:type="dxa"/>
            <w:tcBorders>
              <w:bottom w:val="single" w:sz="4" w:space="0" w:color="000000"/>
            </w:tcBorders>
            <w:shd w:val="clear" w:color="auto" w:fill="FFC800"/>
            <w:vAlign w:val="center"/>
          </w:tcPr>
          <w:p w14:paraId="42BAE56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6FEB13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3E1C2A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4740E" w14:paraId="27EBBA49" w14:textId="77777777">
        <w:trPr>
          <w:cantSplit/>
          <w:trHeight w:val="964"/>
        </w:trPr>
        <w:tc>
          <w:tcPr>
            <w:tcW w:w="1260" w:type="dxa"/>
            <w:shd w:val="clear" w:color="auto" w:fill="FF0000"/>
            <w:vAlign w:val="center"/>
          </w:tcPr>
          <w:p w14:paraId="2C479EDE" w14:textId="77777777" w:rsidR="00000000" w:rsidRDefault="00000000">
            <w:pPr>
              <w:spacing w:before="60" w:after="60"/>
              <w:rPr>
                <w:rFonts w:eastAsia="Calibri"/>
                <w:szCs w:val="24"/>
              </w:rPr>
            </w:pPr>
          </w:p>
        </w:tc>
        <w:tc>
          <w:tcPr>
            <w:tcW w:w="7095" w:type="dxa"/>
            <w:shd w:val="clear" w:color="auto" w:fill="auto"/>
            <w:vAlign w:val="center"/>
          </w:tcPr>
          <w:p w14:paraId="52A6819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8C5662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9564223" w14:textId="77777777" w:rsidR="00000000" w:rsidRDefault="00000000">
      <w:pPr>
        <w:pStyle w:val="Heading2"/>
        <w:spacing w:after="0"/>
        <w:rPr>
          <w:rFonts w:cs="Arial"/>
        </w:rPr>
      </w:pPr>
      <w:r>
        <w:rPr>
          <w:rFonts w:cs="Arial"/>
        </w:rPr>
        <w:t>General overview of the audit</w:t>
      </w:r>
    </w:p>
    <w:p w14:paraId="1D33F45C" w14:textId="77777777" w:rsidR="00000000" w:rsidRDefault="00000000">
      <w:pPr>
        <w:spacing w:before="240" w:line="276" w:lineRule="auto"/>
        <w:rPr>
          <w:rFonts w:eastAsia="Calibri"/>
        </w:rPr>
      </w:pPr>
      <w:bookmarkStart w:id="13" w:name="GeneralOverview"/>
      <w:r w:rsidRPr="00A4268A">
        <w:rPr>
          <w:rFonts w:eastAsia="Calibri"/>
        </w:rPr>
        <w:t xml:space="preserve">Erin Park Rest Home &amp; Hospital is a Bupa facility and provides hospital (geriatric and medical), rest home, intellectual, and physical disability services for up to 114 residents. There were 111 residents at the time of the audit. </w:t>
      </w:r>
    </w:p>
    <w:p w14:paraId="6D323760" w14:textId="77777777" w:rsidR="0004740E"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and staff. The general practitioner and nurse practitioner were not available for interview at the time of audit. </w:t>
      </w:r>
    </w:p>
    <w:p w14:paraId="3A83426E" w14:textId="77777777" w:rsidR="0004740E" w:rsidRPr="00A4268A" w:rsidRDefault="00000000">
      <w:pPr>
        <w:spacing w:before="240" w:line="276" w:lineRule="auto"/>
        <w:rPr>
          <w:rFonts w:eastAsia="Calibri"/>
        </w:rPr>
      </w:pPr>
      <w:r w:rsidRPr="00A4268A">
        <w:rPr>
          <w:rFonts w:eastAsia="Calibri"/>
        </w:rPr>
        <w:t>The general manager is supported by a clinical manager, business coordinator, two unit-coordinators and an experienced care team.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589846CF" w14:textId="77777777" w:rsidR="0004740E" w:rsidRPr="00A4268A" w:rsidRDefault="00000000">
      <w:pPr>
        <w:spacing w:before="240" w:line="276" w:lineRule="auto"/>
        <w:rPr>
          <w:rFonts w:eastAsia="Calibri"/>
        </w:rPr>
      </w:pPr>
      <w:r w:rsidRPr="00A4268A">
        <w:rPr>
          <w:rFonts w:eastAsia="Calibri"/>
        </w:rPr>
        <w:t>This audit identified no shortfalls.</w:t>
      </w:r>
    </w:p>
    <w:bookmarkEnd w:id="13"/>
    <w:p w14:paraId="64E14CA9" w14:textId="77777777" w:rsidR="0004740E" w:rsidRPr="00A4268A" w:rsidRDefault="0004740E">
      <w:pPr>
        <w:spacing w:before="240" w:line="276" w:lineRule="auto"/>
        <w:rPr>
          <w:rFonts w:eastAsia="Calibri"/>
        </w:rPr>
      </w:pPr>
    </w:p>
    <w:p w14:paraId="3246EAF4"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40E" w14:paraId="2B35ED74" w14:textId="77777777" w:rsidTr="00A4268A">
        <w:trPr>
          <w:cantSplit/>
        </w:trPr>
        <w:tc>
          <w:tcPr>
            <w:tcW w:w="10206" w:type="dxa"/>
            <w:vAlign w:val="center"/>
          </w:tcPr>
          <w:p w14:paraId="65B05A4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983FBC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75F050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35050B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EE3349C"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a Māori worldview of health and provide high-quality and effective services for residents. A Pacific health plan is also in place.</w:t>
      </w:r>
    </w:p>
    <w:p w14:paraId="7D662AB9" w14:textId="77777777" w:rsidR="0004740E" w:rsidRPr="00A4268A" w:rsidRDefault="00000000">
      <w:pPr>
        <w:spacing w:before="240" w:line="276" w:lineRule="auto"/>
        <w:rPr>
          <w:rFonts w:eastAsia="Calibri"/>
        </w:rPr>
      </w:pPr>
      <w:r w:rsidRPr="00A4268A">
        <w:rPr>
          <w:rFonts w:eastAsia="Calibri"/>
        </w:rPr>
        <w:t xml:space="preserve">Residents are informed of their rights and services are provided in a manner that upholds their rights and maintains their dignity and independence. The management and staff listen and respect the voices of the residents and effectively communicate with them about their choices. Care plans accommodate the choices of residents. </w:t>
      </w:r>
    </w:p>
    <w:p w14:paraId="5381E42E" w14:textId="77777777" w:rsidR="0004740E"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391BA4FC" w14:textId="77777777" w:rsidR="0004740E" w:rsidRPr="00A4268A" w:rsidRDefault="0004740E">
      <w:pPr>
        <w:spacing w:before="240" w:line="276" w:lineRule="auto"/>
        <w:rPr>
          <w:rFonts w:eastAsia="Calibri"/>
        </w:rPr>
      </w:pPr>
    </w:p>
    <w:p w14:paraId="74951D1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40E" w14:paraId="64E2E26A" w14:textId="77777777" w:rsidTr="00A4268A">
        <w:trPr>
          <w:cantSplit/>
        </w:trPr>
        <w:tc>
          <w:tcPr>
            <w:tcW w:w="10206" w:type="dxa"/>
            <w:vAlign w:val="center"/>
          </w:tcPr>
          <w:p w14:paraId="178977B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FC1525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67F837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F14DE36"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quality and risk management systems in place that take a risk-based approach, and these systems meet the needs of residents and their staff. Quality improvement projects are implemented. Internal audits, and meetings were documented as taking place as scheduled.</w:t>
      </w:r>
    </w:p>
    <w:p w14:paraId="0E9DB86E" w14:textId="77777777" w:rsidR="0004740E" w:rsidRPr="00A4268A" w:rsidRDefault="00000000">
      <w:pPr>
        <w:spacing w:before="240" w:line="276" w:lineRule="auto"/>
        <w:rPr>
          <w:rFonts w:eastAsia="Calibri"/>
        </w:rPr>
      </w:pPr>
      <w:r w:rsidRPr="00A4268A">
        <w:rPr>
          <w:rFonts w:eastAsia="Calibri"/>
        </w:rPr>
        <w:t xml:space="preserve">There is a staffing and rostering policy. The service has an orientation programme in place that provides new staff with relevant information for safe work practice. There is an in-service education/training programme covering relevant aspects of care and </w:t>
      </w:r>
      <w:r w:rsidRPr="00A4268A">
        <w:rPr>
          <w:rFonts w:eastAsia="Calibri"/>
        </w:rPr>
        <w:lastRenderedPageBreak/>
        <w:t>support and external training is supported. The organisational staffing policy aligns with contractual requirements and includes skill mixes. Residents and families/whānau reported that staffing levels are adequate to meet the needs of the residents.</w:t>
      </w:r>
    </w:p>
    <w:bookmarkEnd w:id="19"/>
    <w:p w14:paraId="53B8FC59" w14:textId="77777777" w:rsidR="0004740E" w:rsidRPr="00A4268A" w:rsidRDefault="0004740E">
      <w:pPr>
        <w:spacing w:before="240" w:line="276" w:lineRule="auto"/>
        <w:rPr>
          <w:rFonts w:eastAsia="Calibri"/>
        </w:rPr>
      </w:pPr>
    </w:p>
    <w:p w14:paraId="7AB5B87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40E" w14:paraId="5265D36E" w14:textId="77777777" w:rsidTr="00A4268A">
        <w:trPr>
          <w:cantSplit/>
        </w:trPr>
        <w:tc>
          <w:tcPr>
            <w:tcW w:w="10206" w:type="dxa"/>
            <w:vAlign w:val="center"/>
          </w:tcPr>
          <w:p w14:paraId="2873DBF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FCB82D9"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67CE6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76CFB8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or nurse practitioner. The kitchen staff cater to individual cultural and dietary requirements. The service has a current food control plan. All residents’ transfers and referrals are coordinated with residents and families/whānau.</w:t>
      </w:r>
    </w:p>
    <w:bookmarkEnd w:id="22"/>
    <w:p w14:paraId="1AFA3858" w14:textId="77777777" w:rsidR="0004740E" w:rsidRPr="00A4268A" w:rsidRDefault="0004740E" w:rsidP="00621629">
      <w:pPr>
        <w:spacing w:before="240" w:line="276" w:lineRule="auto"/>
        <w:rPr>
          <w:rFonts w:eastAsia="Calibri"/>
        </w:rPr>
      </w:pPr>
    </w:p>
    <w:p w14:paraId="0C505AB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40E" w14:paraId="18FE9CA5" w14:textId="77777777" w:rsidTr="00A4268A">
        <w:trPr>
          <w:cantSplit/>
        </w:trPr>
        <w:tc>
          <w:tcPr>
            <w:tcW w:w="10206" w:type="dxa"/>
            <w:vAlign w:val="center"/>
          </w:tcPr>
          <w:p w14:paraId="01B400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176DFC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874196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ACC29E6"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05705318" w14:textId="77777777" w:rsidR="0004740E" w:rsidRPr="00A4268A" w:rsidRDefault="0004740E">
      <w:pPr>
        <w:spacing w:before="240" w:line="276" w:lineRule="auto"/>
        <w:rPr>
          <w:rFonts w:eastAsia="Calibri"/>
        </w:rPr>
      </w:pPr>
    </w:p>
    <w:p w14:paraId="413080F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40E" w14:paraId="4A19245C" w14:textId="77777777" w:rsidTr="00A4268A">
        <w:trPr>
          <w:cantSplit/>
        </w:trPr>
        <w:tc>
          <w:tcPr>
            <w:tcW w:w="10206" w:type="dxa"/>
            <w:vAlign w:val="center"/>
          </w:tcPr>
          <w:p w14:paraId="7CD0FF0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D5050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2E30F7"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194B2D7"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implemented and meets the needs of the organisation and provides information and resources to inform the service providers. The infection control programme is reviewed regularly. </w:t>
      </w:r>
    </w:p>
    <w:p w14:paraId="009DBEA5" w14:textId="77777777" w:rsidR="0004740E" w:rsidRPr="00A4268A" w:rsidRDefault="00000000">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 Standardised definitions are used for the identification and classification of infection events. Results of surveillance are acted upon, evaluated, and reported on. Two outbreaks of infection in 2024 were effectively managed.</w:t>
      </w:r>
    </w:p>
    <w:bookmarkEnd w:id="28"/>
    <w:p w14:paraId="3EA77FEE" w14:textId="77777777" w:rsidR="0004740E" w:rsidRPr="00A4268A" w:rsidRDefault="0004740E">
      <w:pPr>
        <w:spacing w:before="240" w:line="276" w:lineRule="auto"/>
        <w:rPr>
          <w:rFonts w:eastAsia="Calibri"/>
        </w:rPr>
      </w:pPr>
    </w:p>
    <w:p w14:paraId="3AE3ABF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4740E" w14:paraId="282FF777" w14:textId="77777777" w:rsidTr="00A4268A">
        <w:trPr>
          <w:cantSplit/>
        </w:trPr>
        <w:tc>
          <w:tcPr>
            <w:tcW w:w="10206" w:type="dxa"/>
            <w:vAlign w:val="center"/>
          </w:tcPr>
          <w:p w14:paraId="4B484A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F4F32C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C5B5DF3"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3354EF2"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unit coordinator (registered nurse). The facility had one resident using restraint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3F227507" w14:textId="77777777" w:rsidR="0004740E" w:rsidRPr="00A4268A" w:rsidRDefault="0004740E">
      <w:pPr>
        <w:spacing w:before="240" w:line="276" w:lineRule="auto"/>
        <w:rPr>
          <w:rFonts w:eastAsia="Calibri"/>
        </w:rPr>
      </w:pPr>
    </w:p>
    <w:p w14:paraId="27F06297" w14:textId="77777777" w:rsidR="00000000" w:rsidRDefault="00000000" w:rsidP="000E6E02">
      <w:pPr>
        <w:pStyle w:val="Heading2"/>
        <w:spacing w:before="0"/>
        <w:rPr>
          <w:rFonts w:cs="Arial"/>
        </w:rPr>
      </w:pPr>
      <w:r>
        <w:rPr>
          <w:rFonts w:cs="Arial"/>
        </w:rPr>
        <w:t>Summary of attainment</w:t>
      </w:r>
    </w:p>
    <w:p w14:paraId="4C02F48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4740E" w14:paraId="40A21071" w14:textId="77777777">
        <w:tc>
          <w:tcPr>
            <w:tcW w:w="1384" w:type="dxa"/>
            <w:vAlign w:val="center"/>
          </w:tcPr>
          <w:p w14:paraId="286C99D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55C389" w14:textId="77777777" w:rsidR="00000000" w:rsidRDefault="00000000">
            <w:pPr>
              <w:keepNext/>
              <w:spacing w:before="60" w:after="60"/>
              <w:jc w:val="center"/>
              <w:rPr>
                <w:rFonts w:cs="Arial"/>
                <w:b/>
                <w:sz w:val="20"/>
                <w:szCs w:val="20"/>
              </w:rPr>
            </w:pPr>
            <w:r>
              <w:rPr>
                <w:rFonts w:cs="Arial"/>
                <w:b/>
                <w:sz w:val="20"/>
                <w:szCs w:val="20"/>
              </w:rPr>
              <w:t>Continuous Improvement</w:t>
            </w:r>
          </w:p>
          <w:p w14:paraId="1A3B4C1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FE2E8B7" w14:textId="77777777" w:rsidR="00000000" w:rsidRDefault="00000000">
            <w:pPr>
              <w:keepNext/>
              <w:spacing w:before="60" w:after="60"/>
              <w:jc w:val="center"/>
              <w:rPr>
                <w:rFonts w:cs="Arial"/>
                <w:b/>
                <w:sz w:val="20"/>
                <w:szCs w:val="20"/>
              </w:rPr>
            </w:pPr>
            <w:r>
              <w:rPr>
                <w:rFonts w:cs="Arial"/>
                <w:b/>
                <w:sz w:val="20"/>
                <w:szCs w:val="20"/>
              </w:rPr>
              <w:t>Fully Attained</w:t>
            </w:r>
          </w:p>
          <w:p w14:paraId="6F06B6E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FA4AB7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B51E5F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FEF2AF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54F119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56327A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7F5CC7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BB11EE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4FAAC6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FB4BF4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41A50FF" w14:textId="77777777" w:rsidR="00000000" w:rsidRDefault="00000000">
            <w:pPr>
              <w:keepNext/>
              <w:spacing w:before="60" w:after="60"/>
              <w:jc w:val="center"/>
              <w:rPr>
                <w:rFonts w:cs="Arial"/>
                <w:b/>
                <w:sz w:val="20"/>
                <w:szCs w:val="20"/>
              </w:rPr>
            </w:pPr>
            <w:r>
              <w:rPr>
                <w:rFonts w:cs="Arial"/>
                <w:b/>
                <w:sz w:val="20"/>
                <w:szCs w:val="20"/>
              </w:rPr>
              <w:t>(PA Critical)</w:t>
            </w:r>
          </w:p>
        </w:tc>
      </w:tr>
      <w:tr w:rsidR="0004740E" w14:paraId="783289E0" w14:textId="77777777">
        <w:tc>
          <w:tcPr>
            <w:tcW w:w="1384" w:type="dxa"/>
            <w:vAlign w:val="center"/>
          </w:tcPr>
          <w:p w14:paraId="245D95A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5439A1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D7A229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18DDF5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BDB00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A1792F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56E59C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576589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4740E" w14:paraId="38A2D8B6" w14:textId="77777777">
        <w:tc>
          <w:tcPr>
            <w:tcW w:w="1384" w:type="dxa"/>
            <w:vAlign w:val="center"/>
          </w:tcPr>
          <w:p w14:paraId="45E0467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7FC393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22CDC9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E1730E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BBA93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C569B2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18A5B7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E4B93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60948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4740E" w14:paraId="74EE9150" w14:textId="77777777">
        <w:tc>
          <w:tcPr>
            <w:tcW w:w="1384" w:type="dxa"/>
            <w:vAlign w:val="center"/>
          </w:tcPr>
          <w:p w14:paraId="462E29A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FFB64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400320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68D3DE6" w14:textId="77777777" w:rsidR="00000000" w:rsidRDefault="00000000">
            <w:pPr>
              <w:keepNext/>
              <w:spacing w:before="60" w:after="60"/>
              <w:jc w:val="center"/>
              <w:rPr>
                <w:rFonts w:cs="Arial"/>
                <w:b/>
                <w:sz w:val="20"/>
                <w:szCs w:val="20"/>
              </w:rPr>
            </w:pPr>
            <w:r>
              <w:rPr>
                <w:rFonts w:cs="Arial"/>
                <w:b/>
                <w:sz w:val="20"/>
                <w:szCs w:val="20"/>
              </w:rPr>
              <w:t>Unattained Low Risk</w:t>
            </w:r>
          </w:p>
          <w:p w14:paraId="738C48D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D43BD8" w14:textId="77777777" w:rsidR="00000000" w:rsidRDefault="00000000">
            <w:pPr>
              <w:keepNext/>
              <w:spacing w:before="60" w:after="60"/>
              <w:jc w:val="center"/>
              <w:rPr>
                <w:rFonts w:cs="Arial"/>
                <w:b/>
                <w:sz w:val="20"/>
                <w:szCs w:val="20"/>
              </w:rPr>
            </w:pPr>
            <w:r>
              <w:rPr>
                <w:rFonts w:cs="Arial"/>
                <w:b/>
                <w:sz w:val="20"/>
                <w:szCs w:val="20"/>
              </w:rPr>
              <w:t>Unattained Moderate Risk</w:t>
            </w:r>
          </w:p>
          <w:p w14:paraId="5408CD8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0C1516A" w14:textId="77777777" w:rsidR="00000000" w:rsidRDefault="00000000">
            <w:pPr>
              <w:keepNext/>
              <w:spacing w:before="60" w:after="60"/>
              <w:jc w:val="center"/>
              <w:rPr>
                <w:rFonts w:cs="Arial"/>
                <w:b/>
                <w:sz w:val="20"/>
                <w:szCs w:val="20"/>
              </w:rPr>
            </w:pPr>
            <w:r>
              <w:rPr>
                <w:rFonts w:cs="Arial"/>
                <w:b/>
                <w:sz w:val="20"/>
                <w:szCs w:val="20"/>
              </w:rPr>
              <w:t>Unattained High Risk</w:t>
            </w:r>
          </w:p>
          <w:p w14:paraId="435D312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932FFA0" w14:textId="77777777" w:rsidR="00000000" w:rsidRDefault="00000000">
            <w:pPr>
              <w:keepNext/>
              <w:spacing w:before="60" w:after="60"/>
              <w:jc w:val="center"/>
              <w:rPr>
                <w:rFonts w:cs="Arial"/>
                <w:b/>
                <w:sz w:val="20"/>
                <w:szCs w:val="20"/>
              </w:rPr>
            </w:pPr>
            <w:r>
              <w:rPr>
                <w:rFonts w:cs="Arial"/>
                <w:b/>
                <w:sz w:val="20"/>
                <w:szCs w:val="20"/>
              </w:rPr>
              <w:t>Unattained Critical Risk</w:t>
            </w:r>
          </w:p>
          <w:p w14:paraId="64859D40" w14:textId="77777777" w:rsidR="00000000" w:rsidRDefault="00000000">
            <w:pPr>
              <w:keepNext/>
              <w:spacing w:before="60" w:after="60"/>
              <w:jc w:val="center"/>
              <w:rPr>
                <w:rFonts w:cs="Arial"/>
                <w:b/>
                <w:sz w:val="20"/>
                <w:szCs w:val="20"/>
              </w:rPr>
            </w:pPr>
            <w:r>
              <w:rPr>
                <w:rFonts w:cs="Arial"/>
                <w:b/>
                <w:sz w:val="20"/>
                <w:szCs w:val="20"/>
              </w:rPr>
              <w:t>(UA Critical)</w:t>
            </w:r>
          </w:p>
        </w:tc>
      </w:tr>
      <w:tr w:rsidR="0004740E" w14:paraId="2F4987D3" w14:textId="77777777">
        <w:tc>
          <w:tcPr>
            <w:tcW w:w="1384" w:type="dxa"/>
            <w:vAlign w:val="center"/>
          </w:tcPr>
          <w:p w14:paraId="7F49ADE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8A29E0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195B4F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74CE8B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C894F3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AFA49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4740E" w14:paraId="2A54726C" w14:textId="77777777">
        <w:tc>
          <w:tcPr>
            <w:tcW w:w="1384" w:type="dxa"/>
            <w:vAlign w:val="center"/>
          </w:tcPr>
          <w:p w14:paraId="32EC7D2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588F57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23CA81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099BD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7ABD83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692019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B66E48"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5B179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49C74C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13945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04740E" w14:paraId="5B04FFA0" w14:textId="77777777">
        <w:tc>
          <w:tcPr>
            <w:tcW w:w="0" w:type="auto"/>
          </w:tcPr>
          <w:p w14:paraId="6D3F0E9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71FB79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D2AB5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4740E" w14:paraId="48ED01EC" w14:textId="77777777">
        <w:tc>
          <w:tcPr>
            <w:tcW w:w="0" w:type="auto"/>
          </w:tcPr>
          <w:p w14:paraId="69CF8C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A3E4EE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366F4FA" w14:textId="77777777" w:rsidR="00000000" w:rsidRPr="00BE00C7" w:rsidRDefault="00000000" w:rsidP="00BE00C7">
            <w:pPr>
              <w:pStyle w:val="OutcomeDescription"/>
              <w:spacing w:before="120" w:after="120"/>
              <w:rPr>
                <w:rFonts w:cs="Arial"/>
                <w:lang w:eastAsia="en-NZ"/>
              </w:rPr>
            </w:pPr>
          </w:p>
        </w:tc>
        <w:tc>
          <w:tcPr>
            <w:tcW w:w="0" w:type="auto"/>
          </w:tcPr>
          <w:p w14:paraId="3FD0DF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1F0D6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residents and staff who identify as Māori. Staff interviewed (three registered nurses (including two unit -coordinators), one enrolled nurse, a clinical manager, business coordinator, three caregivers, one kitchen manager, one physiotherapist and one cleaner) described their commitment to supporting Māori residents and their whānau by identifying what is important to them. Residents are supported to have their individual values and beliefs identified and are enabled in decision-making that supports their health and wellbeing. Care plans based on Te Whare Tapa Whā are developed and implemented for residents who identify as Māori.</w:t>
            </w:r>
          </w:p>
          <w:p w14:paraId="01522F4B" w14:textId="77777777" w:rsidR="00000000" w:rsidRPr="00BE00C7" w:rsidRDefault="00000000" w:rsidP="00BE00C7">
            <w:pPr>
              <w:pStyle w:val="OutcomeDescription"/>
              <w:spacing w:before="120" w:after="120"/>
              <w:rPr>
                <w:rFonts w:cs="Arial"/>
                <w:lang w:eastAsia="en-NZ"/>
              </w:rPr>
            </w:pPr>
          </w:p>
        </w:tc>
      </w:tr>
      <w:tr w:rsidR="0004740E" w14:paraId="32B038FC" w14:textId="77777777">
        <w:tc>
          <w:tcPr>
            <w:tcW w:w="0" w:type="auto"/>
          </w:tcPr>
          <w:p w14:paraId="476FA4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1192C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5DC21D8F" w14:textId="77777777" w:rsidR="00000000" w:rsidRPr="00BE00C7" w:rsidRDefault="00000000" w:rsidP="00BE00C7">
            <w:pPr>
              <w:pStyle w:val="OutcomeDescription"/>
              <w:spacing w:before="120" w:after="120"/>
              <w:rPr>
                <w:rFonts w:cs="Arial"/>
                <w:lang w:eastAsia="en-NZ"/>
              </w:rPr>
            </w:pPr>
          </w:p>
        </w:tc>
        <w:tc>
          <w:tcPr>
            <w:tcW w:w="0" w:type="auto"/>
          </w:tcPr>
          <w:p w14:paraId="7AF4E0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47EC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During the admission process, the resident’s whānau are encouraged to be present to assist with identification of all needs including cultural beliefs. Cultural awareness training includes the Fonofale Pacific health model. There are residents and staff at Bupa Erin Park who identify as Pasifika. </w:t>
            </w:r>
          </w:p>
          <w:p w14:paraId="254A6923" w14:textId="77777777" w:rsidR="00000000" w:rsidRPr="00BE00C7" w:rsidRDefault="00000000" w:rsidP="00BE00C7">
            <w:pPr>
              <w:pStyle w:val="OutcomeDescription"/>
              <w:spacing w:before="120" w:after="120"/>
              <w:rPr>
                <w:rFonts w:cs="Arial"/>
                <w:lang w:eastAsia="en-NZ"/>
              </w:rPr>
            </w:pPr>
          </w:p>
        </w:tc>
      </w:tr>
      <w:tr w:rsidR="0004740E" w14:paraId="07A7D7C0" w14:textId="77777777">
        <w:tc>
          <w:tcPr>
            <w:tcW w:w="0" w:type="auto"/>
          </w:tcPr>
          <w:p w14:paraId="2D86EA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BD17C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E904302" w14:textId="77777777" w:rsidR="00000000" w:rsidRPr="00BE00C7" w:rsidRDefault="00000000" w:rsidP="00BE00C7">
            <w:pPr>
              <w:pStyle w:val="OutcomeDescription"/>
              <w:spacing w:before="120" w:after="120"/>
              <w:rPr>
                <w:rFonts w:cs="Arial"/>
                <w:lang w:eastAsia="en-NZ"/>
              </w:rPr>
            </w:pPr>
          </w:p>
        </w:tc>
        <w:tc>
          <w:tcPr>
            <w:tcW w:w="0" w:type="auto"/>
          </w:tcPr>
          <w:p w14:paraId="1F6760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F482C"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policies and procedures align with the requirements of the Health and Disability Commissioner’s (HDC) Code of Health and Disability Services Consumers’ Rights (the Code). Information related to the Code is made available to residents and their families/whānau. The Code is displayed in multiple locations in English and te reo Māori. The care home manager, clinical manager or unit coordinators discuss aspects of the Code with residents (where appropriate) and their family/whānau on admission. Seven residents (including five rest home level, one hospital level and one younger resident with a disability) and three family/whānau (one rest home level and two hospital level) confirmed they are aware of their rights.</w:t>
            </w:r>
          </w:p>
          <w:p w14:paraId="1FE0A1B1" w14:textId="77777777" w:rsidR="00000000" w:rsidRPr="00BE00C7" w:rsidRDefault="00000000" w:rsidP="00BE00C7">
            <w:pPr>
              <w:pStyle w:val="OutcomeDescription"/>
              <w:spacing w:before="120" w:after="120"/>
              <w:rPr>
                <w:rFonts w:cs="Arial"/>
                <w:lang w:eastAsia="en-NZ"/>
              </w:rPr>
            </w:pPr>
          </w:p>
        </w:tc>
      </w:tr>
      <w:tr w:rsidR="0004740E" w14:paraId="4496969F" w14:textId="77777777">
        <w:tc>
          <w:tcPr>
            <w:tcW w:w="0" w:type="auto"/>
          </w:tcPr>
          <w:p w14:paraId="4D0C89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4F2FA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6E1EB5" w14:textId="77777777" w:rsidR="00000000" w:rsidRPr="00BE00C7" w:rsidRDefault="00000000" w:rsidP="00BE00C7">
            <w:pPr>
              <w:pStyle w:val="OutcomeDescription"/>
              <w:spacing w:before="120" w:after="120"/>
              <w:rPr>
                <w:rFonts w:cs="Arial"/>
                <w:lang w:eastAsia="en-NZ"/>
              </w:rPr>
            </w:pPr>
          </w:p>
        </w:tc>
        <w:tc>
          <w:tcPr>
            <w:tcW w:w="0" w:type="auto"/>
          </w:tcPr>
          <w:p w14:paraId="239CC2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DF4E12"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implemented. Bupa Erin Park policies prevent any form of discrimination, coercion, harassment, or any other exploitation. Diversity is celebrated and cultural days are held over the course of the year to honour various cultures including Māori, Pacific people, Indian and Chinese as examples. Staff have received training in abuse and neglect in February 2025.</w:t>
            </w:r>
          </w:p>
          <w:p w14:paraId="44C2D5A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through an external agency.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w:t>
            </w:r>
          </w:p>
          <w:p w14:paraId="018ACAE6" w14:textId="77777777" w:rsidR="00000000" w:rsidRPr="00BE00C7" w:rsidRDefault="00000000" w:rsidP="00BE00C7">
            <w:pPr>
              <w:pStyle w:val="OutcomeDescription"/>
              <w:spacing w:before="120" w:after="120"/>
              <w:rPr>
                <w:rFonts w:cs="Arial"/>
                <w:lang w:eastAsia="en-NZ"/>
              </w:rPr>
            </w:pPr>
          </w:p>
        </w:tc>
      </w:tr>
      <w:tr w:rsidR="0004740E" w14:paraId="08C3AA0F" w14:textId="77777777">
        <w:tc>
          <w:tcPr>
            <w:tcW w:w="0" w:type="auto"/>
          </w:tcPr>
          <w:p w14:paraId="601D2D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A552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t>
            </w:r>
            <w:r w:rsidRPr="00BE00C7">
              <w:rPr>
                <w:rFonts w:cs="Arial"/>
                <w:lang w:eastAsia="en-NZ"/>
              </w:rPr>
              <w:lastRenderedPageBreak/>
              <w:t>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0C422ED" w14:textId="77777777" w:rsidR="00000000" w:rsidRPr="00BE00C7" w:rsidRDefault="00000000" w:rsidP="00BE00C7">
            <w:pPr>
              <w:pStyle w:val="OutcomeDescription"/>
              <w:spacing w:before="120" w:after="120"/>
              <w:rPr>
                <w:rFonts w:cs="Arial"/>
                <w:lang w:eastAsia="en-NZ"/>
              </w:rPr>
            </w:pPr>
          </w:p>
        </w:tc>
        <w:tc>
          <w:tcPr>
            <w:tcW w:w="0" w:type="auto"/>
          </w:tcPr>
          <w:p w14:paraId="4F7CA2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7BC8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and these included signed general consent forms, consent for van outings and where relevant, consent for vaccinations. Residents and families/whānau interviewed could describe </w:t>
            </w:r>
            <w:r w:rsidRPr="00BE00C7">
              <w:rPr>
                <w:rFonts w:cs="Arial"/>
                <w:lang w:eastAsia="en-NZ"/>
              </w:rPr>
              <w:lastRenderedPageBreak/>
              <w:t>what informed consent was and confirmed they knew they had the right to choose.</w:t>
            </w:r>
          </w:p>
          <w:p w14:paraId="56C61941" w14:textId="77777777" w:rsidR="00000000" w:rsidRPr="00BE00C7" w:rsidRDefault="00000000" w:rsidP="00BE00C7">
            <w:pPr>
              <w:pStyle w:val="OutcomeDescription"/>
              <w:spacing w:before="120" w:after="120"/>
              <w:rPr>
                <w:rFonts w:cs="Arial"/>
                <w:lang w:eastAsia="en-NZ"/>
              </w:rPr>
            </w:pPr>
          </w:p>
        </w:tc>
      </w:tr>
      <w:tr w:rsidR="0004740E" w14:paraId="603F8161" w14:textId="77777777">
        <w:tc>
          <w:tcPr>
            <w:tcW w:w="0" w:type="auto"/>
          </w:tcPr>
          <w:p w14:paraId="555FB3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3875B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ACC3361" w14:textId="77777777" w:rsidR="00000000" w:rsidRPr="00BE00C7" w:rsidRDefault="00000000" w:rsidP="00BE00C7">
            <w:pPr>
              <w:pStyle w:val="OutcomeDescription"/>
              <w:spacing w:before="120" w:after="120"/>
              <w:rPr>
                <w:rFonts w:cs="Arial"/>
                <w:lang w:eastAsia="en-NZ"/>
              </w:rPr>
            </w:pPr>
          </w:p>
        </w:tc>
        <w:tc>
          <w:tcPr>
            <w:tcW w:w="0" w:type="auto"/>
          </w:tcPr>
          <w:p w14:paraId="56DBD9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376F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equitable for all residents including Māori and is provided to residents and relatives on entry to the service. A record of all complaints, both verbal and written, using a complaint register is maintained electronically and in hard copy. There have been no external complaints since the last audit. Five complaints were received since the last audit, two in 2024 and three in 2025. The complaints register shows complaints are acknowledged, there is an investigation, follow up, and reply to the complainant informing them of the outcome of the investigation and any corrective actions taken. Staff are informed of complaints and any subsequent correlating corrective actions in the quality and staff meetings (meeting minutes sighted). Documentation demonstrated that complaints are being managed in accordance with guidelines set by the Health and Disability Commissioner. The clinical manager confirmed they are aware of the preference for face-to-face communication with people who identify as Māori. Residents and family/whānau interviewed confirm management are open and transparent in their communications.</w:t>
            </w:r>
          </w:p>
          <w:p w14:paraId="28B91AA2" w14:textId="77777777" w:rsidR="00000000" w:rsidRPr="00BE00C7" w:rsidRDefault="00000000" w:rsidP="00BE00C7">
            <w:pPr>
              <w:pStyle w:val="OutcomeDescription"/>
              <w:spacing w:before="120" w:after="120"/>
              <w:rPr>
                <w:rFonts w:cs="Arial"/>
                <w:lang w:eastAsia="en-NZ"/>
              </w:rPr>
            </w:pPr>
          </w:p>
        </w:tc>
      </w:tr>
      <w:tr w:rsidR="0004740E" w14:paraId="037C7116" w14:textId="77777777">
        <w:tc>
          <w:tcPr>
            <w:tcW w:w="0" w:type="auto"/>
          </w:tcPr>
          <w:p w14:paraId="7F535FD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C90DA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C0C025F" w14:textId="77777777" w:rsidR="00000000" w:rsidRPr="00BE00C7" w:rsidRDefault="00000000" w:rsidP="00BE00C7">
            <w:pPr>
              <w:pStyle w:val="OutcomeDescription"/>
              <w:spacing w:before="120" w:after="120"/>
              <w:rPr>
                <w:rFonts w:cs="Arial"/>
                <w:lang w:eastAsia="en-NZ"/>
              </w:rPr>
            </w:pPr>
          </w:p>
        </w:tc>
        <w:tc>
          <w:tcPr>
            <w:tcW w:w="0" w:type="auto"/>
          </w:tcPr>
          <w:p w14:paraId="13C3B1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8533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Erin Park is located in Auckland and is a purpose-built facility. The service is certified to provide care for up to 114 hospital (medical and geriatric), rest home, and residential disability (physical and intellectual) residents (YPD). There are 11 dual purpose beds, 58 hospital beds, 40 rest home beds and five residential disability beds. </w:t>
            </w:r>
          </w:p>
          <w:p w14:paraId="720C68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On the day of the audit, there were 111 residents. There were 12 younger residents with a disability (one rest home level and 11 hospital level) – all with physical disabilities. There were 40 residents at rest home level of care including one resident on a long-term support chronic health (LTS-CHC) contract, and 59 hospital level residents including three residents on a contract (LTS-CHC), and two residents on ACC contracts. All other residents apart from the LTS-CHC, YPD, and ACC were under the age-related residential care contract (ARRC).</w:t>
            </w:r>
          </w:p>
          <w:p w14:paraId="61087A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consists of directors or heads of clinical and quality; operations; finance; legal; property; customer transformation and technology; and people, marketing, and corporate affairs. This team is guided by global Bupa strategy, purpose and values, and reports into the Bupa Care Services NZ Boards in New Zealand, and the Bupa Australia and New Zealand (ANZ) Board. The directors are knowledgeable around legislative and contractual requirements and are experienced in the age care sector.</w:t>
            </w:r>
          </w:p>
          <w:p w14:paraId="1D4D8855"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three-year strategic business and operational plan which aligns to Bupa global strategy and their ambition to be the world’s most customer-centric healthcare company. The business and operational plan is reviewed annually by the leadership team as part of strategy and planning. There is a New Zealand strategic plan for 2024 to 2026. Each care home sets annual quality goals at the beginning of the year based on improving outcomes from the internal quality programme. Goals are regularly reviewed, discussed at quality meetings and other forums and outcomes are measured to demonstrate success. Quality improvements are entered into an electronic system and updated with progress during the year.</w:t>
            </w:r>
          </w:p>
          <w:p w14:paraId="4273EB76"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Māori Health Strategy (informed by Te Pae) and continues to work on strengthening its Te Ao Māori strategy. Bupa initially engaged an external consultant in a cultural advisory capacity, and they have undertaken a gap analysis including hui with Māori employees; a survey; and workshops with the wider employee group in order to identify barriers, improve outcomes and achieve equity for Māori. Tāngata whaikaha provide feedback around all aspects of the service, through resident meetings and satisfaction surveys, which provides the opportunity to identify barriers and improve health outcomes.</w:t>
            </w:r>
          </w:p>
          <w:p w14:paraId="741CEB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and quality director chairs the clinical governance committee with oversight from Bupa’s second line clinical governance and compliance </w:t>
            </w:r>
            <w:r w:rsidRPr="00BE00C7">
              <w:rPr>
                <w:rFonts w:cs="Arial"/>
                <w:lang w:eastAsia="en-NZ"/>
              </w:rPr>
              <w:lastRenderedPageBreak/>
              <w:t>team and the chief medical officer. The clinical support improvement team (CSI) includes clinical specialists in restraint, infections and adverse event investigations and a customer engagement advisor, based in head office. The organisation benchmarks quality data with other New Zealand aged care providers. Each region has a clinical quality partner who support the on-site clinical team with education, trend review and management.</w:t>
            </w:r>
          </w:p>
          <w:p w14:paraId="148D1572" w14:textId="77777777" w:rsidR="00000000" w:rsidRPr="00BE00C7" w:rsidRDefault="00000000" w:rsidP="00BE00C7">
            <w:pPr>
              <w:pStyle w:val="OutcomeDescription"/>
              <w:spacing w:before="120" w:after="120"/>
              <w:rPr>
                <w:rFonts w:cs="Arial"/>
                <w:lang w:eastAsia="en-NZ"/>
              </w:rPr>
            </w:pPr>
          </w:p>
        </w:tc>
      </w:tr>
      <w:tr w:rsidR="0004740E" w14:paraId="5C386A74" w14:textId="77777777">
        <w:tc>
          <w:tcPr>
            <w:tcW w:w="0" w:type="auto"/>
          </w:tcPr>
          <w:p w14:paraId="580B15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C34BA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DDF8085" w14:textId="77777777" w:rsidR="00000000" w:rsidRPr="00BE00C7" w:rsidRDefault="00000000" w:rsidP="00BE00C7">
            <w:pPr>
              <w:pStyle w:val="OutcomeDescription"/>
              <w:spacing w:before="120" w:after="120"/>
              <w:rPr>
                <w:rFonts w:cs="Arial"/>
                <w:lang w:eastAsia="en-NZ"/>
              </w:rPr>
            </w:pPr>
          </w:p>
        </w:tc>
        <w:tc>
          <w:tcPr>
            <w:tcW w:w="0" w:type="auto"/>
          </w:tcPr>
          <w:p w14:paraId="125241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9E8419"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Erin Park is implementing a quality and risk management programme. The quality and risk management systems include performance monitoring through internal audits, the collection of clinical indicator data and from resident and family/whānau feedback.</w:t>
            </w:r>
          </w:p>
          <w:p w14:paraId="743EAE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health and safety; infection control/pandemic strategies; complaints received; staffing; and education. Internal audits, meetings, and collation of data are documented as taking place, including corrective actions, where indicated, to address service improvements. Corrective actions identified evidenced progression and sign off when achieved. Quality goals and progress towards attainment are discussed at meetings. Quality data and trends are added to meeting minutes and held in folders in the staffroom. Benchmarking occurs on a national level against other Bupa facilities. The service utilises quality data and benchmarking results to identify and develop quality initiatives. Bupa Erin Park quality improvements include (but are not limited to) falls reduction and a reduction of urinary tract infections. A number of strategies have been implemented and the benchmarking data reviewed evidenced falls and urinary tract data is trending downwards. </w:t>
            </w:r>
          </w:p>
          <w:p w14:paraId="23B311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risk register and a hazard register in place. Potential and actual risks (including potential inequities), both internal and external have been identified, analysed using a matrix of consequences versus likelihood of occurrence and appropriate mitigation strategies have been implemented.</w:t>
            </w:r>
          </w:p>
          <w:p w14:paraId="27BEC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A health and safety team meets monthly, and the elected health and safety representatives have achieved relevant unit standards via external training. Health and safety policies are implemented and monitored by the health and safety committee. The </w:t>
            </w:r>
            <w:r w:rsidRPr="00BE00C7">
              <w:rPr>
                <w:rFonts w:cs="Arial"/>
                <w:lang w:eastAsia="en-NZ"/>
              </w:rPr>
              <w:lastRenderedPageBreak/>
              <w:t xml:space="preserve">noticeboards in the staffroom and nurses’ stations keep staff informed on health and safety issues. In the event of a staff accident or incident, a debrief process is documented. There have been no serious work-related staff injuries. </w:t>
            </w:r>
          </w:p>
          <w:p w14:paraId="5D3F6067"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 accident or near miss event with immediate action noted and any follow-up action(s) required, evidenced in ten accident/incident forms reviewed. Incident and accident data is collated monthly and analysed. The system generates a report that goes to each operational team/governance team, with automatic alerts depending on the risk level. Results are discussed in the quality and staff meetings and at handover.</w:t>
            </w:r>
          </w:p>
          <w:p w14:paraId="6362400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clinical manager evidenced awareness of their requirement to notify relevant authorities in relation to essential notifications. There have been Section 31 notifications and notifications to the Health Quality and Safety Commission as required. There has been one Covid-19 outbreak in June 2024 and an influenza A outbreak in September 2024 which were appropriately notified.</w:t>
            </w:r>
          </w:p>
          <w:p w14:paraId="4B3F7355" w14:textId="77777777" w:rsidR="00000000" w:rsidRPr="00BE00C7" w:rsidRDefault="00000000" w:rsidP="00BE00C7">
            <w:pPr>
              <w:pStyle w:val="OutcomeDescription"/>
              <w:spacing w:before="120" w:after="120"/>
              <w:rPr>
                <w:rFonts w:cs="Arial"/>
                <w:lang w:eastAsia="en-NZ"/>
              </w:rPr>
            </w:pPr>
          </w:p>
        </w:tc>
      </w:tr>
      <w:tr w:rsidR="0004740E" w14:paraId="3D9B64FA" w14:textId="77777777">
        <w:tc>
          <w:tcPr>
            <w:tcW w:w="0" w:type="auto"/>
          </w:tcPr>
          <w:p w14:paraId="7B58D7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A514B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BD412BD" w14:textId="77777777" w:rsidR="00000000" w:rsidRPr="00BE00C7" w:rsidRDefault="00000000" w:rsidP="00BE00C7">
            <w:pPr>
              <w:pStyle w:val="OutcomeDescription"/>
              <w:spacing w:before="120" w:after="120"/>
              <w:rPr>
                <w:rFonts w:cs="Arial"/>
                <w:lang w:eastAsia="en-NZ"/>
              </w:rPr>
            </w:pPr>
          </w:p>
        </w:tc>
        <w:tc>
          <w:tcPr>
            <w:tcW w:w="0" w:type="auto"/>
          </w:tcPr>
          <w:p w14:paraId="51DFBE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9CB0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The registered nurses, and a selection of caregivers hold current first aid certificates. There is a first aid trained staff member on duty at all times. Interviews with staff confirmed that their workload is manageable, and that management is very supportive. Staff and residents are informed when there are changes to staffing levels, evidenced in staff interviews. </w:t>
            </w:r>
          </w:p>
          <w:p w14:paraId="092599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home manager, clinical manager, and unit coordinators are available Monday to Friday. On-call cover for all Bupa facilities in the region is covered by a six-week rotation of one care home, and one clinical manager each week.</w:t>
            </w:r>
          </w:p>
          <w:p w14:paraId="028551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Sixty-three caregivers are employed. The Bupa orientation programme qualifies new caregivers at a level two NZQA. Of the 63 caregivers, 58 have achieved a level 3 NZQA qualification or higher.</w:t>
            </w:r>
          </w:p>
          <w:p w14:paraId="4F9FD1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(classed as clinical assistants), complete many of the same competencies as the registered nurses including medication administration, blood sugar levels and insulin administration, oxygen administration, and wound management. Additional specific competencies for the registered nurses include administration of syringe driver, and interRAI assessment competency. There are fifteen registered nurses (including the clinical manager and unit coordinators) and two enrolled nurses. Eleven of the registered nurses are interRAI trained.</w:t>
            </w:r>
          </w:p>
          <w:p w14:paraId="413BE0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registered nurses are encouraged to attend the Bupa qualified staff forum each year and to commence and complete a professional development recognition programme (PDRP). External training opportunities for care staff include training through Health New Zealand and hospice. A record of completion is maintained. There is an annual education and training schedule being implemented. The education and training schedule lists compulsory training (learning essentials and clinical topics). Training related to younger residents with disabilities are incorporated into all scheduled topics. </w:t>
            </w:r>
          </w:p>
          <w:p w14:paraId="31204247" w14:textId="77777777" w:rsidR="00000000" w:rsidRPr="00BE00C7" w:rsidRDefault="00000000" w:rsidP="00BE00C7">
            <w:pPr>
              <w:pStyle w:val="OutcomeDescription"/>
              <w:spacing w:before="120" w:after="120"/>
              <w:rPr>
                <w:rFonts w:cs="Arial"/>
                <w:lang w:eastAsia="en-NZ"/>
              </w:rPr>
            </w:pPr>
          </w:p>
        </w:tc>
      </w:tr>
      <w:tr w:rsidR="0004740E" w14:paraId="314A0B6B" w14:textId="77777777">
        <w:tc>
          <w:tcPr>
            <w:tcW w:w="0" w:type="auto"/>
          </w:tcPr>
          <w:p w14:paraId="0D7D93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59916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CF91F46" w14:textId="77777777" w:rsidR="00000000" w:rsidRPr="00BE00C7" w:rsidRDefault="00000000" w:rsidP="00BE00C7">
            <w:pPr>
              <w:pStyle w:val="OutcomeDescription"/>
              <w:spacing w:before="120" w:after="120"/>
              <w:rPr>
                <w:rFonts w:cs="Arial"/>
                <w:lang w:eastAsia="en-NZ"/>
              </w:rPr>
            </w:pPr>
          </w:p>
        </w:tc>
        <w:tc>
          <w:tcPr>
            <w:tcW w:w="0" w:type="auto"/>
          </w:tcPr>
          <w:p w14:paraId="7C31AD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C99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registered nurses, enrolled nurses, general and nurse practitioners,  pharmacists, physiotherapist, podiatrist, and dietitian. The register includes the scope of practice for health professionals. </w:t>
            </w:r>
          </w:p>
          <w:p w14:paraId="09363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to Māori.</w:t>
            </w:r>
          </w:p>
          <w:p w14:paraId="7EEC7D7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have been employed for over one year have an annual appraisal completed and these were sighted in the seven staff files reviewed.</w:t>
            </w:r>
          </w:p>
          <w:p w14:paraId="519737F1" w14:textId="77777777" w:rsidR="00000000" w:rsidRPr="00BE00C7" w:rsidRDefault="00000000" w:rsidP="00BE00C7">
            <w:pPr>
              <w:pStyle w:val="OutcomeDescription"/>
              <w:spacing w:before="120" w:after="120"/>
              <w:rPr>
                <w:rFonts w:cs="Arial"/>
                <w:lang w:eastAsia="en-NZ"/>
              </w:rPr>
            </w:pPr>
          </w:p>
        </w:tc>
      </w:tr>
      <w:tr w:rsidR="0004740E" w14:paraId="431B9D03" w14:textId="77777777">
        <w:tc>
          <w:tcPr>
            <w:tcW w:w="0" w:type="auto"/>
          </w:tcPr>
          <w:p w14:paraId="00A4CC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D51D8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7F9BB47" w14:textId="77777777" w:rsidR="00000000" w:rsidRPr="00BE00C7" w:rsidRDefault="00000000" w:rsidP="00BE00C7">
            <w:pPr>
              <w:pStyle w:val="OutcomeDescription"/>
              <w:spacing w:before="120" w:after="120"/>
              <w:rPr>
                <w:rFonts w:cs="Arial"/>
                <w:lang w:eastAsia="en-NZ"/>
              </w:rPr>
            </w:pPr>
          </w:p>
        </w:tc>
        <w:tc>
          <w:tcPr>
            <w:tcW w:w="0" w:type="auto"/>
          </w:tcPr>
          <w:p w14:paraId="229277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EDE2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four hospital including one resident on a residential disability -physical (YPD) contract, one resident on a long-term support chronic health contract (LTS- CHC), and one fully funded by the accident compensation corporation (ACC); and three rest home resident files. The RNs are responsible for all residents’ assessments, care planning and evaluation of care. </w:t>
            </w:r>
          </w:p>
          <w:p w14:paraId="2C18F0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long-term care plans were completed for residents, detailing needs, and preferences. In the resident files reviewed, interRAI assessments (done for all residents), reassessments, long-term care plans, and evaluations have been completed within expected timeframes. The long-term care plans (LTCPs) are individualised and developed with information gathered during the initial assessments and the interRAI assessment. The LTCPs are developed by RNs and are holistic, covering physical needs, assistance required with activities of daily living, psychosocial, cultural needs and aspirations, and interventions to address medical conditions in sufficient detail to guide staff. </w:t>
            </w:r>
          </w:p>
          <w:p w14:paraId="53DD76F3"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w:t>
            </w:r>
          </w:p>
          <w:p w14:paraId="72291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2E53D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or nurse practitioner (NP) within the required timeframe following </w:t>
            </w:r>
            <w:r w:rsidRPr="00BE00C7">
              <w:rPr>
                <w:rFonts w:cs="Arial"/>
                <w:lang w:eastAsia="en-NZ"/>
              </w:rPr>
              <w:lastRenderedPageBreak/>
              <w:t>admission. Residents have ongoing reviews by the GP or NP within required timeframes and when their health status changes. There are two GP or NP visits per week and as required. Medical documentation and records reviewed were current. The GP and NP were unavailable for interview at the time of audit. The contracted GP and NP are also available on call after hours for the facility. A physiotherapist visits the facility three weekly for a total of eight hours and on request, to review residents referred by the RNs. There is also a physiotherapy assistant four days per week. The physiotherapist (interviewed) was very complimentary regarding the service and level of care delivered. There is access to a continence specialist as required. A podiatrist visits regularly and a dietitian, speech language therapist, hospice, wound care nurse specialist, and medical specialists are available as required through Health New Zealand.</w:t>
            </w:r>
          </w:p>
          <w:p w14:paraId="60D199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where this was required. Evaluations were completed at each dressing change and discussed with the clinical manager and GP when necessary. Where wounds required additional specialist input, this was initiated, and a wound nurse specialist was consulted. At the time of the audit, there were thirty-six active wounds, from twenty-four residents including four stage 2, and two stage 1 pressure injuries (all non-facility acquired). The wound nurse specialist is involved with the management chronic wounds as evidenced in the clinical record. Staff keep in regular contact with the wound nurse specialist and email progress with photos and measurements. </w:t>
            </w:r>
          </w:p>
          <w:p w14:paraId="63FED8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and completed as per policy. A range of monitoring charts are available for the care staff to utilise. These include (but not limited to) monthly blood pressure; weight monitoring; bowel records; repositioning chart; blood glucose levels; and fluid balance monitoring. Staff interviews confirmed they are familiar with the needs of all residents in the facility and that they have access to the supplies and products they require to meet those needs. Staff receive handover at the beginning of their shift. </w:t>
            </w:r>
          </w:p>
          <w:p w14:paraId="32781071" w14:textId="77777777" w:rsidR="00000000" w:rsidRPr="00BE00C7" w:rsidRDefault="00000000" w:rsidP="009813AD">
            <w:pPr>
              <w:pStyle w:val="OutcomeDescription"/>
              <w:spacing w:before="120" w:after="120"/>
              <w:rPr>
                <w:rFonts w:cs="Arial"/>
                <w:lang w:eastAsia="en-NZ"/>
              </w:rPr>
            </w:pPr>
          </w:p>
        </w:tc>
      </w:tr>
      <w:tr w:rsidR="0004740E" w14:paraId="0A644A4E" w14:textId="77777777">
        <w:tc>
          <w:tcPr>
            <w:tcW w:w="0" w:type="auto"/>
          </w:tcPr>
          <w:p w14:paraId="15634D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D9CAB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E7A9335" w14:textId="77777777" w:rsidR="00000000" w:rsidRPr="00BE00C7" w:rsidRDefault="00000000" w:rsidP="00BE00C7">
            <w:pPr>
              <w:pStyle w:val="OutcomeDescription"/>
              <w:spacing w:before="120" w:after="120"/>
              <w:rPr>
                <w:rFonts w:cs="Arial"/>
                <w:lang w:eastAsia="en-NZ"/>
              </w:rPr>
            </w:pPr>
          </w:p>
        </w:tc>
        <w:tc>
          <w:tcPr>
            <w:tcW w:w="0" w:type="auto"/>
          </w:tcPr>
          <w:p w14:paraId="5F6E22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204F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enrolled nurse, and medication competent caregivers interviewed could describe their role regarding medication administration. The service currently uses robotics rolls for regular medication, short course and ‘as required’ medications. </w:t>
            </w:r>
          </w:p>
          <w:p w14:paraId="35A77F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medications are checked on delivery against the medication chart and any discrepancies are fed back to the supplying pharmacy. Medications were appropriately stored in the three medication rooms. The medication fridge and medication room temperatures are monitored daily. All stored medications are checked weekly. Eyedrops have been dated on opening. Fourteen electronic medication charts were reviewed. The medication charts reviewed identified that the GP or NP had reviewed all residents’ medication charts three-monthly, and each drug chart has photo identification and allergy status identified. Indications for use were noted for pro re nata (PRN) medications on the medication charts, including over-the-counter medications and supplements. The effectiveness of PRN medications was consistently documented in the electronic medication management system and progress notes. </w:t>
            </w:r>
          </w:p>
          <w:p w14:paraId="75C03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residents self-administering are in place and this includes ensuring residents are competent, and safe storage of the medications. There was one resident self-administering medications on the day of the audit. This resident had a competency signed by the GP following three-monthly reviews and six-monthly nursing review of competency. The resident had a lock box in their room. No standing orders are used. 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6A9FAAB1" w14:textId="77777777" w:rsidR="00000000" w:rsidRPr="00BE00C7" w:rsidRDefault="00000000" w:rsidP="00BE00C7">
            <w:pPr>
              <w:pStyle w:val="OutcomeDescription"/>
              <w:spacing w:before="120" w:after="120"/>
              <w:rPr>
                <w:rFonts w:cs="Arial"/>
                <w:lang w:eastAsia="en-NZ"/>
              </w:rPr>
            </w:pPr>
          </w:p>
        </w:tc>
      </w:tr>
      <w:tr w:rsidR="0004740E" w14:paraId="1BAA0C64" w14:textId="77777777">
        <w:tc>
          <w:tcPr>
            <w:tcW w:w="0" w:type="auto"/>
          </w:tcPr>
          <w:p w14:paraId="44834B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BF1A4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41F2FE" w14:textId="77777777" w:rsidR="00000000" w:rsidRPr="00BE00C7" w:rsidRDefault="00000000" w:rsidP="00BE00C7">
            <w:pPr>
              <w:pStyle w:val="OutcomeDescription"/>
              <w:spacing w:before="120" w:after="120"/>
              <w:rPr>
                <w:rFonts w:cs="Arial"/>
                <w:lang w:eastAsia="en-NZ"/>
              </w:rPr>
            </w:pPr>
          </w:p>
        </w:tc>
        <w:tc>
          <w:tcPr>
            <w:tcW w:w="0" w:type="auto"/>
          </w:tcPr>
          <w:p w14:paraId="7D1397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B6162F"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kitchen manager interviewed reported they accommodate residents’ requests. There is a verified food control plan expiring on 22 September 2025. The residents and family/whānau interviewed were complimentary regarding the standard of food provided.</w:t>
            </w:r>
          </w:p>
          <w:p w14:paraId="2B7DFEF0" w14:textId="77777777" w:rsidR="00000000" w:rsidRPr="00BE00C7" w:rsidRDefault="00000000" w:rsidP="00BE00C7">
            <w:pPr>
              <w:pStyle w:val="OutcomeDescription"/>
              <w:spacing w:before="120" w:after="120"/>
              <w:rPr>
                <w:rFonts w:cs="Arial"/>
                <w:lang w:eastAsia="en-NZ"/>
              </w:rPr>
            </w:pPr>
          </w:p>
        </w:tc>
      </w:tr>
      <w:tr w:rsidR="0004740E" w14:paraId="1BCD4EE7" w14:textId="77777777">
        <w:tc>
          <w:tcPr>
            <w:tcW w:w="0" w:type="auto"/>
          </w:tcPr>
          <w:p w14:paraId="65AA0B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78B0F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CEDA9F2" w14:textId="77777777" w:rsidR="00000000" w:rsidRPr="00BE00C7" w:rsidRDefault="00000000" w:rsidP="00BE00C7">
            <w:pPr>
              <w:pStyle w:val="OutcomeDescription"/>
              <w:spacing w:before="120" w:after="120"/>
              <w:rPr>
                <w:rFonts w:cs="Arial"/>
                <w:lang w:eastAsia="en-NZ"/>
              </w:rPr>
            </w:pPr>
          </w:p>
        </w:tc>
        <w:tc>
          <w:tcPr>
            <w:tcW w:w="0" w:type="auto"/>
          </w:tcPr>
          <w:p w14:paraId="049D76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C54D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574561FF" w14:textId="77777777" w:rsidR="00000000" w:rsidRPr="00BE00C7" w:rsidRDefault="00000000" w:rsidP="00BE00C7">
            <w:pPr>
              <w:pStyle w:val="OutcomeDescription"/>
              <w:spacing w:before="120" w:after="120"/>
              <w:rPr>
                <w:rFonts w:cs="Arial"/>
                <w:lang w:eastAsia="en-NZ"/>
              </w:rPr>
            </w:pPr>
          </w:p>
        </w:tc>
      </w:tr>
      <w:tr w:rsidR="0004740E" w14:paraId="55DA03F4" w14:textId="77777777">
        <w:tc>
          <w:tcPr>
            <w:tcW w:w="0" w:type="auto"/>
          </w:tcPr>
          <w:p w14:paraId="2E58B0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B794F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17EF02D7" w14:textId="77777777" w:rsidR="00000000" w:rsidRPr="00BE00C7" w:rsidRDefault="00000000" w:rsidP="00BE00C7">
            <w:pPr>
              <w:pStyle w:val="OutcomeDescription"/>
              <w:spacing w:before="120" w:after="120"/>
              <w:rPr>
                <w:rFonts w:cs="Arial"/>
                <w:lang w:eastAsia="en-NZ"/>
              </w:rPr>
            </w:pPr>
          </w:p>
        </w:tc>
        <w:tc>
          <w:tcPr>
            <w:tcW w:w="0" w:type="auto"/>
          </w:tcPr>
          <w:p w14:paraId="474CA1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D53E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Bupa Erin Park Rest Home &amp; Hospital and comply with legislation relevant to the Health and Disability Services being provided. The environment is inclusive of people’s cultures and supports cultural practices. The building warrant of fitness is current, expiring on 16 March 2026.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4CBEFC18" w14:textId="77777777" w:rsidR="00000000" w:rsidRPr="00BE00C7" w:rsidRDefault="00000000" w:rsidP="00BE00C7">
            <w:pPr>
              <w:pStyle w:val="OutcomeDescription"/>
              <w:spacing w:before="120" w:after="120"/>
              <w:rPr>
                <w:rFonts w:cs="Arial"/>
                <w:lang w:eastAsia="en-NZ"/>
              </w:rPr>
            </w:pPr>
          </w:p>
        </w:tc>
      </w:tr>
      <w:tr w:rsidR="0004740E" w14:paraId="05C425CE" w14:textId="77777777">
        <w:tc>
          <w:tcPr>
            <w:tcW w:w="0" w:type="auto"/>
          </w:tcPr>
          <w:p w14:paraId="27D67C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A6BC6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3A27AFE" w14:textId="77777777" w:rsidR="00000000" w:rsidRPr="00BE00C7" w:rsidRDefault="00000000" w:rsidP="00BE00C7">
            <w:pPr>
              <w:pStyle w:val="OutcomeDescription"/>
              <w:spacing w:before="120" w:after="120"/>
              <w:rPr>
                <w:rFonts w:cs="Arial"/>
                <w:lang w:eastAsia="en-NZ"/>
              </w:rPr>
            </w:pPr>
          </w:p>
        </w:tc>
        <w:tc>
          <w:tcPr>
            <w:tcW w:w="0" w:type="auto"/>
          </w:tcPr>
          <w:p w14:paraId="4B553D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1274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and procedures are reviewed quarterly by Bupa’s clinical governance group in consultation with infection control coordinators/officers. Data on infections is collated monthly, analysed and reported to the manager, quality partner and infection control committee. An annual report is submitted to the quality partner and a copy was sighted in the infection control manual.</w:t>
            </w:r>
          </w:p>
          <w:p w14:paraId="7F121F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has been additional training and education around outbreak management during the recent Covid-19 and influenza A outbreaks. Staff are kept informed of any changes by noticeboards, handovers, toolbox talks, text message and emails. Staff have completed handwashing and personal protective equipment competencies. Resident education occurs as part of the daily cares. Residents and families/whānau are kept informed and updated through emails during outbreaks.</w:t>
            </w:r>
          </w:p>
          <w:p w14:paraId="7548D299" w14:textId="77777777" w:rsidR="00000000" w:rsidRPr="00BE00C7" w:rsidRDefault="00000000" w:rsidP="00BE00C7">
            <w:pPr>
              <w:pStyle w:val="OutcomeDescription"/>
              <w:spacing w:before="120" w:after="120"/>
              <w:rPr>
                <w:rFonts w:cs="Arial"/>
                <w:lang w:eastAsia="en-NZ"/>
              </w:rPr>
            </w:pPr>
          </w:p>
        </w:tc>
      </w:tr>
      <w:tr w:rsidR="0004740E" w14:paraId="4D5CAF47" w14:textId="77777777">
        <w:tc>
          <w:tcPr>
            <w:tcW w:w="0" w:type="auto"/>
          </w:tcPr>
          <w:p w14:paraId="50EB0AC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40A58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BFD93C0" w14:textId="77777777" w:rsidR="00000000" w:rsidRPr="00BE00C7" w:rsidRDefault="00000000" w:rsidP="00BE00C7">
            <w:pPr>
              <w:pStyle w:val="OutcomeDescription"/>
              <w:spacing w:before="120" w:after="120"/>
              <w:rPr>
                <w:rFonts w:cs="Arial"/>
                <w:lang w:eastAsia="en-NZ"/>
              </w:rPr>
            </w:pPr>
          </w:p>
        </w:tc>
        <w:tc>
          <w:tcPr>
            <w:tcW w:w="0" w:type="auto"/>
          </w:tcPr>
          <w:p w14:paraId="4A1A20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5B53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facilities.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w:t>
            </w:r>
            <w:r w:rsidRPr="00BE00C7">
              <w:rPr>
                <w:rFonts w:cs="Arial"/>
                <w:lang w:eastAsia="en-NZ"/>
              </w:rPr>
              <w:lastRenderedPageBreak/>
              <w:t>rates of concern. The service receives regular notifications and alerts from Health New Zealand.</w:t>
            </w:r>
          </w:p>
          <w:p w14:paraId="35AEE8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Covid -19 outbreak in June 2024 and an outbreak of influenza A in September 2024. These were managed appropriately with Health New Zealand and Public Health being appropriately notified. There was evidence of regular communication with the Bupa infection control lead, clinical director, aged care portfolio manager and Health New Zealand infection control nurse specialist. Daily outbreak management meetings and toolbox meetings (sighted) capture lessons learned to prevent, prepare for and respond to future infectious disease outbreaks. Outbreak logs are completed. Staff confirmed resources, including PPE, are plentiful.</w:t>
            </w:r>
          </w:p>
          <w:p w14:paraId="12226A82" w14:textId="77777777" w:rsidR="00000000" w:rsidRPr="00BE00C7" w:rsidRDefault="00000000" w:rsidP="00BE00C7">
            <w:pPr>
              <w:pStyle w:val="OutcomeDescription"/>
              <w:spacing w:before="120" w:after="120"/>
              <w:rPr>
                <w:rFonts w:cs="Arial"/>
                <w:lang w:eastAsia="en-NZ"/>
              </w:rPr>
            </w:pPr>
          </w:p>
        </w:tc>
      </w:tr>
      <w:tr w:rsidR="0004740E" w14:paraId="46E93D48" w14:textId="77777777">
        <w:tc>
          <w:tcPr>
            <w:tcW w:w="0" w:type="auto"/>
          </w:tcPr>
          <w:p w14:paraId="77BD1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D2252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8BB5B6A" w14:textId="77777777" w:rsidR="00000000" w:rsidRPr="00BE00C7" w:rsidRDefault="00000000" w:rsidP="00BE00C7">
            <w:pPr>
              <w:pStyle w:val="OutcomeDescription"/>
              <w:spacing w:before="120" w:after="120"/>
              <w:rPr>
                <w:rFonts w:cs="Arial"/>
                <w:lang w:eastAsia="en-NZ"/>
              </w:rPr>
            </w:pPr>
          </w:p>
        </w:tc>
        <w:tc>
          <w:tcPr>
            <w:tcW w:w="0" w:type="auto"/>
          </w:tcPr>
          <w:p w14:paraId="66AEC1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3D98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regional restraint group is responsible for the Bupa restraint elimination strategy and for monitoring restraint use in the organisation. Restraint is discussed at the clinical governance and Board level. At the time of the audit there was one hospital level resident using bedrails as a restraint. When restraint is used, this is a last resort when all alternatives have been explored. The designated restraint coordinator is a unit coordinator who is responsible for the coordination of the approval of the use of restraints and the restraint processes. </w:t>
            </w:r>
          </w:p>
          <w:p w14:paraId="2B04E7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for all staff. </w:t>
            </w:r>
          </w:p>
          <w:p w14:paraId="762A115E" w14:textId="77777777" w:rsidR="00000000" w:rsidRPr="00BE00C7" w:rsidRDefault="00000000" w:rsidP="00BE00C7">
            <w:pPr>
              <w:pStyle w:val="OutcomeDescription"/>
              <w:spacing w:before="120" w:after="120"/>
              <w:rPr>
                <w:rFonts w:cs="Arial"/>
                <w:lang w:eastAsia="en-NZ"/>
              </w:rPr>
            </w:pPr>
          </w:p>
        </w:tc>
      </w:tr>
    </w:tbl>
    <w:p w14:paraId="7CE0CFF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7981F22" w14:textId="77777777" w:rsidR="00000000" w:rsidRDefault="00000000">
      <w:pPr>
        <w:pStyle w:val="Heading1"/>
        <w:rPr>
          <w:rFonts w:cs="Arial"/>
        </w:rPr>
      </w:pPr>
      <w:r>
        <w:rPr>
          <w:rFonts w:cs="Arial"/>
        </w:rPr>
        <w:lastRenderedPageBreak/>
        <w:t>Specific results for criterion where corrective actions are required</w:t>
      </w:r>
    </w:p>
    <w:p w14:paraId="01EF4FD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4D7BC6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364BE6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4740E" w14:paraId="04C36A71" w14:textId="77777777">
        <w:tc>
          <w:tcPr>
            <w:tcW w:w="0" w:type="auto"/>
          </w:tcPr>
          <w:p w14:paraId="7AEA2CB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7D7167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184B906" w14:textId="77777777" w:rsidR="00000000" w:rsidRDefault="00000000">
      <w:pPr>
        <w:pStyle w:val="Heading1"/>
        <w:rPr>
          <w:rFonts w:cs="Arial"/>
        </w:rPr>
      </w:pPr>
      <w:r>
        <w:rPr>
          <w:rFonts w:cs="Arial"/>
        </w:rPr>
        <w:lastRenderedPageBreak/>
        <w:t>Specific results for criterion where a continuous improvement has been recorded</w:t>
      </w:r>
    </w:p>
    <w:p w14:paraId="0BBB226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24843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F0286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4740E" w14:paraId="3BB57C98" w14:textId="77777777">
        <w:tc>
          <w:tcPr>
            <w:tcW w:w="0" w:type="auto"/>
          </w:tcPr>
          <w:p w14:paraId="0C4B317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C79AF4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347263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3B29A" w14:textId="77777777" w:rsidR="00664963" w:rsidRDefault="00664963">
      <w:r>
        <w:separator/>
      </w:r>
    </w:p>
  </w:endnote>
  <w:endnote w:type="continuationSeparator" w:id="0">
    <w:p w14:paraId="08D3BA50" w14:textId="77777777" w:rsidR="00664963" w:rsidRDefault="0066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6E16" w14:textId="77777777" w:rsidR="00000000" w:rsidRDefault="00000000">
    <w:pPr>
      <w:pStyle w:val="Footer"/>
    </w:pPr>
  </w:p>
  <w:p w14:paraId="7D70F95C" w14:textId="77777777" w:rsidR="00000000" w:rsidRDefault="00000000"/>
  <w:p w14:paraId="721B478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D14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Erin Park Rest Home &amp; Hospital</w:t>
    </w:r>
    <w:bookmarkEnd w:id="59"/>
    <w:r>
      <w:rPr>
        <w:rFonts w:cs="Arial"/>
        <w:sz w:val="16"/>
        <w:szCs w:val="20"/>
      </w:rPr>
      <w:tab/>
      <w:t xml:space="preserve">Date of Audit: </w:t>
    </w:r>
    <w:bookmarkStart w:id="60" w:name="AuditStartDate1"/>
    <w:r>
      <w:rPr>
        <w:rFonts w:cs="Arial"/>
        <w:sz w:val="16"/>
        <w:szCs w:val="20"/>
      </w:rPr>
      <w:t>3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C8B708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D5A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E44A" w14:textId="77777777" w:rsidR="00664963" w:rsidRDefault="00664963">
      <w:r>
        <w:separator/>
      </w:r>
    </w:p>
  </w:footnote>
  <w:footnote w:type="continuationSeparator" w:id="0">
    <w:p w14:paraId="76FB9764" w14:textId="77777777" w:rsidR="00664963" w:rsidRDefault="0066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717C" w14:textId="77777777" w:rsidR="00000000" w:rsidRDefault="00000000">
    <w:pPr>
      <w:pStyle w:val="Header"/>
    </w:pPr>
  </w:p>
  <w:p w14:paraId="709C64E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6CBE" w14:textId="77777777" w:rsidR="00000000" w:rsidRDefault="00000000">
    <w:pPr>
      <w:pStyle w:val="Header"/>
    </w:pPr>
  </w:p>
  <w:p w14:paraId="159CB0A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87E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134D2EC">
      <w:start w:val="1"/>
      <w:numFmt w:val="decimal"/>
      <w:lvlText w:val="%1."/>
      <w:lvlJc w:val="left"/>
      <w:pPr>
        <w:ind w:left="360" w:hanging="360"/>
      </w:pPr>
    </w:lvl>
    <w:lvl w:ilvl="1" w:tplc="1DA4666E" w:tentative="1">
      <w:start w:val="1"/>
      <w:numFmt w:val="lowerLetter"/>
      <w:lvlText w:val="%2."/>
      <w:lvlJc w:val="left"/>
      <w:pPr>
        <w:ind w:left="1080" w:hanging="360"/>
      </w:pPr>
    </w:lvl>
    <w:lvl w:ilvl="2" w:tplc="E3B66F78" w:tentative="1">
      <w:start w:val="1"/>
      <w:numFmt w:val="lowerRoman"/>
      <w:lvlText w:val="%3."/>
      <w:lvlJc w:val="right"/>
      <w:pPr>
        <w:ind w:left="1800" w:hanging="180"/>
      </w:pPr>
    </w:lvl>
    <w:lvl w:ilvl="3" w:tplc="EC586928" w:tentative="1">
      <w:start w:val="1"/>
      <w:numFmt w:val="decimal"/>
      <w:lvlText w:val="%4."/>
      <w:lvlJc w:val="left"/>
      <w:pPr>
        <w:ind w:left="2520" w:hanging="360"/>
      </w:pPr>
    </w:lvl>
    <w:lvl w:ilvl="4" w:tplc="B8483A4A" w:tentative="1">
      <w:start w:val="1"/>
      <w:numFmt w:val="lowerLetter"/>
      <w:lvlText w:val="%5."/>
      <w:lvlJc w:val="left"/>
      <w:pPr>
        <w:ind w:left="3240" w:hanging="360"/>
      </w:pPr>
    </w:lvl>
    <w:lvl w:ilvl="5" w:tplc="835E39F2" w:tentative="1">
      <w:start w:val="1"/>
      <w:numFmt w:val="lowerRoman"/>
      <w:lvlText w:val="%6."/>
      <w:lvlJc w:val="right"/>
      <w:pPr>
        <w:ind w:left="3960" w:hanging="180"/>
      </w:pPr>
    </w:lvl>
    <w:lvl w:ilvl="6" w:tplc="7814F1BE" w:tentative="1">
      <w:start w:val="1"/>
      <w:numFmt w:val="decimal"/>
      <w:lvlText w:val="%7."/>
      <w:lvlJc w:val="left"/>
      <w:pPr>
        <w:ind w:left="4680" w:hanging="360"/>
      </w:pPr>
    </w:lvl>
    <w:lvl w:ilvl="7" w:tplc="9ECEB710" w:tentative="1">
      <w:start w:val="1"/>
      <w:numFmt w:val="lowerLetter"/>
      <w:lvlText w:val="%8."/>
      <w:lvlJc w:val="left"/>
      <w:pPr>
        <w:ind w:left="5400" w:hanging="360"/>
      </w:pPr>
    </w:lvl>
    <w:lvl w:ilvl="8" w:tplc="60D8BCA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65E177C">
      <w:start w:val="1"/>
      <w:numFmt w:val="bullet"/>
      <w:lvlText w:val=""/>
      <w:lvlJc w:val="left"/>
      <w:pPr>
        <w:ind w:left="720" w:hanging="360"/>
      </w:pPr>
      <w:rPr>
        <w:rFonts w:ascii="Symbol" w:hAnsi="Symbol" w:hint="default"/>
      </w:rPr>
    </w:lvl>
    <w:lvl w:ilvl="1" w:tplc="4B30E6F8" w:tentative="1">
      <w:start w:val="1"/>
      <w:numFmt w:val="bullet"/>
      <w:lvlText w:val="o"/>
      <w:lvlJc w:val="left"/>
      <w:pPr>
        <w:ind w:left="1440" w:hanging="360"/>
      </w:pPr>
      <w:rPr>
        <w:rFonts w:ascii="Courier New" w:hAnsi="Courier New" w:cs="Courier New" w:hint="default"/>
      </w:rPr>
    </w:lvl>
    <w:lvl w:ilvl="2" w:tplc="422CE9DC" w:tentative="1">
      <w:start w:val="1"/>
      <w:numFmt w:val="bullet"/>
      <w:lvlText w:val=""/>
      <w:lvlJc w:val="left"/>
      <w:pPr>
        <w:ind w:left="2160" w:hanging="360"/>
      </w:pPr>
      <w:rPr>
        <w:rFonts w:ascii="Wingdings" w:hAnsi="Wingdings" w:hint="default"/>
      </w:rPr>
    </w:lvl>
    <w:lvl w:ilvl="3" w:tplc="59A8E6A6" w:tentative="1">
      <w:start w:val="1"/>
      <w:numFmt w:val="bullet"/>
      <w:lvlText w:val=""/>
      <w:lvlJc w:val="left"/>
      <w:pPr>
        <w:ind w:left="2880" w:hanging="360"/>
      </w:pPr>
      <w:rPr>
        <w:rFonts w:ascii="Symbol" w:hAnsi="Symbol" w:hint="default"/>
      </w:rPr>
    </w:lvl>
    <w:lvl w:ilvl="4" w:tplc="2048B370" w:tentative="1">
      <w:start w:val="1"/>
      <w:numFmt w:val="bullet"/>
      <w:lvlText w:val="o"/>
      <w:lvlJc w:val="left"/>
      <w:pPr>
        <w:ind w:left="3600" w:hanging="360"/>
      </w:pPr>
      <w:rPr>
        <w:rFonts w:ascii="Courier New" w:hAnsi="Courier New" w:cs="Courier New" w:hint="default"/>
      </w:rPr>
    </w:lvl>
    <w:lvl w:ilvl="5" w:tplc="731EE266" w:tentative="1">
      <w:start w:val="1"/>
      <w:numFmt w:val="bullet"/>
      <w:lvlText w:val=""/>
      <w:lvlJc w:val="left"/>
      <w:pPr>
        <w:ind w:left="4320" w:hanging="360"/>
      </w:pPr>
      <w:rPr>
        <w:rFonts w:ascii="Wingdings" w:hAnsi="Wingdings" w:hint="default"/>
      </w:rPr>
    </w:lvl>
    <w:lvl w:ilvl="6" w:tplc="2786C588" w:tentative="1">
      <w:start w:val="1"/>
      <w:numFmt w:val="bullet"/>
      <w:lvlText w:val=""/>
      <w:lvlJc w:val="left"/>
      <w:pPr>
        <w:ind w:left="5040" w:hanging="360"/>
      </w:pPr>
      <w:rPr>
        <w:rFonts w:ascii="Symbol" w:hAnsi="Symbol" w:hint="default"/>
      </w:rPr>
    </w:lvl>
    <w:lvl w:ilvl="7" w:tplc="6C1AAE64" w:tentative="1">
      <w:start w:val="1"/>
      <w:numFmt w:val="bullet"/>
      <w:lvlText w:val="o"/>
      <w:lvlJc w:val="left"/>
      <w:pPr>
        <w:ind w:left="5760" w:hanging="360"/>
      </w:pPr>
      <w:rPr>
        <w:rFonts w:ascii="Courier New" w:hAnsi="Courier New" w:cs="Courier New" w:hint="default"/>
      </w:rPr>
    </w:lvl>
    <w:lvl w:ilvl="8" w:tplc="B30C7E16" w:tentative="1">
      <w:start w:val="1"/>
      <w:numFmt w:val="bullet"/>
      <w:lvlText w:val=""/>
      <w:lvlJc w:val="left"/>
      <w:pPr>
        <w:ind w:left="6480" w:hanging="360"/>
      </w:pPr>
      <w:rPr>
        <w:rFonts w:ascii="Wingdings" w:hAnsi="Wingdings" w:hint="default"/>
      </w:rPr>
    </w:lvl>
  </w:abstractNum>
  <w:num w:numId="1" w16cid:durableId="1550144578">
    <w:abstractNumId w:val="1"/>
  </w:num>
  <w:num w:numId="2" w16cid:durableId="146782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0E"/>
    <w:rsid w:val="0004740E"/>
    <w:rsid w:val="001338FE"/>
    <w:rsid w:val="00664963"/>
    <w:rsid w:val="009813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A316"/>
  <w15:docId w15:val="{3E476AE6-9BAA-4D54-8738-71AF6D3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7351</Words>
  <Characters>41902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2025-08-21T03:09:00Z</dcterms:created>
  <dcterms:modified xsi:type="dcterms:W3CDTF">2025-08-21T03:11:00Z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