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DE10" w14:textId="77777777" w:rsidR="00000000" w:rsidRDefault="00000000">
      <w:pPr>
        <w:pStyle w:val="Heading1"/>
        <w:rPr>
          <w:rFonts w:cs="Arial"/>
        </w:rPr>
      </w:pPr>
      <w:bookmarkStart w:id="0" w:name="PRMS_RIName"/>
      <w:r>
        <w:rPr>
          <w:rFonts w:cs="Arial"/>
        </w:rPr>
        <w:t>Radius Residential Care Limited - Radius Taupaki Gables</w:t>
      </w:r>
      <w:bookmarkEnd w:id="0"/>
    </w:p>
    <w:p w14:paraId="18A0DF83" w14:textId="77777777" w:rsidR="00000000" w:rsidRDefault="00000000">
      <w:pPr>
        <w:pStyle w:val="Heading2"/>
        <w:spacing w:after="0"/>
        <w:rPr>
          <w:rFonts w:cs="Arial"/>
        </w:rPr>
      </w:pPr>
      <w:r>
        <w:rPr>
          <w:rFonts w:cs="Arial"/>
        </w:rPr>
        <w:t>Introduction</w:t>
      </w:r>
    </w:p>
    <w:p w14:paraId="6EAB53F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DC03CF6"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EF7F50"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8F3E0A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EFE302D" w14:textId="77777777" w:rsidR="00000000" w:rsidRDefault="00000000">
      <w:pPr>
        <w:spacing w:before="240" w:after="240"/>
        <w:rPr>
          <w:rFonts w:cs="Arial"/>
          <w:lang w:eastAsia="en-NZ"/>
        </w:rPr>
      </w:pPr>
      <w:r>
        <w:rPr>
          <w:rFonts w:cs="Arial"/>
          <w:lang w:eastAsia="en-NZ"/>
        </w:rPr>
        <w:t>The specifics of this audit included:</w:t>
      </w:r>
    </w:p>
    <w:p w14:paraId="488AE917" w14:textId="77777777" w:rsidR="00000000" w:rsidRPr="009D18F5" w:rsidRDefault="00000000" w:rsidP="0045794B">
      <w:pPr>
        <w:pBdr>
          <w:top w:val="single" w:sz="4" w:space="1" w:color="auto"/>
          <w:left w:val="single" w:sz="4" w:space="4" w:color="auto"/>
          <w:bottom w:val="single" w:sz="4" w:space="13" w:color="auto"/>
          <w:right w:val="single" w:sz="4" w:space="4" w:color="auto"/>
        </w:pBdr>
        <w:rPr>
          <w:rFonts w:cs="Arial"/>
        </w:rPr>
      </w:pPr>
    </w:p>
    <w:p w14:paraId="141D00C8" w14:textId="77777777" w:rsidR="00000000" w:rsidRPr="009418D4" w:rsidRDefault="00000000" w:rsidP="0045794B">
      <w:pPr>
        <w:pBdr>
          <w:top w:val="single" w:sz="4" w:space="1" w:color="auto"/>
          <w:left w:val="single" w:sz="4" w:space="4" w:color="auto"/>
          <w:bottom w:val="single" w:sz="4" w:space="13"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Radius Residential Care Limited</w:t>
      </w:r>
      <w:bookmarkEnd w:id="4"/>
    </w:p>
    <w:p w14:paraId="37B3C1F0" w14:textId="77777777" w:rsidR="00000000" w:rsidRPr="009418D4" w:rsidRDefault="00000000" w:rsidP="0045794B">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Radius Taupaki Gables</w:t>
      </w:r>
      <w:bookmarkEnd w:id="5"/>
    </w:p>
    <w:p w14:paraId="0623E065" w14:textId="77777777" w:rsidR="00000000" w:rsidRPr="009418D4" w:rsidRDefault="00000000" w:rsidP="0045794B">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9642BC1" w14:textId="77777777" w:rsidR="00000000" w:rsidRPr="009418D4" w:rsidRDefault="00000000" w:rsidP="0045794B">
      <w:pPr>
        <w:pBdr>
          <w:top w:val="single" w:sz="4" w:space="1" w:color="auto"/>
          <w:left w:val="single" w:sz="4" w:space="4" w:color="auto"/>
          <w:bottom w:val="single" w:sz="4" w:space="13"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June 2025</w:t>
      </w:r>
      <w:bookmarkEnd w:id="7"/>
      <w:r w:rsidRPr="009418D4">
        <w:rPr>
          <w:rFonts w:cs="Arial"/>
        </w:rPr>
        <w:tab/>
        <w:t xml:space="preserve">End date: </w:t>
      </w:r>
      <w:bookmarkStart w:id="8" w:name="AuditEndDate"/>
      <w:r>
        <w:rPr>
          <w:rFonts w:cs="Arial"/>
        </w:rPr>
        <w:t>4 June 2025</w:t>
      </w:r>
      <w:bookmarkEnd w:id="8"/>
    </w:p>
    <w:p w14:paraId="02EF5346" w14:textId="77777777" w:rsidR="00000000" w:rsidRPr="009418D4" w:rsidRDefault="00000000" w:rsidP="0045794B">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service was verified as suitable for physical disability services (physical). Please add this level to their certificate. </w:t>
      </w:r>
    </w:p>
    <w:bookmarkEnd w:id="9"/>
    <w:p w14:paraId="4E755642" w14:textId="5AC40FCD" w:rsidR="00000000" w:rsidRDefault="00000000" w:rsidP="0045794B">
      <w:pPr>
        <w:pBdr>
          <w:top w:val="single" w:sz="4" w:space="1" w:color="auto"/>
          <w:left w:val="single" w:sz="4" w:space="4" w:color="auto"/>
          <w:bottom w:val="single" w:sz="4" w:space="13"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proofErr w:type="gramStart"/>
      <w:r w:rsidRPr="009418D4">
        <w:rPr>
          <w:rFonts w:cs="Arial"/>
        </w:rPr>
        <w:t>58</w:t>
      </w:r>
      <w:bookmarkEnd w:id="10"/>
      <w:proofErr w:type="gramEnd"/>
    </w:p>
    <w:p w14:paraId="067AFB85" w14:textId="77777777" w:rsidR="00000000" w:rsidRDefault="00000000">
      <w:pPr>
        <w:pStyle w:val="Heading1"/>
        <w:rPr>
          <w:rFonts w:cs="Arial"/>
        </w:rPr>
      </w:pPr>
      <w:r>
        <w:rPr>
          <w:rFonts w:cs="Arial"/>
        </w:rPr>
        <w:lastRenderedPageBreak/>
        <w:t>Executive summary of the audit</w:t>
      </w:r>
    </w:p>
    <w:p w14:paraId="370FD31E" w14:textId="77777777" w:rsidR="00000000" w:rsidRDefault="00000000">
      <w:pPr>
        <w:pStyle w:val="Heading2"/>
        <w:rPr>
          <w:rFonts w:cs="Arial"/>
        </w:rPr>
      </w:pPr>
      <w:r>
        <w:rPr>
          <w:rFonts w:cs="Arial"/>
        </w:rPr>
        <w:t>Introduction</w:t>
      </w:r>
    </w:p>
    <w:p w14:paraId="7522E968"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7612DD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6299DD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59985DE"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DB16F0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AFDA0DD"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F10E3AD"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5FB2FD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066928A"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663D33" w14:paraId="33FAF767" w14:textId="77777777">
        <w:trPr>
          <w:cantSplit/>
          <w:tblHeader/>
        </w:trPr>
        <w:tc>
          <w:tcPr>
            <w:tcW w:w="1260" w:type="dxa"/>
            <w:tcBorders>
              <w:bottom w:val="single" w:sz="4" w:space="0" w:color="000000"/>
            </w:tcBorders>
            <w:vAlign w:val="center"/>
          </w:tcPr>
          <w:p w14:paraId="4A10664A"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230FA8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C07D81F" w14:textId="77777777" w:rsidR="00000000" w:rsidRDefault="00000000">
            <w:pPr>
              <w:spacing w:before="60" w:after="60"/>
              <w:rPr>
                <w:rFonts w:eastAsia="Calibri"/>
                <w:b/>
                <w:szCs w:val="24"/>
              </w:rPr>
            </w:pPr>
            <w:r>
              <w:rPr>
                <w:rFonts w:eastAsia="Calibri"/>
                <w:b/>
                <w:szCs w:val="24"/>
              </w:rPr>
              <w:t>Definition</w:t>
            </w:r>
          </w:p>
        </w:tc>
      </w:tr>
      <w:tr w:rsidR="00663D33" w14:paraId="0466DE68" w14:textId="77777777">
        <w:trPr>
          <w:cantSplit/>
          <w:trHeight w:val="964"/>
        </w:trPr>
        <w:tc>
          <w:tcPr>
            <w:tcW w:w="1260" w:type="dxa"/>
            <w:tcBorders>
              <w:bottom w:val="single" w:sz="4" w:space="0" w:color="000000"/>
            </w:tcBorders>
            <w:shd w:val="clear" w:color="0066FF" w:fill="0000FF"/>
            <w:vAlign w:val="center"/>
          </w:tcPr>
          <w:p w14:paraId="3DF1F19A"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5CE69DB"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ABF9FE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663D33" w14:paraId="4EDE92D6" w14:textId="77777777">
        <w:trPr>
          <w:cantSplit/>
          <w:trHeight w:val="964"/>
        </w:trPr>
        <w:tc>
          <w:tcPr>
            <w:tcW w:w="1260" w:type="dxa"/>
            <w:shd w:val="clear" w:color="33CC33" w:fill="00FF00"/>
            <w:vAlign w:val="center"/>
          </w:tcPr>
          <w:p w14:paraId="796EDBB3" w14:textId="77777777" w:rsidR="00000000" w:rsidRDefault="00000000">
            <w:pPr>
              <w:spacing w:before="60" w:after="60"/>
              <w:rPr>
                <w:rFonts w:eastAsia="Calibri"/>
                <w:szCs w:val="24"/>
              </w:rPr>
            </w:pPr>
          </w:p>
        </w:tc>
        <w:tc>
          <w:tcPr>
            <w:tcW w:w="7095" w:type="dxa"/>
            <w:shd w:val="clear" w:color="auto" w:fill="auto"/>
            <w:vAlign w:val="center"/>
          </w:tcPr>
          <w:p w14:paraId="2CEF4A67"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3062C4E"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663D33" w14:paraId="004A21CD" w14:textId="77777777">
        <w:trPr>
          <w:cantSplit/>
          <w:trHeight w:val="964"/>
        </w:trPr>
        <w:tc>
          <w:tcPr>
            <w:tcW w:w="1260" w:type="dxa"/>
            <w:tcBorders>
              <w:bottom w:val="single" w:sz="4" w:space="0" w:color="000000"/>
            </w:tcBorders>
            <w:shd w:val="clear" w:color="auto" w:fill="FFFF00"/>
            <w:vAlign w:val="center"/>
          </w:tcPr>
          <w:p w14:paraId="4BB4082A" w14:textId="77777777" w:rsidR="00000000" w:rsidRDefault="00000000">
            <w:pPr>
              <w:spacing w:before="60" w:after="60"/>
              <w:rPr>
                <w:rFonts w:eastAsia="Calibri"/>
                <w:szCs w:val="24"/>
              </w:rPr>
            </w:pPr>
          </w:p>
        </w:tc>
        <w:tc>
          <w:tcPr>
            <w:tcW w:w="7095" w:type="dxa"/>
            <w:shd w:val="clear" w:color="auto" w:fill="auto"/>
            <w:vAlign w:val="center"/>
          </w:tcPr>
          <w:p w14:paraId="54AA06BA"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9D0F4C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663D33" w14:paraId="7953B9CD" w14:textId="77777777">
        <w:trPr>
          <w:cantSplit/>
          <w:trHeight w:val="964"/>
        </w:trPr>
        <w:tc>
          <w:tcPr>
            <w:tcW w:w="1260" w:type="dxa"/>
            <w:tcBorders>
              <w:bottom w:val="single" w:sz="4" w:space="0" w:color="000000"/>
            </w:tcBorders>
            <w:shd w:val="clear" w:color="auto" w:fill="FFC800"/>
            <w:vAlign w:val="center"/>
          </w:tcPr>
          <w:p w14:paraId="36FF63D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EA68CBE"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672487D"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663D33" w14:paraId="75EFDCF9" w14:textId="77777777">
        <w:trPr>
          <w:cantSplit/>
          <w:trHeight w:val="964"/>
        </w:trPr>
        <w:tc>
          <w:tcPr>
            <w:tcW w:w="1260" w:type="dxa"/>
            <w:shd w:val="clear" w:color="auto" w:fill="FF0000"/>
            <w:vAlign w:val="center"/>
          </w:tcPr>
          <w:p w14:paraId="1C0BD7E0" w14:textId="77777777" w:rsidR="00000000" w:rsidRDefault="00000000">
            <w:pPr>
              <w:spacing w:before="60" w:after="60"/>
              <w:rPr>
                <w:rFonts w:eastAsia="Calibri"/>
                <w:szCs w:val="24"/>
              </w:rPr>
            </w:pPr>
          </w:p>
        </w:tc>
        <w:tc>
          <w:tcPr>
            <w:tcW w:w="7095" w:type="dxa"/>
            <w:shd w:val="clear" w:color="auto" w:fill="auto"/>
            <w:vAlign w:val="center"/>
          </w:tcPr>
          <w:p w14:paraId="0D655D28"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4B38487"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0DFD2390" w14:textId="77777777" w:rsidR="00000000" w:rsidRDefault="00000000">
      <w:pPr>
        <w:pStyle w:val="Heading2"/>
        <w:spacing w:after="0"/>
        <w:rPr>
          <w:rFonts w:cs="Arial"/>
        </w:rPr>
      </w:pPr>
      <w:r>
        <w:rPr>
          <w:rFonts w:cs="Arial"/>
        </w:rPr>
        <w:t>General overview of the audit</w:t>
      </w:r>
    </w:p>
    <w:p w14:paraId="4349FC64" w14:textId="77777777" w:rsidR="00000000" w:rsidRDefault="00000000">
      <w:pPr>
        <w:spacing w:before="240" w:line="276" w:lineRule="auto"/>
        <w:rPr>
          <w:rFonts w:eastAsia="Calibri"/>
        </w:rPr>
      </w:pPr>
      <w:bookmarkStart w:id="13" w:name="GeneralOverview"/>
      <w:r w:rsidRPr="00A4268A">
        <w:rPr>
          <w:rFonts w:eastAsia="Calibri"/>
        </w:rPr>
        <w:t xml:space="preserve">Radius Taupaki Gables is owned and operated by Radius Residential Care Limited. The service provides hospital (medical and geriatric) and rest home level of care for up to 60 residents. On the day of the audit there were 58 residents. </w:t>
      </w:r>
    </w:p>
    <w:p w14:paraId="08646132" w14:textId="77777777" w:rsidR="00663D33"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and Ministry of Social Development. The audit process included the review of policies and procedures; the review of residents and staff files; observations; and interviews with residents, family/whānau, management, staff, and a general practitioner. No consumer auditor participated in the audit process. The service is also verified at this audit as suitable for providing residential disability services (physical).</w:t>
      </w:r>
    </w:p>
    <w:p w14:paraId="0DF17EFA" w14:textId="77777777" w:rsidR="00663D33" w:rsidRPr="00A4268A" w:rsidRDefault="00000000">
      <w:pPr>
        <w:spacing w:before="240" w:line="276" w:lineRule="auto"/>
        <w:rPr>
          <w:rFonts w:eastAsia="Calibri"/>
        </w:rPr>
      </w:pPr>
      <w:r w:rsidRPr="00A4268A">
        <w:rPr>
          <w:rFonts w:eastAsia="Calibri"/>
        </w:rPr>
        <w:t>There was a change in management since the last audit. The service continues to upgrade the environment. The facility manager is an enrolled nurse, who is suitably qualified and experienced in aged care. The facility manager is supported by the clinical nurse manager, office manager, and team of experienced care staff. These roles are supported by a Radius regional manager and a national quality manager.</w:t>
      </w:r>
    </w:p>
    <w:p w14:paraId="04A0FF10" w14:textId="77777777" w:rsidR="00663D33" w:rsidRPr="00A4268A" w:rsidRDefault="00000000">
      <w:pPr>
        <w:spacing w:before="240" w:line="276" w:lineRule="auto"/>
        <w:rPr>
          <w:rFonts w:eastAsia="Calibri"/>
        </w:rPr>
      </w:pPr>
      <w:r w:rsidRPr="00A4268A">
        <w:rPr>
          <w:rFonts w:eastAsia="Calibri"/>
        </w:rPr>
        <w:t>This audit has identified no shortfalls.</w:t>
      </w:r>
    </w:p>
    <w:p w14:paraId="2F65ABCE" w14:textId="77777777" w:rsidR="00663D33" w:rsidRPr="00A4268A" w:rsidRDefault="00000000">
      <w:pPr>
        <w:spacing w:before="240" w:line="276" w:lineRule="auto"/>
        <w:rPr>
          <w:rFonts w:eastAsia="Calibri"/>
        </w:rPr>
      </w:pPr>
      <w:r w:rsidRPr="00A4268A">
        <w:rPr>
          <w:rFonts w:eastAsia="Calibri"/>
        </w:rPr>
        <w:t xml:space="preserve">The positive outcomes related to the palliative care training and the sustainability programme have each been awarded a continuous improvement rating. </w:t>
      </w:r>
    </w:p>
    <w:bookmarkEnd w:id="13"/>
    <w:p w14:paraId="6A7CD101" w14:textId="77777777" w:rsidR="00663D33" w:rsidRPr="00A4268A" w:rsidRDefault="00663D33">
      <w:pPr>
        <w:spacing w:before="240" w:line="276" w:lineRule="auto"/>
        <w:rPr>
          <w:rFonts w:eastAsia="Calibri"/>
        </w:rPr>
      </w:pPr>
    </w:p>
    <w:p w14:paraId="516B0507"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1FEADA66" w14:textId="77777777" w:rsidTr="00A4268A">
        <w:trPr>
          <w:cantSplit/>
        </w:trPr>
        <w:tc>
          <w:tcPr>
            <w:tcW w:w="10206" w:type="dxa"/>
            <w:vAlign w:val="center"/>
          </w:tcPr>
          <w:p w14:paraId="11ACCC71"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D2BB7E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3C1E1A"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A5B697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FC92EFC" w14:textId="77777777" w:rsidR="00000000" w:rsidRDefault="00000000">
      <w:pPr>
        <w:spacing w:before="240" w:line="276" w:lineRule="auto"/>
        <w:rPr>
          <w:rFonts w:eastAsia="Calibri"/>
        </w:rPr>
      </w:pPr>
      <w:bookmarkStart w:id="16" w:name="ConsumerRights"/>
      <w:r w:rsidRPr="00A4268A">
        <w:rPr>
          <w:rFonts w:eastAsia="Calibri"/>
        </w:rPr>
        <w:t>Radius Taupaki Gables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341C284E" w14:textId="77777777" w:rsidR="00663D33"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Radius Taupaki Gables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w:t>
      </w:r>
    </w:p>
    <w:p w14:paraId="3742F900" w14:textId="77777777" w:rsidR="00663D33" w:rsidRPr="00A4268A" w:rsidRDefault="00000000">
      <w:pPr>
        <w:spacing w:before="240" w:line="276" w:lineRule="auto"/>
        <w:rPr>
          <w:rFonts w:eastAsia="Calibri"/>
        </w:rPr>
      </w:pPr>
      <w:r w:rsidRPr="00A4268A">
        <w:rPr>
          <w:rFonts w:eastAsia="Calibri"/>
        </w:rPr>
        <w:t xml:space="preserve">The rights of the resident and/or their family/whānau to make a complaint is understood, respected, and upheld by the service. Complaints processes are implemented, and complaints and concerns are actively managed and well-documented. </w:t>
      </w:r>
    </w:p>
    <w:bookmarkEnd w:id="16"/>
    <w:p w14:paraId="1F57457A" w14:textId="77777777" w:rsidR="00663D33" w:rsidRPr="00A4268A" w:rsidRDefault="00663D33">
      <w:pPr>
        <w:spacing w:before="240" w:line="276" w:lineRule="auto"/>
        <w:rPr>
          <w:rFonts w:eastAsia="Calibri"/>
        </w:rPr>
      </w:pPr>
    </w:p>
    <w:p w14:paraId="72110FF1"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52492ABE" w14:textId="77777777" w:rsidTr="00A4268A">
        <w:trPr>
          <w:cantSplit/>
        </w:trPr>
        <w:tc>
          <w:tcPr>
            <w:tcW w:w="10206" w:type="dxa"/>
            <w:vAlign w:val="center"/>
          </w:tcPr>
          <w:p w14:paraId="139D7A5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B6B9475"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092B041B"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BF997EF" w14:textId="77777777" w:rsidR="00000000" w:rsidRDefault="00000000">
      <w:pPr>
        <w:spacing w:before="240" w:line="276" w:lineRule="auto"/>
        <w:rPr>
          <w:rFonts w:eastAsia="Calibri"/>
        </w:rPr>
      </w:pPr>
      <w:bookmarkStart w:id="19" w:name="OrganisationalManagement"/>
      <w:r w:rsidRPr="00A4268A">
        <w:rPr>
          <w:rFonts w:eastAsia="Calibri"/>
        </w:rPr>
        <w:t xml:space="preserve">Radius Taupaki Gables is part of the Radius Residential Care group. The business plan includes a mission statement and operational and clinical objectives. The service has effective quality and risk management systems in place that takes a risk-based </w:t>
      </w:r>
      <w:r w:rsidRPr="00A4268A">
        <w:rPr>
          <w:rFonts w:eastAsia="Calibri"/>
        </w:rPr>
        <w:lastRenderedPageBreak/>
        <w:t xml:space="preserve">approach, and these systems meet the needs of residents and their staff. Quality improvement projects are implemented. Internal audits, meetings, and collation of data were all documented as taking place as scheduled, with corrective actions as indicated. </w:t>
      </w:r>
    </w:p>
    <w:p w14:paraId="11468EA8" w14:textId="77777777" w:rsidR="00663D33"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regional manager and a consolidated report and analysis of all Radius facilities are then provided to the Board each month.</w:t>
      </w:r>
    </w:p>
    <w:p w14:paraId="5ADB8CE9" w14:textId="77777777" w:rsidR="00663D33"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is in place.</w:t>
      </w:r>
    </w:p>
    <w:p w14:paraId="33B9A43B" w14:textId="77777777" w:rsidR="00663D33" w:rsidRPr="00A4268A" w:rsidRDefault="00000000">
      <w:pPr>
        <w:spacing w:before="240" w:line="276" w:lineRule="auto"/>
        <w:rPr>
          <w:rFonts w:eastAsia="Calibri"/>
        </w:rPr>
      </w:pPr>
      <w:r w:rsidRPr="00A4268A">
        <w:rPr>
          <w:rFonts w:eastAsia="Calibri"/>
        </w:rPr>
        <w:t xml:space="preserve">The service ensures the collection, storage, and use of personal and health information of residents and staff is secure, accessible, and confidential. </w:t>
      </w:r>
    </w:p>
    <w:bookmarkEnd w:id="19"/>
    <w:p w14:paraId="73DE4040" w14:textId="77777777" w:rsidR="00663D33" w:rsidRPr="00A4268A" w:rsidRDefault="00663D33">
      <w:pPr>
        <w:spacing w:before="240" w:line="276" w:lineRule="auto"/>
        <w:rPr>
          <w:rFonts w:eastAsia="Calibri"/>
        </w:rPr>
      </w:pPr>
    </w:p>
    <w:p w14:paraId="3053C8C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491E4C48" w14:textId="77777777" w:rsidTr="00A4268A">
        <w:trPr>
          <w:cantSplit/>
        </w:trPr>
        <w:tc>
          <w:tcPr>
            <w:tcW w:w="10206" w:type="dxa"/>
            <w:vAlign w:val="center"/>
          </w:tcPr>
          <w:p w14:paraId="1949E8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35F2841"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981304"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A61391A"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Residents are assessed before entry to the service to confirm their level of care. The registered nurses are responsible for assessing, developing, and evaluating care plans under the guidance of the clinical nurse manager. Care plans were individualised based on the residents’ assessed needs, with appropriate interventions.</w:t>
      </w:r>
    </w:p>
    <w:p w14:paraId="6ED87734" w14:textId="77777777" w:rsidR="00663D33" w:rsidRPr="00A4268A" w:rsidRDefault="00000000" w:rsidP="00621629">
      <w:pPr>
        <w:spacing w:before="240" w:line="276" w:lineRule="auto"/>
        <w:rPr>
          <w:rFonts w:eastAsia="Calibri"/>
        </w:rPr>
      </w:pPr>
      <w:r w:rsidRPr="00A4268A">
        <w:rPr>
          <w:rFonts w:eastAsia="Calibri"/>
        </w:rPr>
        <w:t>Activities are planned to address the residents' needs and interests as individuals and in group settings. Activity plans are completed in consultation with family/whānau, residents, and staff. Residents and family/whānau expressed satisfaction with the activity programme in place.</w:t>
      </w:r>
    </w:p>
    <w:p w14:paraId="01620127" w14:textId="77777777" w:rsidR="00663D33" w:rsidRPr="00A4268A" w:rsidRDefault="00000000" w:rsidP="00621629">
      <w:pPr>
        <w:spacing w:before="240" w:line="276" w:lineRule="auto"/>
        <w:rPr>
          <w:rFonts w:eastAsia="Calibri"/>
        </w:rPr>
      </w:pPr>
      <w:r w:rsidRPr="00A4268A">
        <w:rPr>
          <w:rFonts w:eastAsia="Calibri"/>
        </w:rPr>
        <w:lastRenderedPageBreak/>
        <w:t>The organisation uses an electronic medication management system to prescribe and administer medications. The general practitioner is responsible for all medication reviews. Staff involved in medication administration are assessed as competent to do so.</w:t>
      </w:r>
    </w:p>
    <w:p w14:paraId="27D2E101" w14:textId="77777777" w:rsidR="00663D33"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when required.</w:t>
      </w:r>
    </w:p>
    <w:p w14:paraId="600EA0CE" w14:textId="77777777" w:rsidR="00663D33" w:rsidRPr="00A4268A" w:rsidRDefault="00000000" w:rsidP="00621629">
      <w:pPr>
        <w:spacing w:before="240" w:line="276" w:lineRule="auto"/>
        <w:rPr>
          <w:rFonts w:eastAsia="Calibri"/>
        </w:rPr>
      </w:pPr>
      <w:r w:rsidRPr="00A4268A">
        <w:rPr>
          <w:rFonts w:eastAsia="Calibri"/>
        </w:rPr>
        <w:t xml:space="preserve">Residents are referred or transferred to other health services as required. </w:t>
      </w:r>
    </w:p>
    <w:bookmarkEnd w:id="22"/>
    <w:p w14:paraId="2C3BE214" w14:textId="77777777" w:rsidR="00663D33" w:rsidRPr="00A4268A" w:rsidRDefault="00663D33" w:rsidP="00621629">
      <w:pPr>
        <w:spacing w:before="240" w:line="276" w:lineRule="auto"/>
        <w:rPr>
          <w:rFonts w:eastAsia="Calibri"/>
        </w:rPr>
      </w:pPr>
    </w:p>
    <w:p w14:paraId="105CF65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77EAD19B" w14:textId="77777777" w:rsidTr="00A4268A">
        <w:trPr>
          <w:cantSplit/>
        </w:trPr>
        <w:tc>
          <w:tcPr>
            <w:tcW w:w="10206" w:type="dxa"/>
            <w:vAlign w:val="center"/>
          </w:tcPr>
          <w:p w14:paraId="5962BEE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C43255F"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6FD8BD8"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6781622" w14:textId="77777777" w:rsidR="00000000" w:rsidRDefault="00000000">
      <w:pPr>
        <w:spacing w:before="240" w:line="276" w:lineRule="auto"/>
        <w:rPr>
          <w:rFonts w:eastAsia="Calibri"/>
        </w:rPr>
      </w:pPr>
      <w:bookmarkStart w:id="25" w:name="SafeAndAppropriateEnvironment"/>
      <w:r w:rsidRPr="00A4268A">
        <w:rPr>
          <w:rFonts w:eastAsia="Calibri"/>
        </w:rPr>
        <w:t>The facility meets residents' needs and is clean and well-maintained. A preventative maintenance programme is being implemented. A current building warrant of fitness is in place. Electrical and biomedical equipment has been checked and calibrated as required. External areas are accessible and safe, provide shade and seating, and meet the needs of people with disabilities. Emergency equipment and supplies are available. There is an approved evacuation scheme, and fire drills are conducted six-monthly. Staff members on duty on each shift hold current first aid certificates. Staff, residents, and family/whānau understand emergency and security arrangements. Hazards are identified, and appropriate interventions are implemented. Residents and family/whānau reported a timely staff response to call bells. Security is maintained.</w:t>
      </w:r>
    </w:p>
    <w:bookmarkEnd w:id="25"/>
    <w:p w14:paraId="47F5BC57" w14:textId="77777777" w:rsidR="00663D33" w:rsidRPr="00A4268A" w:rsidRDefault="00663D33">
      <w:pPr>
        <w:spacing w:before="240" w:line="276" w:lineRule="auto"/>
        <w:rPr>
          <w:rFonts w:eastAsia="Calibri"/>
        </w:rPr>
      </w:pPr>
    </w:p>
    <w:p w14:paraId="394732F8"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1650731D" w14:textId="77777777" w:rsidTr="00A4268A">
        <w:trPr>
          <w:cantSplit/>
        </w:trPr>
        <w:tc>
          <w:tcPr>
            <w:tcW w:w="10206" w:type="dxa"/>
            <w:vAlign w:val="center"/>
          </w:tcPr>
          <w:p w14:paraId="7B7B1401"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BBB683E"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F9AF25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75CE226"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A suite of infection control policies and procedures are documented. There is a comprehensive pandemic plan. The infection control programme is appropriate for the size and complexity of the service. All policies, procedures, the pandemic plan, and the infection control programme have been approved by the Board. </w:t>
      </w:r>
    </w:p>
    <w:p w14:paraId="315C91A4" w14:textId="77777777" w:rsidR="00663D33" w:rsidRPr="00A4268A" w:rsidRDefault="00000000">
      <w:pPr>
        <w:spacing w:before="240" w:line="276" w:lineRule="auto"/>
        <w:rPr>
          <w:rFonts w:eastAsia="Calibri"/>
        </w:rPr>
      </w:pPr>
      <w:r w:rsidRPr="00A4268A">
        <w:rPr>
          <w:rFonts w:eastAsia="Calibri"/>
        </w:rPr>
        <w:t>The clinical nurse manager is the infection control coordinator. The infection control coordinator is supported by representation from all areas of the service. There is access to a range of resources. Education is provided to staff at induction to the service and is included in the education planner. Internal audits are completed, with corrective actions completed where required. There are policies and procedures implemented around antimicrobial stewardship and data is collated and analysed monthly.</w:t>
      </w:r>
    </w:p>
    <w:p w14:paraId="474BFF25" w14:textId="77777777" w:rsidR="00663D33" w:rsidRPr="00A4268A" w:rsidRDefault="00000000">
      <w:pPr>
        <w:spacing w:before="240" w:line="276" w:lineRule="auto"/>
        <w:rPr>
          <w:rFonts w:eastAsia="Calibri"/>
        </w:rPr>
      </w:pPr>
      <w:r w:rsidRPr="00A4268A">
        <w:rPr>
          <w:rFonts w:eastAsia="Calibri"/>
        </w:rPr>
        <w:t>Surveillance data is collated. Infection incidents are collected and analysed for trends and the information used to identify opportunities for improvements. Internal benchmarking within the organisation occurs. Staff are informed about infection control practices through handover, meetings, and education sessions.</w:t>
      </w:r>
    </w:p>
    <w:p w14:paraId="4987FB9E" w14:textId="77777777" w:rsidR="00663D33" w:rsidRPr="00A4268A" w:rsidRDefault="00000000">
      <w:pPr>
        <w:spacing w:before="240" w:line="276" w:lineRule="auto"/>
        <w:rPr>
          <w:rFonts w:eastAsia="Calibri"/>
        </w:rPr>
      </w:pPr>
      <w:r w:rsidRPr="00A4268A">
        <w:rPr>
          <w:rFonts w:eastAsia="Calibri"/>
        </w:rPr>
        <w:t xml:space="preserve">There are documented processes for the management of waste and hazardous substances in place. There are dedicated housekeeping staff, who provide all cleaning duties, and laundry service is undertaken off site. Documented policies and procedures for the cleaning and laundry services are implemented, with appropriate monitoring systems in place to evaluate the effectiveness of these services. </w:t>
      </w:r>
    </w:p>
    <w:bookmarkEnd w:id="28"/>
    <w:p w14:paraId="00CCB9B0" w14:textId="77777777" w:rsidR="00663D33" w:rsidRPr="00A4268A" w:rsidRDefault="00663D33">
      <w:pPr>
        <w:spacing w:before="240" w:line="276" w:lineRule="auto"/>
        <w:rPr>
          <w:rFonts w:eastAsia="Calibri"/>
        </w:rPr>
      </w:pPr>
    </w:p>
    <w:p w14:paraId="48FC4DE2"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663D33" w14:paraId="35A0C699" w14:textId="77777777" w:rsidTr="00A4268A">
        <w:trPr>
          <w:cantSplit/>
        </w:trPr>
        <w:tc>
          <w:tcPr>
            <w:tcW w:w="10206" w:type="dxa"/>
            <w:vAlign w:val="center"/>
          </w:tcPr>
          <w:p w14:paraId="1244B2B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089E795"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58620AF"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3EF9A25" w14:textId="77777777" w:rsidR="00000000" w:rsidRDefault="00000000">
      <w:pPr>
        <w:spacing w:before="240" w:line="276" w:lineRule="auto"/>
        <w:rPr>
          <w:rFonts w:eastAsia="Calibri"/>
        </w:rPr>
      </w:pPr>
      <w:bookmarkStart w:id="31" w:name="InfectionPreventionAndControl"/>
      <w:r w:rsidRPr="00A4268A">
        <w:rPr>
          <w:rFonts w:eastAsia="Calibri"/>
        </w:rPr>
        <w:t xml:space="preserve">There is governance commitment documented to eliminate restraint in their facilities. The service considers least restrictive practices, implementing de-escalation techniques and alternative interventions, and would only use an approved restraint as the last resort. There were no residents using restraint at the time of the audit. The restraint coordinator is an enrolled nurse. Restraint training which includes behaviours that challenge and de-escalation strategies, is completed as part of the mandatory training plan. Quality review of restraint use occurs monthly and is benchmarked. </w:t>
      </w:r>
    </w:p>
    <w:bookmarkEnd w:id="31"/>
    <w:p w14:paraId="49F970FB" w14:textId="77777777" w:rsidR="00663D33" w:rsidRPr="00A4268A" w:rsidRDefault="00663D33">
      <w:pPr>
        <w:spacing w:before="240" w:line="276" w:lineRule="auto"/>
        <w:rPr>
          <w:rFonts w:eastAsia="Calibri"/>
        </w:rPr>
      </w:pPr>
    </w:p>
    <w:p w14:paraId="01702AA0" w14:textId="77777777" w:rsidR="00000000" w:rsidRDefault="00000000" w:rsidP="000E6E02">
      <w:pPr>
        <w:pStyle w:val="Heading2"/>
        <w:spacing w:before="0"/>
        <w:rPr>
          <w:rFonts w:cs="Arial"/>
        </w:rPr>
      </w:pPr>
      <w:r>
        <w:rPr>
          <w:rFonts w:cs="Arial"/>
        </w:rPr>
        <w:t>Summary of attainment</w:t>
      </w:r>
    </w:p>
    <w:p w14:paraId="471FDCA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63D33" w14:paraId="45027951" w14:textId="77777777">
        <w:tc>
          <w:tcPr>
            <w:tcW w:w="1384" w:type="dxa"/>
            <w:vAlign w:val="center"/>
          </w:tcPr>
          <w:p w14:paraId="2C60795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C1BC3EB" w14:textId="77777777" w:rsidR="00000000" w:rsidRDefault="00000000">
            <w:pPr>
              <w:keepNext/>
              <w:spacing w:before="60" w:after="60"/>
              <w:jc w:val="center"/>
              <w:rPr>
                <w:rFonts w:cs="Arial"/>
                <w:b/>
                <w:sz w:val="20"/>
                <w:szCs w:val="20"/>
              </w:rPr>
            </w:pPr>
            <w:r>
              <w:rPr>
                <w:rFonts w:cs="Arial"/>
                <w:b/>
                <w:sz w:val="20"/>
                <w:szCs w:val="20"/>
              </w:rPr>
              <w:t>Continuous Improvement</w:t>
            </w:r>
          </w:p>
          <w:p w14:paraId="2037C28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162E5258" w14:textId="77777777" w:rsidR="00000000" w:rsidRDefault="00000000">
            <w:pPr>
              <w:keepNext/>
              <w:spacing w:before="60" w:after="60"/>
              <w:jc w:val="center"/>
              <w:rPr>
                <w:rFonts w:cs="Arial"/>
                <w:b/>
                <w:sz w:val="20"/>
                <w:szCs w:val="20"/>
              </w:rPr>
            </w:pPr>
            <w:r>
              <w:rPr>
                <w:rFonts w:cs="Arial"/>
                <w:b/>
                <w:sz w:val="20"/>
                <w:szCs w:val="20"/>
              </w:rPr>
              <w:t>Fully Attained</w:t>
            </w:r>
          </w:p>
          <w:p w14:paraId="0A19AE4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63F5EAB"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81F722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96C2110"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43D07D5"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4621F85"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35FDA1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F3E03E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928E8E6"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17B7E9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9B377AA" w14:textId="77777777" w:rsidR="00000000" w:rsidRDefault="00000000">
            <w:pPr>
              <w:keepNext/>
              <w:spacing w:before="60" w:after="60"/>
              <w:jc w:val="center"/>
              <w:rPr>
                <w:rFonts w:cs="Arial"/>
                <w:b/>
                <w:sz w:val="20"/>
                <w:szCs w:val="20"/>
              </w:rPr>
            </w:pPr>
            <w:r>
              <w:rPr>
                <w:rFonts w:cs="Arial"/>
                <w:b/>
                <w:sz w:val="20"/>
                <w:szCs w:val="20"/>
              </w:rPr>
              <w:t>(PA Critical)</w:t>
            </w:r>
          </w:p>
        </w:tc>
      </w:tr>
      <w:tr w:rsidR="00663D33" w14:paraId="4184F65E" w14:textId="77777777">
        <w:tc>
          <w:tcPr>
            <w:tcW w:w="1384" w:type="dxa"/>
            <w:vAlign w:val="center"/>
          </w:tcPr>
          <w:p w14:paraId="0AF4F9F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26FF0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A13930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BFB5BD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4FE1B3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3671951"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54340CB"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0199C1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663D33" w14:paraId="2C24C534" w14:textId="77777777">
        <w:tc>
          <w:tcPr>
            <w:tcW w:w="1384" w:type="dxa"/>
            <w:vAlign w:val="center"/>
          </w:tcPr>
          <w:p w14:paraId="24EC44D9"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171A045D"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5C261AD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3CE130CE"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61A223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3A011A4"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ED1A31C"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B6B3D8B"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9AE2F37"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63D33" w14:paraId="2130D28A" w14:textId="77777777">
        <w:tc>
          <w:tcPr>
            <w:tcW w:w="1384" w:type="dxa"/>
            <w:vAlign w:val="center"/>
          </w:tcPr>
          <w:p w14:paraId="4A5603D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0DECF35"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EC01E9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B633844" w14:textId="77777777" w:rsidR="00000000" w:rsidRDefault="00000000">
            <w:pPr>
              <w:keepNext/>
              <w:spacing w:before="60" w:after="60"/>
              <w:jc w:val="center"/>
              <w:rPr>
                <w:rFonts w:cs="Arial"/>
                <w:b/>
                <w:sz w:val="20"/>
                <w:szCs w:val="20"/>
              </w:rPr>
            </w:pPr>
            <w:r>
              <w:rPr>
                <w:rFonts w:cs="Arial"/>
                <w:b/>
                <w:sz w:val="20"/>
                <w:szCs w:val="20"/>
              </w:rPr>
              <w:t>Unattained Low Risk</w:t>
            </w:r>
          </w:p>
          <w:p w14:paraId="78724A43"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397EA12" w14:textId="77777777" w:rsidR="00000000" w:rsidRDefault="00000000">
            <w:pPr>
              <w:keepNext/>
              <w:spacing w:before="60" w:after="60"/>
              <w:jc w:val="center"/>
              <w:rPr>
                <w:rFonts w:cs="Arial"/>
                <w:b/>
                <w:sz w:val="20"/>
                <w:szCs w:val="20"/>
              </w:rPr>
            </w:pPr>
            <w:r>
              <w:rPr>
                <w:rFonts w:cs="Arial"/>
                <w:b/>
                <w:sz w:val="20"/>
                <w:szCs w:val="20"/>
              </w:rPr>
              <w:t>Unattained Moderate Risk</w:t>
            </w:r>
          </w:p>
          <w:p w14:paraId="05FB8697"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D66FE5D" w14:textId="77777777" w:rsidR="00000000" w:rsidRDefault="00000000">
            <w:pPr>
              <w:keepNext/>
              <w:spacing w:before="60" w:after="60"/>
              <w:jc w:val="center"/>
              <w:rPr>
                <w:rFonts w:cs="Arial"/>
                <w:b/>
                <w:sz w:val="20"/>
                <w:szCs w:val="20"/>
              </w:rPr>
            </w:pPr>
            <w:r>
              <w:rPr>
                <w:rFonts w:cs="Arial"/>
                <w:b/>
                <w:sz w:val="20"/>
                <w:szCs w:val="20"/>
              </w:rPr>
              <w:t>Unattained High Risk</w:t>
            </w:r>
          </w:p>
          <w:p w14:paraId="1338EF68"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A453669" w14:textId="77777777" w:rsidR="00000000" w:rsidRDefault="00000000">
            <w:pPr>
              <w:keepNext/>
              <w:spacing w:before="60" w:after="60"/>
              <w:jc w:val="center"/>
              <w:rPr>
                <w:rFonts w:cs="Arial"/>
                <w:b/>
                <w:sz w:val="20"/>
                <w:szCs w:val="20"/>
              </w:rPr>
            </w:pPr>
            <w:r>
              <w:rPr>
                <w:rFonts w:cs="Arial"/>
                <w:b/>
                <w:sz w:val="20"/>
                <w:szCs w:val="20"/>
              </w:rPr>
              <w:t>Unattained Critical Risk</w:t>
            </w:r>
          </w:p>
          <w:p w14:paraId="1C451484" w14:textId="77777777" w:rsidR="00000000" w:rsidRDefault="00000000">
            <w:pPr>
              <w:keepNext/>
              <w:spacing w:before="60" w:after="60"/>
              <w:jc w:val="center"/>
              <w:rPr>
                <w:rFonts w:cs="Arial"/>
                <w:b/>
                <w:sz w:val="20"/>
                <w:szCs w:val="20"/>
              </w:rPr>
            </w:pPr>
            <w:r>
              <w:rPr>
                <w:rFonts w:cs="Arial"/>
                <w:b/>
                <w:sz w:val="20"/>
                <w:szCs w:val="20"/>
              </w:rPr>
              <w:t>(UA Critical)</w:t>
            </w:r>
          </w:p>
        </w:tc>
      </w:tr>
      <w:tr w:rsidR="00663D33" w14:paraId="37A012D2" w14:textId="77777777">
        <w:tc>
          <w:tcPr>
            <w:tcW w:w="1384" w:type="dxa"/>
            <w:vAlign w:val="center"/>
          </w:tcPr>
          <w:p w14:paraId="6909AFA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3A48A5C"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A5CCC74"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51C6098"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CB29AFD"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AF0816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663D33" w14:paraId="02DF9D7F" w14:textId="77777777">
        <w:tc>
          <w:tcPr>
            <w:tcW w:w="1384" w:type="dxa"/>
            <w:vAlign w:val="center"/>
          </w:tcPr>
          <w:p w14:paraId="12FEDF0E"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56BFCA9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CCE186"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CF4882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C181C07"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3F82CE9"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7A9C31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6AF0F4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24EAA65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8FBEEE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1359"/>
        <w:gridCol w:w="6441"/>
      </w:tblGrid>
      <w:tr w:rsidR="00663D33" w14:paraId="57727B19" w14:textId="77777777">
        <w:tc>
          <w:tcPr>
            <w:tcW w:w="0" w:type="auto"/>
          </w:tcPr>
          <w:p w14:paraId="540926E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E273A7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1FB0EC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63D33" w14:paraId="3D701CAA" w14:textId="77777777">
        <w:tc>
          <w:tcPr>
            <w:tcW w:w="0" w:type="auto"/>
          </w:tcPr>
          <w:p w14:paraId="5DE95E9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CDFF338"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682960B" w14:textId="77777777" w:rsidR="00000000" w:rsidRPr="00BE00C7" w:rsidRDefault="00000000" w:rsidP="00BE00C7">
            <w:pPr>
              <w:pStyle w:val="OutcomeDescription"/>
              <w:spacing w:before="120" w:after="120"/>
              <w:rPr>
                <w:rFonts w:cs="Arial"/>
                <w:lang w:eastAsia="en-NZ"/>
              </w:rPr>
            </w:pPr>
          </w:p>
        </w:tc>
        <w:tc>
          <w:tcPr>
            <w:tcW w:w="0" w:type="auto"/>
          </w:tcPr>
          <w:p w14:paraId="2AC2F0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96E32E"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strategic plan is documented for the service, with this based on He Korowhai Oranga: Māori Health Strategy 2014. This plan acknowledges Te Tiriti o Waitangi as a founding document for New Zealand. The service has residents who identify as Māori. Radius is committed to respecting the self-determination, cultural values, and beliefs of Māori residents and family/whānau and the resident care plans include a Māori Health care plan based on Te Whare Tapa Whā. Links are established with local Māori community members, current residents, their family/whanau, and staff. Cultural assessments are in place and are completed for residents who identify as Māori. Staff receive compulsory training on cultural safety, kawa whakaruruhau and Te Tiriti O Waitangi.</w:t>
            </w:r>
          </w:p>
          <w:p w14:paraId="1E960B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strategic plan and Māori Health Strategy document support strategies to increase Māori capacity by employing and recruiting Māori staff at Radius Taupaki Gables. The Radius Taupaki Gables business plan documents a commitment and responsiveness to a culturally diverse workforce. At the time of the audit, there were staff members who identified as Māori. Radius is supporting Māori staff to succeed in the workplace. Residents and family/whānau are involved in providing input into the resident’s care planning, their </w:t>
            </w:r>
            <w:r w:rsidRPr="00BE00C7">
              <w:rPr>
                <w:rFonts w:cs="Arial"/>
                <w:lang w:eastAsia="en-NZ"/>
              </w:rPr>
              <w:lastRenderedPageBreak/>
              <w:t>activities, and their dietary needs.</w:t>
            </w:r>
          </w:p>
          <w:p w14:paraId="7D363D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fifteen staff (seven healthcare assistants [HCA], three registered nurses [RNs], two cleaners, one activities coordinator, one kitchen manager and one maintenance person) and three managers (facility manager [FM], clinical nurse manager [CNM], and regional manager [RM]) and documentation reviewed identified that the service promotes a culturally safe environment, and all staff members could describe encompassing the principles of Te Tiriti o Waitangi into their role. </w:t>
            </w:r>
          </w:p>
          <w:p w14:paraId="24D29378" w14:textId="77777777" w:rsidR="00000000" w:rsidRPr="00BE00C7" w:rsidRDefault="00000000" w:rsidP="00BE00C7">
            <w:pPr>
              <w:pStyle w:val="OutcomeDescription"/>
              <w:spacing w:before="120" w:after="120"/>
              <w:rPr>
                <w:rFonts w:cs="Arial"/>
                <w:lang w:eastAsia="en-NZ"/>
              </w:rPr>
            </w:pPr>
          </w:p>
        </w:tc>
      </w:tr>
      <w:tr w:rsidR="00663D33" w14:paraId="10C8154E" w14:textId="77777777">
        <w:tc>
          <w:tcPr>
            <w:tcW w:w="0" w:type="auto"/>
          </w:tcPr>
          <w:p w14:paraId="110876D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0CC391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5AD4BCC" w14:textId="77777777" w:rsidR="00000000" w:rsidRPr="00BE00C7" w:rsidRDefault="00000000" w:rsidP="00BE00C7">
            <w:pPr>
              <w:pStyle w:val="OutcomeDescription"/>
              <w:spacing w:before="120" w:after="120"/>
              <w:rPr>
                <w:rFonts w:cs="Arial"/>
                <w:lang w:eastAsia="en-NZ"/>
              </w:rPr>
            </w:pPr>
          </w:p>
        </w:tc>
        <w:tc>
          <w:tcPr>
            <w:tcW w:w="0" w:type="auto"/>
          </w:tcPr>
          <w:p w14:paraId="244199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B89B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Ola Manuia Pacific Health Plan describes the commitment to appropriate care and is the basis of the Radius Pacific Care Plan, based on the Fonofale model. The aim is to uphold the principles of Pacific people by acknowledging respectful relationships, valuing families, and providing high quality healthcare. The National Cultural Committee represent Pacific staff and residents and ensure they have a voice.</w:t>
            </w:r>
          </w:p>
          <w:p w14:paraId="5C2FDD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identifying as Pasifika at the time of the audit. However, RNs interviewed confirmed that their family/whānau are encouraged to be involved in all aspects of care, particularly in nursing and medical decisions, and recognition of cultural needs. Radius Taupaki Gables partners with their Pacific employees to ensure connectivity within the region to increase knowledge, awareness and understanding of the needs of Pacific people and celebrating cultural activities. The Code of Health and Disability Services Consumers' Rights (the Code) is accessible in a range of Pacific languages.</w:t>
            </w:r>
          </w:p>
          <w:p w14:paraId="3354FC1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continues to actively recruit new staff. There are currently staff employed that identify as Pasifika. The facility manager confirmed how Radius increases the capacity and capability of the Pacific workforce, as described in the business plan. </w:t>
            </w:r>
          </w:p>
          <w:p w14:paraId="5E58D3F4" w14:textId="77777777" w:rsidR="00000000" w:rsidRPr="00BE00C7" w:rsidRDefault="00000000" w:rsidP="00BE00C7">
            <w:pPr>
              <w:pStyle w:val="OutcomeDescription"/>
              <w:spacing w:before="120" w:after="120"/>
              <w:rPr>
                <w:rFonts w:cs="Arial"/>
                <w:lang w:eastAsia="en-NZ"/>
              </w:rPr>
            </w:pPr>
          </w:p>
        </w:tc>
      </w:tr>
      <w:tr w:rsidR="00663D33" w14:paraId="32D35C7E" w14:textId="77777777">
        <w:tc>
          <w:tcPr>
            <w:tcW w:w="0" w:type="auto"/>
          </w:tcPr>
          <w:p w14:paraId="66E606C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19E2D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4C52A558" w14:textId="77777777" w:rsidR="00000000" w:rsidRPr="00BE00C7" w:rsidRDefault="00000000" w:rsidP="00BE00C7">
            <w:pPr>
              <w:pStyle w:val="OutcomeDescription"/>
              <w:spacing w:before="120" w:after="120"/>
              <w:rPr>
                <w:rFonts w:cs="Arial"/>
                <w:lang w:eastAsia="en-NZ"/>
              </w:rPr>
            </w:pPr>
          </w:p>
        </w:tc>
        <w:tc>
          <w:tcPr>
            <w:tcW w:w="0" w:type="auto"/>
          </w:tcPr>
          <w:p w14:paraId="199DF8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63C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Details relating to the Code are included in the information that is provided to new residents and their family/whānau. The facility </w:t>
            </w:r>
            <w:r w:rsidRPr="00BE00C7">
              <w:rPr>
                <w:rFonts w:cs="Arial"/>
                <w:lang w:eastAsia="en-NZ"/>
              </w:rPr>
              <w:lastRenderedPageBreak/>
              <w:t>manager or clinical nurse manager discusses aspects of the Code with residents and their family/whānau on admission. The Code is displayed in multiple locations in English, and te reo Māori.</w:t>
            </w:r>
          </w:p>
          <w:p w14:paraId="7B99F522"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monthly resident meetings. Family/whānau are invited to attend. Residents and family/whānau interviewed reported that the service is upholding the residents’ rights. Interactions observed between staff and residents during the audit were respectful.</w:t>
            </w:r>
          </w:p>
          <w:p w14:paraId="5C5E049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information around resident advocacy is available at the entrance to the facility and in the entry pack of information provided to residents and their family/whānau. There are links to spiritual supports. Interdenominational church services are held weekly and these are well attended by residents. Staff have completed cultural training which includes Māori rights, Māori model of care and health equity. The service recognises Māori mana motuhake, which reflects in the Radius Taupaki Gables business and quality plan for 2025, Radius Māori Health Strategy and principles of Enabling Good Lives.</w:t>
            </w:r>
          </w:p>
          <w:p w14:paraId="1DE252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Interviews with six residents (four hospital, including two residents on a young person with disability contract [YPD], and two rest home residents) and six family/whānau (including four hospital, two of whom had residents who were under a YPD contract, and two rest home) evidenced that individual cultural beliefs and values, are respected. </w:t>
            </w:r>
          </w:p>
          <w:p w14:paraId="0E8581DB" w14:textId="77777777" w:rsidR="00000000" w:rsidRPr="00BE00C7" w:rsidRDefault="00000000" w:rsidP="00BE00C7">
            <w:pPr>
              <w:pStyle w:val="OutcomeDescription"/>
              <w:spacing w:before="120" w:after="120"/>
              <w:rPr>
                <w:rFonts w:cs="Arial"/>
                <w:lang w:eastAsia="en-NZ"/>
              </w:rPr>
            </w:pPr>
          </w:p>
        </w:tc>
      </w:tr>
      <w:tr w:rsidR="00663D33" w14:paraId="560D4E2C" w14:textId="77777777">
        <w:tc>
          <w:tcPr>
            <w:tcW w:w="0" w:type="auto"/>
          </w:tcPr>
          <w:p w14:paraId="71900E8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E898F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3E40FED9" w14:textId="77777777" w:rsidR="00000000" w:rsidRPr="00BE00C7" w:rsidRDefault="00000000" w:rsidP="00BE00C7">
            <w:pPr>
              <w:pStyle w:val="OutcomeDescription"/>
              <w:spacing w:before="120" w:after="120"/>
              <w:rPr>
                <w:rFonts w:cs="Arial"/>
                <w:lang w:eastAsia="en-NZ"/>
              </w:rPr>
            </w:pPr>
          </w:p>
        </w:tc>
        <w:tc>
          <w:tcPr>
            <w:tcW w:w="0" w:type="auto"/>
          </w:tcPr>
          <w:p w14:paraId="5E7D95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2E166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how they support residents to choose what they want to do. Residents interviewed stated they have choice; they are treated with respect and they participate in decision making. Residents are supported to make decisions about whether they would like family/whānau members to be involved in their care or other forms of support. Residents have control over their choice and personal matters, including choice over </w:t>
            </w:r>
            <w:r w:rsidRPr="00BE00C7">
              <w:rPr>
                <w:rFonts w:cs="Arial"/>
                <w:lang w:eastAsia="en-NZ"/>
              </w:rPr>
              <w:lastRenderedPageBreak/>
              <w:t xml:space="preserve">activities they participate in and who they socialise with. </w:t>
            </w:r>
          </w:p>
          <w:p w14:paraId="6C18AF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annual training plan demonstrates training that is responsive to the diverse needs of people across the service. The service promotes care that is holistic and collective in nature through educating staff about te ao Māori and listening to tāngata whaikaha when planning or changing services. It was observed that residents are treated with dignity, respect and spoke to in a courteous manner. </w:t>
            </w:r>
          </w:p>
          <w:p w14:paraId="0A20DA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model of care for YPD is strength based and aligns with Enabling Good Lives. A sexuality and intimacy policy is in place, with training as part of the education schedule. Staff interviewed stated they respect each resident’s right to have space for intimate relationships, including for the couples admitted in the service. Staff were observed to use person-centred and respectful language with residents. Residents and family/whānau interviewed were positive about the service in relation to their values and beliefs being considered and met. Privacy is ensured and independence is encouraged. Family/whānau interviewed stated that they enjoy coming and going as they please to visit their family member. </w:t>
            </w:r>
          </w:p>
          <w:p w14:paraId="295FDA0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A spirituality policy is in place. Satisfaction surveys are completed annually to survey resident satisfaction in relation to upholding residents’ spiritual and cultural needs.</w:t>
            </w:r>
          </w:p>
          <w:p w14:paraId="5D3C0F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confirmed that cultural diversity is embedded at Radius Taupaki Gables, and this was confirmed during interviews with staff. Te reo Māori is celebrated, and staff are encouraged and supported with correct pronunciation. A tikanga Māori flip chart is available for staff to use and te reo Māori resources are available on the education platform. Cultural awareness training is provided annually and covers Te Tiriti o Waitangi, health equity, Māori models of care, and tikanga Māori. </w:t>
            </w:r>
          </w:p>
          <w:p w14:paraId="643B67E3" w14:textId="77777777" w:rsidR="00000000" w:rsidRPr="00BE00C7" w:rsidRDefault="00000000" w:rsidP="00BE00C7">
            <w:pPr>
              <w:pStyle w:val="OutcomeDescription"/>
              <w:spacing w:before="120" w:after="120"/>
              <w:rPr>
                <w:rFonts w:cs="Arial"/>
                <w:lang w:eastAsia="en-NZ"/>
              </w:rPr>
            </w:pPr>
          </w:p>
        </w:tc>
      </w:tr>
      <w:tr w:rsidR="00663D33" w14:paraId="78309D91" w14:textId="77777777">
        <w:tc>
          <w:tcPr>
            <w:tcW w:w="0" w:type="auto"/>
          </w:tcPr>
          <w:p w14:paraId="577CDE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6C7494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F5EF74E" w14:textId="77777777" w:rsidR="00000000" w:rsidRPr="00BE00C7" w:rsidRDefault="00000000" w:rsidP="00BE00C7">
            <w:pPr>
              <w:pStyle w:val="OutcomeDescription"/>
              <w:spacing w:before="120" w:after="120"/>
              <w:rPr>
                <w:rFonts w:cs="Arial"/>
                <w:lang w:eastAsia="en-NZ"/>
              </w:rPr>
            </w:pPr>
          </w:p>
        </w:tc>
        <w:tc>
          <w:tcPr>
            <w:tcW w:w="0" w:type="auto"/>
          </w:tcPr>
          <w:p w14:paraId="094238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7BF701" w14:textId="2E9F19B2" w:rsidR="00000000" w:rsidRPr="00BE00C7" w:rsidRDefault="00000000" w:rsidP="00BE00C7">
            <w:pPr>
              <w:pStyle w:val="OutcomeDescription"/>
              <w:spacing w:before="120" w:after="120"/>
              <w:rPr>
                <w:rFonts w:cs="Arial"/>
                <w:lang w:eastAsia="en-NZ"/>
              </w:rPr>
            </w:pPr>
            <w:r w:rsidRPr="00BE00C7">
              <w:rPr>
                <w:rFonts w:cs="Arial"/>
                <w:lang w:eastAsia="en-NZ"/>
              </w:rPr>
              <w:t xml:space="preserve">An abuse and neglect policy is being implemented. Radius </w:t>
            </w:r>
            <w:proofErr w:type="spellStart"/>
            <w:r w:rsidRPr="00BE00C7">
              <w:rPr>
                <w:rFonts w:cs="Arial"/>
                <w:lang w:eastAsia="en-NZ"/>
              </w:rPr>
              <w:t>Taupaki</w:t>
            </w:r>
            <w:proofErr w:type="spellEnd"/>
            <w:r w:rsidRPr="00BE00C7">
              <w:rPr>
                <w:rFonts w:cs="Arial"/>
                <w:lang w:eastAsia="en-NZ"/>
              </w:rPr>
              <w:t xml:space="preserve"> Gables policies document actions taken to prevent any form of institutional racism, discrimination, coercion, harassment, or any other exploitation. The organisation is inclusive of all ethnicities, and cultural days are completed to celebrate diversity. A staff code of conduct and Radius pledge is discussed and signed during the new employee’s induction to the service, with evidence of staff signing the code of conduct policy. This code of conduct policy addresses the elimination of discrimination, harassment, and bullying. All staff are held responsible for creating a positive, inclusive and a safe working environment. Cultural diversity is acknowledged, and staff are educated on systemic racism and the understanding of injustices through policy and the code of conduct. Radius Māori Health Strategy includes strategies to abolishing institutional racism.</w:t>
            </w:r>
          </w:p>
          <w:p w14:paraId="4ABFC4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as well as equality, diversity, and inclusion. All residents and family/whānau interviewed confirmed that the staff are very caring, supportive, and respectful. </w:t>
            </w:r>
          </w:p>
          <w:p w14:paraId="39ED7B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care staff confirmed their understanding of professional boundaries, including the boundaries of their role and responsibilities. Professional boundaries are included as part of orientation. The staff engagement survey for 2024 and 2025 (sighted), evidence positive comments related to colleagues being helpful and supportive of each other, thus creating a positive workplace culture. Te Whare Tapa Whā is recognised, and the care plans identify resident-focused goals and reflects a person-centred model of care. </w:t>
            </w:r>
          </w:p>
          <w:p w14:paraId="6694DEB4" w14:textId="77777777" w:rsidR="00000000" w:rsidRPr="00BE00C7" w:rsidRDefault="00000000" w:rsidP="00BE00C7">
            <w:pPr>
              <w:pStyle w:val="OutcomeDescription"/>
              <w:spacing w:before="120" w:after="120"/>
              <w:rPr>
                <w:rFonts w:cs="Arial"/>
                <w:lang w:eastAsia="en-NZ"/>
              </w:rPr>
            </w:pPr>
          </w:p>
        </w:tc>
      </w:tr>
      <w:tr w:rsidR="00663D33" w14:paraId="71878909" w14:textId="77777777">
        <w:tc>
          <w:tcPr>
            <w:tcW w:w="0" w:type="auto"/>
          </w:tcPr>
          <w:p w14:paraId="7C19BF6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02CFE8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listened to and that what I say is valued, and I feel that all information exchanged contributes to enhancing my </w:t>
            </w:r>
            <w:r w:rsidRPr="00BE00C7">
              <w:rPr>
                <w:rFonts w:cs="Arial"/>
                <w:lang w:eastAsia="en-NZ"/>
              </w:rPr>
              <w:lastRenderedPageBreak/>
              <w:t>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D0D8409" w14:textId="77777777" w:rsidR="00000000" w:rsidRPr="00BE00C7" w:rsidRDefault="00000000" w:rsidP="00BE00C7">
            <w:pPr>
              <w:pStyle w:val="OutcomeDescription"/>
              <w:spacing w:before="120" w:after="120"/>
              <w:rPr>
                <w:rFonts w:cs="Arial"/>
                <w:lang w:eastAsia="en-NZ"/>
              </w:rPr>
            </w:pPr>
          </w:p>
        </w:tc>
        <w:tc>
          <w:tcPr>
            <w:tcW w:w="0" w:type="auto"/>
          </w:tcPr>
          <w:p w14:paraId="0A8F54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AD17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type of services provided. Monthly resident meetings identify feedback from residents and consequent follow up by the </w:t>
            </w:r>
            <w:r w:rsidRPr="00BE00C7">
              <w:rPr>
                <w:rFonts w:cs="Arial"/>
                <w:lang w:eastAsia="en-NZ"/>
              </w:rPr>
              <w:lastRenderedPageBreak/>
              <w:t>service. Residents are supported by the residents EPOA (enduring power of attorney) to develop their goals and staff provide choice.</w:t>
            </w:r>
          </w:p>
          <w:p w14:paraId="066859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All correspondence with family/whānau is recorded on the resident’s electronic file. Accident/incident forms reviewed identified family/whānau were kept informed. This was also confirmed through interviews with family/whānau. </w:t>
            </w:r>
          </w:p>
          <w:p w14:paraId="6C4470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Resident and family/whānau participation is encouraged through general feedback, case conference meetings, surveys and meetings. Regular newsletters and activity calendars are provided in large printed format. </w:t>
            </w:r>
          </w:p>
          <w:p w14:paraId="189EA7FE"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w:t>
            </w:r>
          </w:p>
          <w:p w14:paraId="199F7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hospice and Health New Zealand specialist services. The clinical nurse manager described an implemented process around providing residents with time for discussion around care, time to consider decisions, and opportunities for further discussion, if required. The electronic register captured numerous compliments from family/whānau, which evidence effective communication. </w:t>
            </w:r>
          </w:p>
          <w:p w14:paraId="166276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Family/whanau of YPD residents and YPD residents interviewed confirmed that their language and communication needs are addressed. </w:t>
            </w:r>
          </w:p>
          <w:p w14:paraId="5A6F0E61" w14:textId="77777777" w:rsidR="00000000" w:rsidRPr="00BE00C7" w:rsidRDefault="00000000" w:rsidP="00BE00C7">
            <w:pPr>
              <w:pStyle w:val="OutcomeDescription"/>
              <w:spacing w:before="120" w:after="120"/>
              <w:rPr>
                <w:rFonts w:cs="Arial"/>
                <w:lang w:eastAsia="en-NZ"/>
              </w:rPr>
            </w:pPr>
          </w:p>
        </w:tc>
      </w:tr>
      <w:tr w:rsidR="00663D33" w14:paraId="6BE2411F" w14:textId="77777777">
        <w:tc>
          <w:tcPr>
            <w:tcW w:w="0" w:type="auto"/>
          </w:tcPr>
          <w:p w14:paraId="77A10A6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78187C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choices </w:t>
            </w:r>
            <w:r w:rsidRPr="00BE00C7">
              <w:rPr>
                <w:rFonts w:cs="Arial"/>
                <w:lang w:eastAsia="en-NZ"/>
              </w:rPr>
              <w:lastRenderedPageBreak/>
              <w:t>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E67D420" w14:textId="77777777" w:rsidR="00000000" w:rsidRPr="00BE00C7" w:rsidRDefault="00000000" w:rsidP="00BE00C7">
            <w:pPr>
              <w:pStyle w:val="OutcomeDescription"/>
              <w:spacing w:before="120" w:after="120"/>
              <w:rPr>
                <w:rFonts w:cs="Arial"/>
                <w:lang w:eastAsia="en-NZ"/>
              </w:rPr>
            </w:pPr>
          </w:p>
        </w:tc>
        <w:tc>
          <w:tcPr>
            <w:tcW w:w="0" w:type="auto"/>
          </w:tcPr>
          <w:p w14:paraId="5041AF7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2F501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Resuscitation Management, Resident Representative, Enduring Power of Attorney (EPOA) policies guide staff around informed consent processes. The resident files reviewed included signed </w:t>
            </w:r>
            <w:r w:rsidRPr="00BE00C7">
              <w:rPr>
                <w:rFonts w:cs="Arial"/>
                <w:lang w:eastAsia="en-NZ"/>
              </w:rPr>
              <w:lastRenderedPageBreak/>
              <w:t xml:space="preserve">general consent forms. Other consent forms include vaccinations, media release and van outings. Residents and family/whānau interviewed could describe what informed consent was and knew they had the right to choose. </w:t>
            </w:r>
          </w:p>
          <w:p w14:paraId="0C498D90" w14:textId="77777777" w:rsidR="00000000" w:rsidRPr="00BE00C7" w:rsidRDefault="00000000" w:rsidP="00BE00C7">
            <w:pPr>
              <w:pStyle w:val="OutcomeDescription"/>
              <w:spacing w:before="120" w:after="120"/>
              <w:rPr>
                <w:rFonts w:cs="Arial"/>
                <w:lang w:eastAsia="en-NZ"/>
              </w:rPr>
            </w:pPr>
            <w:r w:rsidRPr="00BE00C7">
              <w:rPr>
                <w:rFonts w:cs="Arial"/>
                <w:lang w:eastAsia="en-NZ"/>
              </w:rPr>
              <w:t>In the files reviewed, there were appropriately signed resuscitation plans and advance directives in place. These are regularly reviewed.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 Staff have received training related to informed consent. The YPD residents interviewed stated they are involved in all decision making related to their care.</w:t>
            </w:r>
          </w:p>
          <w:p w14:paraId="7CC89325"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Where an EPOA has been activated, an activation letter and incapacity assessment was on file.</w:t>
            </w:r>
          </w:p>
          <w:p w14:paraId="35C1EE5D" w14:textId="77777777" w:rsidR="00000000" w:rsidRPr="00BE00C7" w:rsidRDefault="00000000" w:rsidP="00BE00C7">
            <w:pPr>
              <w:pStyle w:val="OutcomeDescription"/>
              <w:spacing w:before="120" w:after="120"/>
              <w:rPr>
                <w:rFonts w:cs="Arial"/>
                <w:lang w:eastAsia="en-NZ"/>
              </w:rPr>
            </w:pPr>
          </w:p>
        </w:tc>
      </w:tr>
      <w:tr w:rsidR="00663D33" w14:paraId="49DD5362" w14:textId="77777777">
        <w:tc>
          <w:tcPr>
            <w:tcW w:w="0" w:type="auto"/>
          </w:tcPr>
          <w:p w14:paraId="61E92C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951E77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6297D85" w14:textId="77777777" w:rsidR="00000000" w:rsidRPr="00BE00C7" w:rsidRDefault="00000000" w:rsidP="00BE00C7">
            <w:pPr>
              <w:pStyle w:val="OutcomeDescription"/>
              <w:spacing w:before="120" w:after="120"/>
              <w:rPr>
                <w:rFonts w:cs="Arial"/>
                <w:lang w:eastAsia="en-NZ"/>
              </w:rPr>
            </w:pPr>
          </w:p>
        </w:tc>
        <w:tc>
          <w:tcPr>
            <w:tcW w:w="0" w:type="auto"/>
          </w:tcPr>
          <w:p w14:paraId="60C1477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E036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facility manager maintains a record of all complaints, both verbal and written, by using an electronic complaint register. Documentation including follow-up letters and resolution demonstrates that complaints are being managed in accordance with guidelines set by the Health and Disability Commission (HDC). </w:t>
            </w:r>
          </w:p>
          <w:p w14:paraId="419DF0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Three complaints have been lodged in 2024 and seven complaints were logged in 2025 year to date. Two complaints in 2025 were lodged with the Health and Disability Advocacy Services in relation to food. One complaint still remains open, with an initial meeting already held. </w:t>
            </w:r>
          </w:p>
          <w:p w14:paraId="6327CD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identified trends in respect of any other complaints. Complaints logged include an investigation, follow up, and replies to the satisfaction of the complainant. Staff are informed of complaints (and any subsequent corrective actions) in the staff, registered nurse </w:t>
            </w:r>
            <w:r w:rsidRPr="00BE00C7">
              <w:rPr>
                <w:rFonts w:cs="Arial"/>
                <w:lang w:eastAsia="en-NZ"/>
              </w:rPr>
              <w:lastRenderedPageBreak/>
              <w:t>and quality meetings (meeting minutes sighted). Higher risk complaints are managed with the support of the regional manager and national quality manager. Complainants are informed of the complaints process and their satisfaction with the final resolution of their complaint is documented.</w:t>
            </w:r>
          </w:p>
          <w:p w14:paraId="09121C30"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complaints forms are available at the entrance to the facility. Residents have a variety of avenues they can choose from to make a complaint or express a concern, including (but not limited to) resident meetings, or one to one with feedback with management. During interviews with family/whānau, they confirmed the facility manager is available to listen to concerns and acts promptly on issues raised. Residents and family/whānau making a complaint can involve an independent support person in the process if they choose. Information about support resources for Māori is available to staff to assist Māori residents in the complaints process. The complaints management procedure ensures Māori residents are supported to ensure an equitable complaints process. The facility manager acknowledged the understanding that for Māori, there is a preference for face-to-face communication.</w:t>
            </w:r>
          </w:p>
          <w:p w14:paraId="16D0230C" w14:textId="77777777" w:rsidR="00000000" w:rsidRPr="00BE00C7" w:rsidRDefault="00000000" w:rsidP="00BE00C7">
            <w:pPr>
              <w:pStyle w:val="OutcomeDescription"/>
              <w:spacing w:before="120" w:after="120"/>
              <w:rPr>
                <w:rFonts w:cs="Arial"/>
                <w:lang w:eastAsia="en-NZ"/>
              </w:rPr>
            </w:pPr>
          </w:p>
        </w:tc>
      </w:tr>
      <w:tr w:rsidR="00663D33" w14:paraId="6E34DEE0" w14:textId="77777777">
        <w:tc>
          <w:tcPr>
            <w:tcW w:w="0" w:type="auto"/>
          </w:tcPr>
          <w:p w14:paraId="4AD4B0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5C7631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D4BDB09" w14:textId="77777777" w:rsidR="00000000" w:rsidRPr="00BE00C7" w:rsidRDefault="00000000" w:rsidP="00BE00C7">
            <w:pPr>
              <w:pStyle w:val="OutcomeDescription"/>
              <w:spacing w:before="120" w:after="120"/>
              <w:rPr>
                <w:rFonts w:cs="Arial"/>
                <w:lang w:eastAsia="en-NZ"/>
              </w:rPr>
            </w:pPr>
          </w:p>
        </w:tc>
        <w:tc>
          <w:tcPr>
            <w:tcW w:w="0" w:type="auto"/>
          </w:tcPr>
          <w:p w14:paraId="221EB5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1274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Taupaki Gables is part of the Radius Residential Care group. The facility is certified to provide hospital (medical and geriatric) and rest home level of care for up to 60 residents. All 60 beds are dual purpose beds and for single occupancy only. The service was verified to be suitable to provide residential (physical) disability services. A reconfiguration of services notification was completed by the regional manager at the time of the audit. </w:t>
            </w:r>
          </w:p>
          <w:p w14:paraId="520B3D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were 58 residents at the facility. There were 51 at hospital level including, one resident on a long-term support-chronic health contract (LTS-CHC) and six residents with physical disabilities on a younger person with a disability (YPD) contract. There were seven residents at rest home level of care. The remaining residents were on the age-related residential care (ARRC) </w:t>
            </w:r>
            <w:r w:rsidRPr="00BE00C7">
              <w:rPr>
                <w:rFonts w:cs="Arial"/>
                <w:lang w:eastAsia="en-NZ"/>
              </w:rPr>
              <w:lastRenderedPageBreak/>
              <w:t xml:space="preserve">contract. </w:t>
            </w:r>
          </w:p>
          <w:p w14:paraId="145612AA"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strategies describe the vision, values, and objectives of Radius aged care facilities. The overarching Radius Care strategic plan 2022-2028 has clear business goals to support their philosophy ‘Caring is our calling’. The Radius Taupaki Gables business and quality plan for 2023 was reviewed quarterly and signed off. The 2024-2025 Radius Taupaki Gables business plan describes specific and measurable goals that were reviewed in July 2024. These site-specific goals relate to business and services; leadership and management; financial leadership and management; risk management and marketing; advertising, and promotion; and clinical quality goals related to antimicrobial usage reduction, decrease of skin and eye infections and compliance of clinical documentation. Goals are regularly reviewed, evidenced in monthly reporting.</w:t>
            </w:r>
          </w:p>
          <w:p w14:paraId="4516D1F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manager interviewed confirmed that there have been no changes made to the governance structure since the last audit. The Governance Board consists of the Radius managing director/executive chair and four professional directors, each with their own expertise. A Māori health strategy is actioned at Board level. There is now a cultural advisory group (National Cultural Committee) which meets three-monthly and provides advice to the Board on any issues requiring cultural oversight and direction. The terms of reference for the Radius Governance Body adheres to a documented agreed terms and reference. The Board and the senior team have completed cultural training to ensure they are able to demonstrate expertise in Te Tiriti o Waitangi, health equity and cultural safety. There is collaboration with mana whenua in business planning and service development that support outcomes to achieve equity for Māori, as documented in the strategic plan. There is a Māori advisory group appointed to support the Board at a strategic level and is available to advise on any issue or matter that requires cultural oversight and direction.</w:t>
            </w:r>
          </w:p>
          <w:p w14:paraId="17827C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chief executive officer (CEO) is responsible for the overall leadership of the management team. As part of the CEO’s role, responsibility for the operations lies with senior management team of Radius Residential Care. The weekly and monthly reporting structure informs the CEO and Board of operations across the organisation. </w:t>
            </w:r>
            <w:r w:rsidRPr="00BE00C7">
              <w:rPr>
                <w:rFonts w:cs="Arial"/>
                <w:lang w:eastAsia="en-NZ"/>
              </w:rPr>
              <w:lastRenderedPageBreak/>
              <w:t>Ethnicity data is captured electronically at facility level and a three-monthly report is generated for the National Cultural Committee to review. Ethnicity data is then analysed and reported in terms of opportunities for addressing inequalities, improving health equity, and outcomes for all residents.</w:t>
            </w:r>
          </w:p>
          <w:p w14:paraId="03E761F4" w14:textId="28A97C8F"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strategic plan reflects a commitment for the leadership team to collaborate with Māori which in turn, aligns with the Ministry of Health strategies and addresses barriers to equitable service delivery. The working practices at Radius Taupaki Gables are holistic in nature, and inclusive of cultural identity and spirituality. The organisation respects the connection to family/whānau and the wider community to improve health outcomes for Māori and tāngata whaikaha. Opportunities for whānau are provided through general feedback to participate in the planning and implementation of service delivery. There are nominated residents’ advocates that provide support to residents to provide feedback about all aspects of service delivery. </w:t>
            </w:r>
          </w:p>
          <w:p w14:paraId="5EA58828" w14:textId="77777777" w:rsidR="00000000" w:rsidRPr="00BE00C7" w:rsidRDefault="00000000" w:rsidP="00BE00C7">
            <w:pPr>
              <w:pStyle w:val="OutcomeDescription"/>
              <w:spacing w:before="120" w:after="120"/>
              <w:rPr>
                <w:rFonts w:cs="Arial"/>
                <w:lang w:eastAsia="en-NZ"/>
              </w:rPr>
            </w:pPr>
            <w:r w:rsidRPr="00BE00C7">
              <w:rPr>
                <w:rFonts w:cs="Arial"/>
                <w:lang w:eastAsia="en-NZ"/>
              </w:rPr>
              <w:t>Clinical governance is overseen by the organisation’s national quality manager and the risk and compliance manager, and includes regular quality and compliance and risk reports that highlight operational and financial key performance indicators (KPI’s). These outcomes and corrective actions are discussed at the compliance and risk meeting, led by one of the Board members. High risk areas are discussed alongside corrective measures taken. These measures are then reviewed and adapted until a positive outcome is achieved, or the goal is achieved.</w:t>
            </w:r>
          </w:p>
          <w:p w14:paraId="0F65616B" w14:textId="77777777" w:rsidR="00000000" w:rsidRPr="00BE00C7" w:rsidRDefault="00000000" w:rsidP="00BE00C7">
            <w:pPr>
              <w:pStyle w:val="OutcomeDescription"/>
              <w:spacing w:before="120" w:after="120"/>
              <w:rPr>
                <w:rFonts w:cs="Arial"/>
                <w:lang w:eastAsia="en-NZ"/>
              </w:rPr>
            </w:pPr>
            <w:r w:rsidRPr="00BE00C7">
              <w:rPr>
                <w:rFonts w:cs="Arial"/>
                <w:lang w:eastAsia="en-NZ"/>
              </w:rPr>
              <w:t>A recent internal succession plan has been implemented whereby the FM, CNM and senior registered nurse moved into their new roles (as regional manager, facility manager and clinical nurse manager respectively). The RM and FM have been at Radius for more than 15 years; and the CNM for seven years.</w:t>
            </w:r>
          </w:p>
          <w:p w14:paraId="3F56F5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has completed other professional development activities in excess of eight hours annually as part of their previous CNM role, related to managing an aged care facility. A comprehensive CNM orientation is currently implemented.</w:t>
            </w:r>
          </w:p>
          <w:p w14:paraId="0607A440" w14:textId="77777777" w:rsidR="00000000" w:rsidRPr="00BE00C7" w:rsidRDefault="00000000" w:rsidP="00BE00C7">
            <w:pPr>
              <w:pStyle w:val="OutcomeDescription"/>
              <w:spacing w:before="120" w:after="120"/>
              <w:rPr>
                <w:rFonts w:cs="Arial"/>
                <w:lang w:eastAsia="en-NZ"/>
              </w:rPr>
            </w:pPr>
          </w:p>
        </w:tc>
      </w:tr>
      <w:tr w:rsidR="00663D33" w14:paraId="638EDD2B" w14:textId="77777777">
        <w:tc>
          <w:tcPr>
            <w:tcW w:w="0" w:type="auto"/>
          </w:tcPr>
          <w:p w14:paraId="7D5716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11992B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D1D85B7" w14:textId="77777777" w:rsidR="00000000" w:rsidRPr="00BE00C7" w:rsidRDefault="00000000" w:rsidP="00BE00C7">
            <w:pPr>
              <w:pStyle w:val="OutcomeDescription"/>
              <w:spacing w:before="120" w:after="120"/>
              <w:rPr>
                <w:rFonts w:cs="Arial"/>
                <w:lang w:eastAsia="en-NZ"/>
              </w:rPr>
            </w:pPr>
          </w:p>
        </w:tc>
        <w:tc>
          <w:tcPr>
            <w:tcW w:w="0" w:type="auto"/>
          </w:tcPr>
          <w:p w14:paraId="109F89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5DAEE7"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Taupaki Gables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w:t>
            </w:r>
          </w:p>
          <w:p w14:paraId="4C0BB8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range of monthly meetings (eg, staff quality meeting, registered nurse quality meeting and restraint) provide an avenue for discussions in relation to (but not limited to): quality data; health and safety; infection control/pandemic strategies; complaints received (if any); cultural compliance; internal audit compliance; staffing; and education. Internal audits, meetings, and collation of data were documented as taking place, with corrective actions documented where indicated to address service improvements, with evidence of progress and sign off when achieved. Quality data and trends in data are posted on a quality noticeboard located in the staff room. Corrective actions are discussed in meetings to ensure any outstanding matters are addressed with sign-off when completed. Quality data analysed includes benchmarking, feedback through residents’ meetings, and complaints management; with these providing an avenue for critical analysis of work practices to ensure health equity. </w:t>
            </w:r>
          </w:p>
          <w:p w14:paraId="78C209E0" w14:textId="082FA962" w:rsidR="00000000" w:rsidRPr="00BE00C7" w:rsidRDefault="00000000" w:rsidP="00BE00C7">
            <w:pPr>
              <w:pStyle w:val="OutcomeDescription"/>
              <w:spacing w:before="120" w:after="120"/>
              <w:rPr>
                <w:rFonts w:cs="Arial"/>
                <w:lang w:eastAsia="en-NZ"/>
              </w:rPr>
            </w:pPr>
            <w:r w:rsidRPr="00BE00C7">
              <w:rPr>
                <w:rFonts w:cs="Arial"/>
                <w:lang w:eastAsia="en-NZ"/>
              </w:rPr>
              <w:t>Quality improvement plans have been documented and include monitoring the impact of an improved activities programme; improvement in the reduction of skin condition/rashes; monitoring the success of the palliative care training; and monitoring the positive impact of the sustainability programme. The positive outcomes related to the palliative care training and the sustainability programme ha</w:t>
            </w:r>
            <w:r w:rsidR="0045794B">
              <w:rPr>
                <w:rFonts w:cs="Arial"/>
                <w:lang w:eastAsia="en-NZ"/>
              </w:rPr>
              <w:t>ve</w:t>
            </w:r>
            <w:r w:rsidRPr="00BE00C7">
              <w:rPr>
                <w:rFonts w:cs="Arial"/>
                <w:lang w:eastAsia="en-NZ"/>
              </w:rPr>
              <w:t xml:space="preserve"> been awarded a continuous improvement rating. </w:t>
            </w:r>
          </w:p>
          <w:p w14:paraId="4701D5E7" w14:textId="77777777" w:rsidR="00000000" w:rsidRPr="00BE00C7" w:rsidRDefault="00000000" w:rsidP="00BE00C7">
            <w:pPr>
              <w:pStyle w:val="OutcomeDescription"/>
              <w:spacing w:before="120" w:after="120"/>
              <w:rPr>
                <w:rFonts w:cs="Arial"/>
                <w:lang w:eastAsia="en-NZ"/>
              </w:rPr>
            </w:pPr>
            <w:r w:rsidRPr="00BE00C7">
              <w:rPr>
                <w:rFonts w:cs="Arial"/>
                <w:lang w:eastAsia="en-NZ"/>
              </w:rPr>
              <w:t>Cultural safety is embedded in the quality system to ensure staff can deliver high-quality health care for Māori. Tāngata whaikaha have meaningful representation through the monthly resident meetings and six-monthly case conferences.</w:t>
            </w:r>
          </w:p>
          <w:p w14:paraId="2C77DE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resident and family/whānau survey is conducted by an independent external company. The results of the 2023 resident and family/whānau satisfaction survey results have been compared with previous surveys. An overall satisfaction rate of 98% in 2024 showed an improvement from 89% in 2023. The residents, family/whānau and </w:t>
            </w:r>
            <w:r w:rsidRPr="00BE00C7">
              <w:rPr>
                <w:rFonts w:cs="Arial"/>
                <w:lang w:eastAsia="en-NZ"/>
              </w:rPr>
              <w:lastRenderedPageBreak/>
              <w:t xml:space="preserve">staff have received the results. </w:t>
            </w:r>
          </w:p>
          <w:p w14:paraId="0DA951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by the national quality manager. New policies or changes to policy are communicated and discussed with staff. </w:t>
            </w:r>
          </w:p>
          <w:p w14:paraId="33B40E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The health and safety team, led by the health and safety representative, meets monthly as part of the staff, registered nurse and quality meetings. The health and safety representative was interviewed and confirmed six health and safety representatives have received training through WorkSafe to support their role. Identifications of any hazards are documented and an up-to-date hazard register were reviewed. Staff incidents, hazards and other health and safety issues are discussed monthly as part of the staff, quality and registered nurses’ meetings. Staff incidents, hazards and risk information is collated at facility level, reported at organisational level by the support office to the operations management team. A consolidated report of the analysis of data across the facilities are provided to the Board. </w:t>
            </w:r>
          </w:p>
          <w:p w14:paraId="1D9B179D" w14:textId="77777777" w:rsidR="00000000" w:rsidRPr="00BE00C7" w:rsidRDefault="00000000" w:rsidP="00BE00C7">
            <w:pPr>
              <w:pStyle w:val="OutcomeDescription"/>
              <w:spacing w:before="120" w:after="120"/>
              <w:rPr>
                <w:rFonts w:cs="Arial"/>
                <w:lang w:eastAsia="en-NZ"/>
              </w:rPr>
            </w:pPr>
            <w:r w:rsidRPr="00BE00C7">
              <w:rPr>
                <w:rFonts w:cs="Arial"/>
                <w:lang w:eastAsia="en-NZ"/>
              </w:rPr>
              <w:t>Electronic reports are completed for each incident/accident. Incident and accident data is collated monthly and analysed. A summary is provided against each clinical indicator. Benchmarking occurs on a national level against other Radius facilities. Ethnicity data is linked to benchmarking data. The electronic resident management system escalates alerts to Radius senior team members, depending on the risk level. Results are discussed in meetings and at handover. A sample of incident/accident reports were reviewed and evidence appropriate and timely follow up, investigations and communication to family/whānau. Opportunities to minimise future risks are identified by the clinical nurse manager in consultation with registered nurses and healthcare assistants. An internal audit on accident and incident reporting was completed and evidence full compliance.</w:t>
            </w:r>
          </w:p>
          <w:p w14:paraId="61E5A0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facility manager, clinical nurse manager and regional manager reflected their awareness of their requirement to notify relevant authorities in relation to essential notifications. One </w:t>
            </w:r>
            <w:r w:rsidRPr="00BE00C7">
              <w:rPr>
                <w:rFonts w:cs="Arial"/>
                <w:lang w:eastAsia="en-NZ"/>
              </w:rPr>
              <w:lastRenderedPageBreak/>
              <w:t>notification was made to WorkSafe New Zealand, with no recommendations made to the service. The incident has been closed.</w:t>
            </w:r>
          </w:p>
          <w:p w14:paraId="414F01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notifications made for the change in FM and CNM, and for a Covid-19 outbreak (April 2025). There have been notifications made to the Health Quality and Safety Commission as required. </w:t>
            </w:r>
          </w:p>
          <w:p w14:paraId="0EEADF8D" w14:textId="77777777" w:rsidR="00000000" w:rsidRPr="00BE00C7" w:rsidRDefault="00000000" w:rsidP="00BE00C7">
            <w:pPr>
              <w:pStyle w:val="OutcomeDescription"/>
              <w:spacing w:before="120" w:after="120"/>
              <w:rPr>
                <w:rFonts w:cs="Arial"/>
                <w:lang w:eastAsia="en-NZ"/>
              </w:rPr>
            </w:pPr>
          </w:p>
        </w:tc>
      </w:tr>
      <w:tr w:rsidR="00663D33" w14:paraId="30DA1F6B" w14:textId="77777777">
        <w:tc>
          <w:tcPr>
            <w:tcW w:w="0" w:type="auto"/>
          </w:tcPr>
          <w:p w14:paraId="7AC7964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55DC41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DC7290B" w14:textId="77777777" w:rsidR="00000000" w:rsidRPr="00BE00C7" w:rsidRDefault="00000000" w:rsidP="00BE00C7">
            <w:pPr>
              <w:pStyle w:val="OutcomeDescription"/>
              <w:spacing w:before="120" w:after="120"/>
              <w:rPr>
                <w:rFonts w:cs="Arial"/>
                <w:lang w:eastAsia="en-NZ"/>
              </w:rPr>
            </w:pPr>
          </w:p>
        </w:tc>
        <w:tc>
          <w:tcPr>
            <w:tcW w:w="0" w:type="auto"/>
          </w:tcPr>
          <w:p w14:paraId="5C7E968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6101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acuity and clinical staffing ratios policy that describes rostering and staffing ratios. The roster provides sufficient and appropriate cover for the effective delivery of clinically safe care and support to residents. There is 24/7 RN cover, with sufficient number of HCAs to support them.</w:t>
            </w:r>
          </w:p>
          <w:p w14:paraId="478FB426"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reported staffing is adequate. The rosters reviewed were fully covered and backfilled when staff were absent on short notice. Residents and family/whānau interviewed confirmed their care requirements are attended to in a timely manner. The Radius agency supports the facility when staff is required on short notice. The facility manager interviewed confirm call bell reports are regularly reviewed to ensure timely attendance to residents` needs. Meeting minutes evidence staff and residents are informed when staffing levels change.</w:t>
            </w:r>
          </w:p>
          <w:p w14:paraId="6EFEEE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and the clinical nurse manager work full-time (Monday to Friday). There is also a clinical team leader working shift patterns that provide weekend cover. The registered nurses on shift manage most of the queries and staffing cover, with the clinical nurse manager and facility manager providing support out of hours. In the absence of the facility manager, the clinical nurse manager will oversee the service.</w:t>
            </w:r>
          </w:p>
          <w:p w14:paraId="4502E1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objectives around establishing an environment that supports culturally safe care through learning and support. 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and the </w:t>
            </w:r>
            <w:r w:rsidRPr="00BE00C7">
              <w:rPr>
                <w:rFonts w:cs="Arial"/>
                <w:lang w:eastAsia="en-NZ"/>
              </w:rPr>
              <w:lastRenderedPageBreak/>
              <w:t>hospice. The positive outcomes related to the palliative care training have been awarded a continuous improvement rating.</w:t>
            </w:r>
          </w:p>
          <w:p w14:paraId="1A8640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Compulsory training also includes topics relevant to the conditions of young people with physical disabilities. Two YPD residents expressed confidence in the ability and competence of the staff. Staff are encouraged to participate in learning opportunities that provide them with up-to-date information on Māori health outcomes and disparities, and health equity. Staff confirmed that they are provided with resources during their cultural training and sharing information. Māori staff have also shared information and whakapapa experiences to support learning. </w:t>
            </w:r>
          </w:p>
          <w:p w14:paraId="2B6F4D8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Twenty-seven healthcare assistants are employed, and twenty-five hold the National Certificate in Health and Wellbeing level three or above. Radius supports all employees to transition through the NZQA Certificate in Health and Wellbeing. </w:t>
            </w:r>
          </w:p>
          <w:p w14:paraId="67FD57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and completed for 2024-2055 year to date. Completion records are held electronically and evidence an above 90 percent completion. A training policy is being implemented. All staff are required to complete competency assessments as part of their orientation. Additional RN specific competencies include subcutaneous fluids, syringe driver and interRAI assessment competency. All RNs have attended in-service training, which included medical conditions specific to the current residents. Seven of the eleven RNs are interRAI trained. </w:t>
            </w:r>
          </w:p>
          <w:p w14:paraId="7D1E630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healthcare assistants are required to complete competencies at orientation. Annual competencies include for restraint, moving and handling, hand hygiene, PPE use, and cultural competencies. A selection of healthcare assistants completes annual medication administration competencies. A record of completion is maintained on an electronic human resources system. Topics covered communication, strength-based model (enabling good lives principles) for care planning, and life limiting conditions.</w:t>
            </w:r>
          </w:p>
          <w:p w14:paraId="11CA2B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to manage stress and work fatigue. </w:t>
            </w:r>
            <w:r w:rsidRPr="00BE00C7">
              <w:rPr>
                <w:rFonts w:cs="Arial"/>
                <w:lang w:eastAsia="en-NZ"/>
              </w:rPr>
              <w:lastRenderedPageBreak/>
              <w:t xml:space="preserve">Staff could explain workplace initiatives that support staff wellbeing and a positive workplace culture. Staff are provided with opportunity to participate and give feedback at regular staff meetings, employee surveys and performance appraisals. Signage supporting organisational counselling programmes are posted in visible staff locations. Interviews with staff confirmed that they feel supported by their managers.  </w:t>
            </w:r>
          </w:p>
          <w:p w14:paraId="13E0C45F" w14:textId="77777777" w:rsidR="00000000" w:rsidRPr="00BE00C7" w:rsidRDefault="00000000" w:rsidP="00BE00C7">
            <w:pPr>
              <w:pStyle w:val="OutcomeDescription"/>
              <w:spacing w:before="120" w:after="120"/>
              <w:rPr>
                <w:rFonts w:cs="Arial"/>
                <w:lang w:eastAsia="en-NZ"/>
              </w:rPr>
            </w:pPr>
          </w:p>
        </w:tc>
      </w:tr>
      <w:tr w:rsidR="00663D33" w14:paraId="46B5DE06" w14:textId="77777777">
        <w:tc>
          <w:tcPr>
            <w:tcW w:w="0" w:type="auto"/>
          </w:tcPr>
          <w:p w14:paraId="3AF41A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1A85C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2E57B2C" w14:textId="77777777" w:rsidR="00000000" w:rsidRPr="00BE00C7" w:rsidRDefault="00000000" w:rsidP="00BE00C7">
            <w:pPr>
              <w:pStyle w:val="OutcomeDescription"/>
              <w:spacing w:before="120" w:after="120"/>
              <w:rPr>
                <w:rFonts w:cs="Arial"/>
                <w:lang w:eastAsia="en-NZ"/>
              </w:rPr>
            </w:pPr>
          </w:p>
        </w:tc>
        <w:tc>
          <w:tcPr>
            <w:tcW w:w="0" w:type="auto"/>
          </w:tcPr>
          <w:p w14:paraId="68B329B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C5521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on an electronic human resources system. Eight staff files reviewed (one clinical nurse manager, two registered nurses, one chef manager, one housekeeping staff and three HCAs) evidenced implementation of the recruitment process, employment contracts, police checking and completed orientation. There are job descriptions in place for all positions that includes outcomes, accountability, responsibilities, and functions to be achieved in each position.</w:t>
            </w:r>
          </w:p>
          <w:p w14:paraId="28E31246"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All staff have completed orientation documentation on file. All performance appraisals were completed as per the appraisal schedule.</w:t>
            </w:r>
          </w:p>
          <w:p w14:paraId="2A40D3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A comprehensive range of competencies are completed at orientation. The service demonstrates that the orientation programme supports RNs and HCAs to provide a culturally safe environment for Māori. </w:t>
            </w:r>
          </w:p>
          <w:p w14:paraId="1403BD47"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Ethnicity data is identified, and the service maintains an employee ethnicity database.</w:t>
            </w:r>
          </w:p>
          <w:p w14:paraId="6E8114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support and follow-up action taken is documented. </w:t>
            </w:r>
          </w:p>
          <w:p w14:paraId="690D850B" w14:textId="77777777" w:rsidR="00000000" w:rsidRPr="00BE00C7" w:rsidRDefault="00000000" w:rsidP="00BE00C7">
            <w:pPr>
              <w:pStyle w:val="OutcomeDescription"/>
              <w:spacing w:before="120" w:after="120"/>
              <w:rPr>
                <w:rFonts w:cs="Arial"/>
                <w:lang w:eastAsia="en-NZ"/>
              </w:rPr>
            </w:pPr>
          </w:p>
        </w:tc>
      </w:tr>
      <w:tr w:rsidR="00663D33" w14:paraId="0FB2F0D8" w14:textId="77777777">
        <w:tc>
          <w:tcPr>
            <w:tcW w:w="0" w:type="auto"/>
          </w:tcPr>
          <w:p w14:paraId="4A135C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3D64F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FBAA378" w14:textId="77777777" w:rsidR="00000000" w:rsidRPr="00BE00C7" w:rsidRDefault="00000000" w:rsidP="00BE00C7">
            <w:pPr>
              <w:pStyle w:val="OutcomeDescription"/>
              <w:spacing w:before="120" w:after="120"/>
              <w:rPr>
                <w:rFonts w:cs="Arial"/>
                <w:lang w:eastAsia="en-NZ"/>
              </w:rPr>
            </w:pPr>
          </w:p>
        </w:tc>
        <w:tc>
          <w:tcPr>
            <w:tcW w:w="0" w:type="auto"/>
          </w:tcPr>
          <w:p w14:paraId="261DF8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CD72A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and archived. Electronic information is regularly backed-up using cloud-based technology and password protected. There is a documented Radius business continuity plan in case of information systems failure.</w:t>
            </w:r>
          </w:p>
          <w:p w14:paraId="72B4685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Hardcopy documents are uploaded to the electronic system and securely destroyed.</w:t>
            </w:r>
          </w:p>
          <w:p w14:paraId="0E133B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entering the service have all relevant initial information recorded within 24 hours of entry into the resident’s individual record. An initial care plan is also developed in this time. Personal resident information is kept confidential and cannot be viewed by other residents or members of the public. The facility manager is the privacy officer and there is a pathway of communication and approval to release health information. The service is not responsible for National Health Index registration. </w:t>
            </w:r>
          </w:p>
          <w:p w14:paraId="12DBA76E" w14:textId="77777777" w:rsidR="00000000" w:rsidRPr="00BE00C7" w:rsidRDefault="00000000" w:rsidP="00BE00C7">
            <w:pPr>
              <w:pStyle w:val="OutcomeDescription"/>
              <w:spacing w:before="120" w:after="120"/>
              <w:rPr>
                <w:rFonts w:cs="Arial"/>
                <w:lang w:eastAsia="en-NZ"/>
              </w:rPr>
            </w:pPr>
          </w:p>
        </w:tc>
      </w:tr>
      <w:tr w:rsidR="00663D33" w14:paraId="13FD6BD7" w14:textId="77777777">
        <w:tc>
          <w:tcPr>
            <w:tcW w:w="0" w:type="auto"/>
          </w:tcPr>
          <w:p w14:paraId="5ECE45B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2A546C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03C4AC6B" w14:textId="77777777" w:rsidR="00000000" w:rsidRPr="00BE00C7" w:rsidRDefault="00000000" w:rsidP="00BE00C7">
            <w:pPr>
              <w:pStyle w:val="OutcomeDescription"/>
              <w:spacing w:before="120" w:after="120"/>
              <w:rPr>
                <w:rFonts w:cs="Arial"/>
                <w:lang w:eastAsia="en-NZ"/>
              </w:rPr>
            </w:pPr>
          </w:p>
        </w:tc>
        <w:tc>
          <w:tcPr>
            <w:tcW w:w="0" w:type="auto"/>
          </w:tcPr>
          <w:p w14:paraId="2B173F7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EA93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for managing inquiries and entry to service is in place. The admission pack contains all the information about entry to the service. Assessments and entry screening processes were documented and communicated to the residents and whānau/family of choice, and where appropriate, referral agencies. Completed authorisation forms for residents assessed as requiring rest home, hospital (including younger people with a disability) and respite level of care were in place. </w:t>
            </w:r>
          </w:p>
          <w:p w14:paraId="0331CB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records reviewed confirmed that admission requirements were conducted within the required timeframes and signed on entry. Residents and family/whānau interviewed confirmed they were consulted and received ongoing sufficient information regarding the services provided. </w:t>
            </w:r>
          </w:p>
          <w:p w14:paraId="2853A0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Potential residents who are declined entry are recorded. When an entry is declined, family/whānau and residents are informed of the </w:t>
            </w:r>
            <w:r w:rsidRPr="00BE00C7">
              <w:rPr>
                <w:rFonts w:cs="Arial"/>
                <w:lang w:eastAsia="en-NZ"/>
              </w:rPr>
              <w:lastRenderedPageBreak/>
              <w:t xml:space="preserve">reason for this and other options or alternative services, and are referred to their referring agency. </w:t>
            </w:r>
          </w:p>
          <w:p w14:paraId="2B450A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one resident who identified as Māori. The organisation has a process to combine a collection of ethnicity data from all residents and the analysis of the same for the purposes of identifying entry and decline rates for Māori. The service has existing engagements with local Māori communities and organisations to support Māori individuals and whānau. </w:t>
            </w:r>
          </w:p>
          <w:p w14:paraId="12AD66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and the general practitioner interviewed stated that Māori health practitioners and traditional Māori healers for residents and family/whānau who may benefit from these interventions, are consulted when required. </w:t>
            </w:r>
          </w:p>
          <w:p w14:paraId="21429FE9" w14:textId="77777777" w:rsidR="00000000" w:rsidRPr="00BE00C7" w:rsidRDefault="00000000" w:rsidP="00BE00C7">
            <w:pPr>
              <w:pStyle w:val="OutcomeDescription"/>
              <w:spacing w:before="120" w:after="120"/>
              <w:rPr>
                <w:rFonts w:cs="Arial"/>
                <w:lang w:eastAsia="en-NZ"/>
              </w:rPr>
            </w:pPr>
          </w:p>
        </w:tc>
      </w:tr>
      <w:tr w:rsidR="00663D33" w14:paraId="48B1EC99" w14:textId="77777777">
        <w:tc>
          <w:tcPr>
            <w:tcW w:w="0" w:type="auto"/>
          </w:tcPr>
          <w:p w14:paraId="7C1EC17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42EFD7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62E2634" w14:textId="77777777" w:rsidR="00000000" w:rsidRPr="00BE00C7" w:rsidRDefault="00000000" w:rsidP="00BE00C7">
            <w:pPr>
              <w:pStyle w:val="OutcomeDescription"/>
              <w:spacing w:before="120" w:after="120"/>
              <w:rPr>
                <w:rFonts w:cs="Arial"/>
                <w:lang w:eastAsia="en-NZ"/>
              </w:rPr>
            </w:pPr>
          </w:p>
        </w:tc>
        <w:tc>
          <w:tcPr>
            <w:tcW w:w="0" w:type="auto"/>
          </w:tcPr>
          <w:p w14:paraId="337C5FC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573025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total of eight files sampled identified initial assessments, interRAI assessments (where relevant), initial care plans and long-term care plans were completed in a timely manner. The files reviewed included three rest home residents and five hospital level residents (including two YPD and one resident on a LTS-CHC). Resident, family/whānau, EPOA, and general practitioner involvement is encouraged in the plan of care. The registered nurses (RN) are responsible for conducting assessments and for the development of care plans. </w:t>
            </w:r>
          </w:p>
          <w:p w14:paraId="682D0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linked to assessments. InterRAI assessments are completed for those residents under the age-related residential contract. There is evidence of resident and family/whānau involvement in the assessments and long-term care plans reviewed, and this was documented in progress notes. Assessment tools considered resident’s lived experiences, cultural needs, values, and beliefs. For residents on YPD and LTS-CHC contracts, an interRAI assessment is not required; however, a comprehensive suite of assessments contained in the electronic resident management system had been completed. </w:t>
            </w:r>
          </w:p>
          <w:p w14:paraId="22F34D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RNs reported that the service develops goal-oriented long-term care plans. Younger residents with disabilities confirm they have choice and formulate their own goals. The principles of Enabling Good Lives are incorporated into their care plan. The care plans document </w:t>
            </w:r>
            <w:r w:rsidRPr="00BE00C7">
              <w:rPr>
                <w:rFonts w:cs="Arial"/>
                <w:lang w:eastAsia="en-NZ"/>
              </w:rPr>
              <w:lastRenderedPageBreak/>
              <w:t xml:space="preserve">the activities of daily living, support required, and residents’ health issues. All residents had identified activities of choice and were actively supported to engage with help from staff. </w:t>
            </w:r>
          </w:p>
          <w:p w14:paraId="6B025E02"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verified that residents and family/whānau were included and informed of changes where required, as evidenced in the resident’s files reviewed. The family/whānau and residents interviewed confirmed their involvement in evaluating progress and any resulting changes. Staff interviewed were able to describe interventions provided that contributed to the residents achieving their goals, and in addition, were able to describe interventions provided that contributed to the overall health quality and wellbeing of the residents.</w:t>
            </w:r>
          </w:p>
          <w:p w14:paraId="54DD60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GP visits weekly, and the practice provides after hours cover. Three-monthly reviews were completed promptly or where required. The assessments completed informed the development of residents’ person-focused care plans.</w:t>
            </w:r>
          </w:p>
          <w:p w14:paraId="4BD7458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progress was different from expected, the service, in collaboration with residents or family/whānau, responded by initiating changes to the care plans and/or commencing a short-term care plan. The goals sampled in the care plans reflected residents’ goals, and aspirations that aligned with their values and beliefs. The evaluations were completed six-monthly. There were documented strategies to maintain and promote residents’ independence. Behaviour plans are developed when needed, which identify triggers and care plan interventions that were implemented.</w:t>
            </w:r>
          </w:p>
          <w:p w14:paraId="1C92461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Medical input was sought within an appropriate timeframe, orders were being followed, and care was person-centred. This was confirmed in the files reviewed and in interviews conducted with the staff. Completed medical records were sighted in all files sampled. Files sampled identified service integration with other members of the health team. The general practitioner expressed satisfaction with the care provided.</w:t>
            </w:r>
          </w:p>
          <w:p w14:paraId="329703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reported that sufficient and appropriate information was shared between the staff at each handover. Interviewed staff stated that they were updated daily regarding each resident’s condition. Progress notes were documented to reflect an accurate picture of the residents’ </w:t>
            </w:r>
            <w:r w:rsidRPr="00BE00C7">
              <w:rPr>
                <w:rFonts w:cs="Arial"/>
                <w:lang w:eastAsia="en-NZ"/>
              </w:rPr>
              <w:lastRenderedPageBreak/>
              <w:t>care journey. A multidisciplinary approach promotes continuity in service delivery, including the general practitioner, registered nurses, physiotherapist, activities staff, kitchen staff, healthcare assistants, and other allied health team members, residents, and family/whānau. Any change in condition is reported to the general practitioner and registered nurses, as evidenced in the records sampled.</w:t>
            </w:r>
          </w:p>
          <w:p w14:paraId="665D9DE8" w14:textId="77777777" w:rsidR="00000000" w:rsidRPr="00BE00C7" w:rsidRDefault="00000000" w:rsidP="00BE00C7">
            <w:pPr>
              <w:pStyle w:val="OutcomeDescription"/>
              <w:spacing w:before="120" w:after="120"/>
              <w:rPr>
                <w:rFonts w:cs="Arial"/>
                <w:lang w:eastAsia="en-NZ"/>
              </w:rPr>
            </w:pPr>
            <w:r w:rsidRPr="00BE00C7">
              <w:rPr>
                <w:rFonts w:cs="Arial"/>
                <w:lang w:eastAsia="en-NZ"/>
              </w:rPr>
              <w:t>In assessing and monitoring residents, the following monitoring charts were completed: weight monitoring; pain; blood glucose monitoring; bowel charts; food intake and output charts; and toileting regime, as required for individual residents. Concussion monitoring (including neuro observations) has been completed for unwitnessed falls or head injuries. Incident reports reviewed evidenced timely nursing follow up, with information provided to the family/whānau.</w:t>
            </w:r>
          </w:p>
          <w:p w14:paraId="307FBB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there was an active wound register, recording one chronic wound, several pressure injuries, skin tears and minor wounds that were being treated. The staff interviewed stated that adequate clinical supplies and equipment, including continence, wound care, and pressure injury prevention resources, were available. Short-term care plans are utilised for acute issues, including weight loss, infections, and changes in medication. Short-term care plans are signed off when resolved or transferred to the long-term care plan when ongoing for more than 21 days. </w:t>
            </w:r>
          </w:p>
          <w:p w14:paraId="2F433F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care plan in place supports residents and family/whānau, as applicable, to identify their own pae ora outcomes in their care and support wellbeing. Tikanga principles are included within the Māori health care plan. The RNs reported that any barriers that prevent tāngata whaikaha and whānau from independently accessing information or services would be identified, and strategies to manage these would be documented. The staff confirmed they understood the process to support residents and family/whānau. There was one resident who identified as Māori. The cultural assessment process supports Māori healing methodologies, such as karakia, rongoā and spiritual assistance. </w:t>
            </w:r>
          </w:p>
          <w:p w14:paraId="4D9E305B" w14:textId="4C9401C7" w:rsidR="00000000" w:rsidRPr="00BE00C7" w:rsidRDefault="00000000" w:rsidP="0045794B">
            <w:pPr>
              <w:pStyle w:val="OutcomeDescription"/>
              <w:spacing w:before="120" w:after="120"/>
              <w:rPr>
                <w:rFonts w:cs="Arial"/>
                <w:lang w:eastAsia="en-NZ"/>
              </w:rPr>
            </w:pPr>
          </w:p>
        </w:tc>
      </w:tr>
      <w:tr w:rsidR="00663D33" w14:paraId="70A67B45" w14:textId="77777777">
        <w:tc>
          <w:tcPr>
            <w:tcW w:w="0" w:type="auto"/>
          </w:tcPr>
          <w:p w14:paraId="6CCE85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9EDB3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F1B4B5B" w14:textId="77777777" w:rsidR="00000000" w:rsidRPr="00BE00C7" w:rsidRDefault="00000000" w:rsidP="00BE00C7">
            <w:pPr>
              <w:pStyle w:val="OutcomeDescription"/>
              <w:spacing w:before="120" w:after="120"/>
              <w:rPr>
                <w:rFonts w:cs="Arial"/>
                <w:lang w:eastAsia="en-NZ"/>
              </w:rPr>
            </w:pPr>
          </w:p>
        </w:tc>
        <w:tc>
          <w:tcPr>
            <w:tcW w:w="0" w:type="auto"/>
          </w:tcPr>
          <w:p w14:paraId="1526C2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B0E8C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developed and implemented by two activity </w:t>
            </w:r>
            <w:r w:rsidRPr="00BE00C7">
              <w:rPr>
                <w:rFonts w:cs="Arial"/>
                <w:lang w:eastAsia="en-NZ"/>
              </w:rPr>
              <w:lastRenderedPageBreak/>
              <w:t>coordinators, who each work 27 hours per week. The activity programme is offered seven days per week. The activities coordinators have sufficient resources to implement the programme. The planned activities are based on the residents’ assessed needs and are recorded on leisure plans. Leisure plans are incorporated into the care planning process and completed within two weeks of admission, in consultation with the family/whānau and residents. A monthly planner is developed, and each resident is given a copy. A newsletter (the Tattler) is published monthly.</w:t>
            </w:r>
          </w:p>
          <w:p w14:paraId="48255A4B" w14:textId="77777777" w:rsidR="00000000" w:rsidRPr="00BE00C7" w:rsidRDefault="00000000" w:rsidP="00BE00C7">
            <w:pPr>
              <w:pStyle w:val="OutcomeDescription"/>
              <w:spacing w:before="120" w:after="120"/>
              <w:rPr>
                <w:rFonts w:cs="Arial"/>
                <w:lang w:eastAsia="en-NZ"/>
              </w:rPr>
            </w:pPr>
            <w:r w:rsidRPr="00BE00C7">
              <w:rPr>
                <w:rFonts w:cs="Arial"/>
                <w:lang w:eastAsia="en-NZ"/>
              </w:rPr>
              <w:t>Radius have a monthly meeting for activities coordinators led by a diversional therapist. These meetings provide additional support with activities planning. The activities are varied and appropriate for people assessed as requiring rest-home, and hospital levels of care. There is sufficient variety in the programme to meet the needs of younger people with a disability. Progress notes and activity attendance checklists are maintained.</w:t>
            </w:r>
          </w:p>
          <w:p w14:paraId="5C05B9F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were observed participating in and enjoying a variety of activities on the audit days, including the younger residents. The activities and community connections were varied and suitable for the residents. Family/whānau and friends can attend activities verified through family/ whānau interview. There are fortnightly van outings for residents. Resident meetings are facilitated monthly that provide a forum for feedback on the activities programme. Activities sighted on the current planners included (but was not limited to): church service; sit and fit; movie; men’s group; bowls; mad scientist; and Matariki mid-winter lunch. Activities specific to the younger residents included visits to art galleries, local cafes, and the winter gardens. The variety of activities are meaningful and reflect the spiritual, physical, cognitive needs/abilities, past hobbies, interests, and enjoyments of each resident group.</w:t>
            </w:r>
          </w:p>
          <w:p w14:paraId="62BB7CC9" w14:textId="3E6E9E9C" w:rsidR="00000000" w:rsidRPr="00BE00C7" w:rsidRDefault="00000000" w:rsidP="00BE00C7">
            <w:pPr>
              <w:pStyle w:val="OutcomeDescription"/>
              <w:spacing w:before="120" w:after="120"/>
              <w:rPr>
                <w:rFonts w:cs="Arial"/>
                <w:lang w:eastAsia="en-NZ"/>
              </w:rPr>
            </w:pPr>
            <w:bookmarkStart w:id="56" w:name="_Hlk205887008"/>
            <w:r w:rsidRPr="00BE00C7">
              <w:rPr>
                <w:rFonts w:cs="Arial"/>
                <w:lang w:eastAsia="en-NZ"/>
              </w:rPr>
              <w:t>As the needs of the residents’ change, there are times when outings become more difficult for individuals to participate in. Interview informed this has become particularly prevalent for the younger group of residents who regularly visited cafés in the community. The activities team thought if the residents cannot visit local café</w:t>
            </w:r>
            <w:r w:rsidR="00035A1C">
              <w:rPr>
                <w:rFonts w:cs="Arial"/>
                <w:lang w:eastAsia="en-NZ"/>
              </w:rPr>
              <w:t>s</w:t>
            </w:r>
            <w:r w:rsidRPr="00BE00C7">
              <w:rPr>
                <w:rFonts w:cs="Arial"/>
                <w:lang w:eastAsia="en-NZ"/>
              </w:rPr>
              <w:t>, then the Radius Taupaki Gables team would bring the</w:t>
            </w:r>
            <w:r w:rsidR="00035A1C">
              <w:rPr>
                <w:rFonts w:cs="Arial"/>
                <w:lang w:eastAsia="en-NZ"/>
              </w:rPr>
              <w:t xml:space="preserve"> </w:t>
            </w:r>
            <w:r w:rsidRPr="00BE00C7">
              <w:rPr>
                <w:rFonts w:cs="Arial"/>
                <w:lang w:eastAsia="en-NZ"/>
              </w:rPr>
              <w:t xml:space="preserve">café to the residents, providing the opportunity to have café-style coffee and </w:t>
            </w:r>
            <w:r w:rsidRPr="00BE00C7">
              <w:rPr>
                <w:rFonts w:cs="Arial"/>
                <w:lang w:eastAsia="en-NZ"/>
              </w:rPr>
              <w:lastRenderedPageBreak/>
              <w:t>patisseries without leaving the facility. Residents were asked to invite family/whānau and friends to the café and approximately ten friends and family/whānau attended. This initiative was widely supported by the Radius Taupaki Gables team, who participated in leading the event for the residents. This activity was reported to have been a resounding success.</w:t>
            </w:r>
          </w:p>
          <w:bookmarkEnd w:id="56"/>
          <w:p w14:paraId="4DAF1F3C" w14:textId="77777777" w:rsidR="00000000" w:rsidRPr="00BE00C7" w:rsidRDefault="00000000" w:rsidP="00BE00C7">
            <w:pPr>
              <w:pStyle w:val="OutcomeDescription"/>
              <w:spacing w:before="120" w:after="120"/>
              <w:rPr>
                <w:rFonts w:cs="Arial"/>
                <w:lang w:eastAsia="en-NZ"/>
              </w:rPr>
            </w:pPr>
            <w:r w:rsidRPr="00BE00C7">
              <w:rPr>
                <w:rFonts w:cs="Arial"/>
                <w:lang w:eastAsia="en-NZ"/>
              </w:rPr>
              <w:t>Te ao Māori is facilitated by celebrating religious and cultural festivals, such as Matariki and Māori language week.</w:t>
            </w:r>
          </w:p>
          <w:p w14:paraId="524E10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reported overall satisfaction with the level and variety of activities provided. </w:t>
            </w:r>
          </w:p>
          <w:p w14:paraId="17CB6320" w14:textId="77777777" w:rsidR="00000000" w:rsidRPr="00BE00C7" w:rsidRDefault="00000000" w:rsidP="00BE00C7">
            <w:pPr>
              <w:pStyle w:val="OutcomeDescription"/>
              <w:spacing w:before="120" w:after="120"/>
              <w:rPr>
                <w:rFonts w:cs="Arial"/>
                <w:lang w:eastAsia="en-NZ"/>
              </w:rPr>
            </w:pPr>
          </w:p>
        </w:tc>
      </w:tr>
      <w:tr w:rsidR="00663D33" w14:paraId="71A84CB8" w14:textId="77777777">
        <w:tc>
          <w:tcPr>
            <w:tcW w:w="0" w:type="auto"/>
          </w:tcPr>
          <w:p w14:paraId="3DD3EC3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61903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8B457F9" w14:textId="77777777" w:rsidR="00000000" w:rsidRPr="00BE00C7" w:rsidRDefault="00000000" w:rsidP="00BE00C7">
            <w:pPr>
              <w:pStyle w:val="OutcomeDescription"/>
              <w:spacing w:before="120" w:after="120"/>
              <w:rPr>
                <w:rFonts w:cs="Arial"/>
                <w:lang w:eastAsia="en-NZ"/>
              </w:rPr>
            </w:pPr>
          </w:p>
        </w:tc>
        <w:tc>
          <w:tcPr>
            <w:tcW w:w="0" w:type="auto"/>
          </w:tcPr>
          <w:p w14:paraId="099FA64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BABB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management policy is current and meets best practice. The system described medication prescribing, dispensing, administration, review, and reconciliation. Administration records were maintained. Medications were supplied to the facility from a contracted pharmacy. The GP completed three-monthly medication reviews. A total of 16 medicine charts were reviewed. Indications for use were noted for pro re nata (PRN) medications, including over-the-counter medications and supplements on the medication charts. The effectiveness of PRN medications was documented in the electronic medication management system and progress notes. Allergies were indicated, and all photos uploaded on the electronic medication management system were current. Eye drops were dated on opening. </w:t>
            </w:r>
          </w:p>
          <w:p w14:paraId="32C452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was conducted by the nursing team when a resident was transferred back to the service from the hospital, or any external appointments. The nursing team checked medicines against the prescription. Medication competencies were current and completed in the last 12 months for staff administering medicines. Medication incidents were completed in the event of a medication error, and corrective actions were taken. There were no expired or unwanted medicines. Expired medicines were being returned to the pharmacy promptly. Monitoring medicine fridge and medication room temperatures was conducted regularly, and deviations from normal were reported and attended. Records were sighted. The prescriber considers over-the-counter medication and supplements as part of the </w:t>
            </w:r>
            <w:r w:rsidRPr="00BE00C7">
              <w:rPr>
                <w:rFonts w:cs="Arial"/>
                <w:lang w:eastAsia="en-NZ"/>
              </w:rPr>
              <w:lastRenderedPageBreak/>
              <w:t>person’s medication, as noted on the day of the audit.</w:t>
            </w:r>
          </w:p>
          <w:p w14:paraId="30A9C2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RNs were observed administering medications. Medications were stored safely and securely in the trolley, the locked treatment room, and cupboards. There is a documented policy and processes in place to ensure that residents wishing to self-administer medicines can do so safely. There were residents self-administering medication during the audit, all had appropriate assessments completed and storage in their rooms. There were no standing orders in use.</w:t>
            </w:r>
          </w:p>
          <w:p w14:paraId="7B89AA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their family/whānau are supported to understand their medicine when required. The general practitioner stated that when requested by Māori, appropriate support and advice would be provided. Māori and whānau are supported to access medication. </w:t>
            </w:r>
          </w:p>
          <w:p w14:paraId="6B713918" w14:textId="77777777" w:rsidR="00000000" w:rsidRPr="00BE00C7" w:rsidRDefault="00000000" w:rsidP="00BE00C7">
            <w:pPr>
              <w:pStyle w:val="OutcomeDescription"/>
              <w:spacing w:before="120" w:after="120"/>
              <w:rPr>
                <w:rFonts w:cs="Arial"/>
                <w:lang w:eastAsia="en-NZ"/>
              </w:rPr>
            </w:pPr>
          </w:p>
        </w:tc>
      </w:tr>
      <w:tr w:rsidR="00663D33" w14:paraId="074C54C3" w14:textId="77777777">
        <w:tc>
          <w:tcPr>
            <w:tcW w:w="0" w:type="auto"/>
          </w:tcPr>
          <w:p w14:paraId="60942A8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2F3138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E5F67BB" w14:textId="77777777" w:rsidR="00000000" w:rsidRPr="00BE00C7" w:rsidRDefault="00000000" w:rsidP="00BE00C7">
            <w:pPr>
              <w:pStyle w:val="OutcomeDescription"/>
              <w:spacing w:before="120" w:after="120"/>
              <w:rPr>
                <w:rFonts w:cs="Arial"/>
                <w:lang w:eastAsia="en-NZ"/>
              </w:rPr>
            </w:pPr>
          </w:p>
        </w:tc>
        <w:tc>
          <w:tcPr>
            <w:tcW w:w="0" w:type="auto"/>
          </w:tcPr>
          <w:p w14:paraId="7D1B248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5661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All food and baking are prepared and cooked on site. The kitchen manager is a cook. There is enough kitchen staff employed to manage the food service. Food is prepared in accordance with recognised nutritional guidelines for older people. The verified food control plan expires on 31 May 2026. All aspects of food procurement, production, preparation, storage, transportation, delivery, and disposal comply with current legislation and guidelines. The menu has been reviewed by a registered dietitian on 28 April 2025. Kitchen staff have current food handling certificates. </w:t>
            </w:r>
          </w:p>
          <w:p w14:paraId="2DE97C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oversees management of the kitchen. The kitchen is well-equipped, with all meals being cooked on site. Meals are served in the dining rooms from hot boxes. Meals going to rooms on trays have covers to keep the food warm. Special equipment such as lipped plates is available. Diets are modified as required, and the kitchen manager confirmed staff awareness of the residents' dietary needs. Upon admission, residents have a dietary assessment completed that identifies dietary requirements, likes, and dislikes. Alternatives are catered for as required. The residents’ weights are monitored regularly, and supplements are provided to residents with identified weight loss issues. Snacks and drinks are available for residents throughout the day and night when required.</w:t>
            </w:r>
          </w:p>
          <w:p w14:paraId="714A9A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kitchen and pantry were observed to be clean, tidy, and well-stocked. Regular cleaning is undertaken, and services comply with current legislation and guidelines. Labels and dates were on all containers. Thermometer calibrations were completed monthly. Records of temperature monitoring of food, fridges, freezers, and dishwasher are maintained and recorded on the electronic record management system. All decanted food use by dates recorded on the containers, and no expired items were sighted. Family/whānau and residents interviewed indicated satisfaction with the food service. </w:t>
            </w:r>
          </w:p>
          <w:p w14:paraId="5604F6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reported that the service prepares food that is culturally specific to different cultures. </w:t>
            </w:r>
          </w:p>
          <w:p w14:paraId="17644C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were observed during lunch time, with equipment available to promote independence. The residents’ dining experience and environment were observed to be pleasurable, and dignity of the residents was maintained. </w:t>
            </w:r>
          </w:p>
          <w:p w14:paraId="7DC846AD" w14:textId="77777777" w:rsidR="00000000" w:rsidRPr="00BE00C7" w:rsidRDefault="00000000" w:rsidP="00BE00C7">
            <w:pPr>
              <w:pStyle w:val="OutcomeDescription"/>
              <w:spacing w:before="120" w:after="120"/>
              <w:rPr>
                <w:rFonts w:cs="Arial"/>
                <w:lang w:eastAsia="en-NZ"/>
              </w:rPr>
            </w:pPr>
          </w:p>
        </w:tc>
      </w:tr>
      <w:tr w:rsidR="00663D33" w14:paraId="7F9D1CDF" w14:textId="77777777">
        <w:tc>
          <w:tcPr>
            <w:tcW w:w="0" w:type="auto"/>
          </w:tcPr>
          <w:p w14:paraId="165C5E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709BC42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2C043B7" w14:textId="77777777" w:rsidR="00000000" w:rsidRPr="00BE00C7" w:rsidRDefault="00000000" w:rsidP="00BE00C7">
            <w:pPr>
              <w:pStyle w:val="OutcomeDescription"/>
              <w:spacing w:before="120" w:after="120"/>
              <w:rPr>
                <w:rFonts w:cs="Arial"/>
                <w:lang w:eastAsia="en-NZ"/>
              </w:rPr>
            </w:pPr>
          </w:p>
        </w:tc>
        <w:tc>
          <w:tcPr>
            <w:tcW w:w="0" w:type="auto"/>
          </w:tcPr>
          <w:p w14:paraId="44F2849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58F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process for managing the discharge and transfer from services. The RNs oversee discharges and manage the process until residents leave. Transfers and discharges to other facilities are conducted in consultation with the resident, family/whānau, and other external agencies. Risks are identified and managed as required. </w:t>
            </w:r>
          </w:p>
          <w:p w14:paraId="69E11C56" w14:textId="77777777" w:rsidR="00000000" w:rsidRPr="00BE00C7" w:rsidRDefault="00000000" w:rsidP="00BE00C7">
            <w:pPr>
              <w:pStyle w:val="OutcomeDescription"/>
              <w:spacing w:before="120" w:after="120"/>
              <w:rPr>
                <w:rFonts w:cs="Arial"/>
                <w:lang w:eastAsia="en-NZ"/>
              </w:rPr>
            </w:pPr>
            <w:r w:rsidRPr="00BE00C7">
              <w:rPr>
                <w:rFonts w:cs="Arial"/>
                <w:lang w:eastAsia="en-NZ"/>
              </w:rPr>
              <w:t>A discharge or transition plan is developed in conjunction with the residents and family/whānau (where appropriate) and documented on the residents’ file. Residents and family/whānau are advised of their options to access other health and disability services, social support, or Kaupapa Māori agencies, where indicated or requested. Referrals to other allied health providers were completed, when resident need determined such as wound specialists and hospice services. Residents and their family/whānau are involved in discharges and transfers to and from the service, and there was sufficient evidence in the residents’ records to confirm this. Transfers to hospital include yellow envelope system. Upon discharge, resident records are archived in an electronic management system.</w:t>
            </w:r>
          </w:p>
          <w:p w14:paraId="7C08FB49" w14:textId="77777777" w:rsidR="00000000" w:rsidRPr="00BE00C7" w:rsidRDefault="00000000" w:rsidP="00BE00C7">
            <w:pPr>
              <w:pStyle w:val="OutcomeDescription"/>
              <w:spacing w:before="120" w:after="120"/>
              <w:rPr>
                <w:rFonts w:cs="Arial"/>
                <w:lang w:eastAsia="en-NZ"/>
              </w:rPr>
            </w:pPr>
          </w:p>
        </w:tc>
      </w:tr>
      <w:tr w:rsidR="00663D33" w14:paraId="7DA39167" w14:textId="77777777">
        <w:tc>
          <w:tcPr>
            <w:tcW w:w="0" w:type="auto"/>
          </w:tcPr>
          <w:p w14:paraId="496992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23432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777C445" w14:textId="77777777" w:rsidR="00000000" w:rsidRPr="00BE00C7" w:rsidRDefault="00000000" w:rsidP="00BE00C7">
            <w:pPr>
              <w:pStyle w:val="OutcomeDescription"/>
              <w:spacing w:before="120" w:after="120"/>
              <w:rPr>
                <w:rFonts w:cs="Arial"/>
                <w:lang w:eastAsia="en-NZ"/>
              </w:rPr>
            </w:pPr>
          </w:p>
        </w:tc>
        <w:tc>
          <w:tcPr>
            <w:tcW w:w="0" w:type="auto"/>
          </w:tcPr>
          <w:p w14:paraId="28B165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9B68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in place. The environment is inclusive of peoples’ cultures and supports cultural practices. Corridors are wide supporting safe resident mobility. Residents were observed moving freely around the areas using mobility aids. There is a full-time maintenance person who ensures the planned maintenance programme is implemented. Maintenance requests are documented electronically and acted upon in a timely manner. This is checked and signed off when repairs have been completed. The planned maintenance schedule includes electrical testing and tagging (last completed in March 2025), and calibrations of the weighing scales and clinical equipment (last completed in December 2024). Hot water temperatures were monitored monthly, and the reviewed records demonstrate actions are taken when temperatures are outside of the recommended ranges. Essential contractors such as plumbers and electricians are available 24-hours a day as required. There is a process in place for contractors to assist YPD residents with the service of their equipment, including power chairs. There are storage areas for hoists, wheelchairs, and other equipment. The staff interviewed stated that they have all the equipment referred to within care plans to provide care. The facility is heated with a mixture of panel heaters in hallways and bedrooms, gas log fires, and heat pumps. Processes are in place to manage significant temperature changes.</w:t>
            </w:r>
          </w:p>
          <w:p w14:paraId="3D0105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comprises 60 dual-purpose beds (rest home and hospital level of care). The facility is ground level. There is a mixture of large and small communal areas. The dining area is large. There is a secure medication room. There is also a family/whānau room available. The facility manager reported that residents can bring their possessions into the facility and can adorn their rooms as desired. Personalisation of resident rooms was observed during the audit. The grounds and external areas were well maintained. External areas are independently accessible to residents. Outdoor areas have seating and shade. Safe access to all communal areas is available. </w:t>
            </w:r>
          </w:p>
          <w:p w14:paraId="6B4536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mixture of ensuite, and communal toilet and shower facilities. The communal facilities have a system indicating whether they are engaged or vacant. All the washing areas have free-flowing </w:t>
            </w:r>
            <w:r w:rsidRPr="00BE00C7">
              <w:rPr>
                <w:rFonts w:cs="Arial"/>
                <w:lang w:eastAsia="en-NZ"/>
              </w:rPr>
              <w:lastRenderedPageBreak/>
              <w:t xml:space="preserve">soap and paper towels in the toilet areas. There is a hairdressing salon on site. Toilets are suitable sizes to accommodate equipment. All rooms have external windows to provide natural light, appropriate ventilation, and heating. </w:t>
            </w:r>
          </w:p>
          <w:p w14:paraId="594B2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continuous improvement has been awarded for the service’s work around sustainability. </w:t>
            </w:r>
          </w:p>
          <w:p w14:paraId="322BE2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reported that should there be planned further development for the building, they are aware that consultation would occur with Māori and iwi if significant changes are considered for the facility. </w:t>
            </w:r>
          </w:p>
          <w:p w14:paraId="58A644A0" w14:textId="77777777" w:rsidR="00000000" w:rsidRPr="00BE00C7" w:rsidRDefault="00000000" w:rsidP="00BE00C7">
            <w:pPr>
              <w:pStyle w:val="OutcomeDescription"/>
              <w:spacing w:before="120" w:after="120"/>
              <w:rPr>
                <w:rFonts w:cs="Arial"/>
                <w:lang w:eastAsia="en-NZ"/>
              </w:rPr>
            </w:pPr>
          </w:p>
        </w:tc>
      </w:tr>
      <w:tr w:rsidR="00663D33" w14:paraId="15BE0430" w14:textId="77777777">
        <w:tc>
          <w:tcPr>
            <w:tcW w:w="0" w:type="auto"/>
          </w:tcPr>
          <w:p w14:paraId="070E101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418CC70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50BC54F9" w14:textId="77777777" w:rsidR="00000000" w:rsidRPr="00BE00C7" w:rsidRDefault="00000000" w:rsidP="00BE00C7">
            <w:pPr>
              <w:pStyle w:val="OutcomeDescription"/>
              <w:spacing w:before="120" w:after="120"/>
              <w:rPr>
                <w:rFonts w:cs="Arial"/>
                <w:lang w:eastAsia="en-NZ"/>
              </w:rPr>
            </w:pPr>
          </w:p>
        </w:tc>
        <w:tc>
          <w:tcPr>
            <w:tcW w:w="0" w:type="auto"/>
          </w:tcPr>
          <w:p w14:paraId="6414B0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D126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accessible to staff. Civil defence planning guides the facility in preparing for disasters and describes the procedures for fire or other emergencies. Staff interviewed confirmed their awareness of the emergency procedures. The New Zealand Fire Service approved a fire evacuation plan that was in place, dated July 2001. Fire evacuation drills are conducted every six months and was last completed January 2025. The staff orientation programme includes fire and security training. There are adequate fire exit doors with a designated assembly point. An external contractor checks required fire equipment within the required timeframes. Civil defence supplies are stored and checked quarterly. In the event of a power outage, there is a generator on site. Radius Taupaki Gables has an agreement with a local provider for a larger generator, should a civil defence emergency occur. There is a current residents’ list that documents their current mobility assistance requirements, to ensure evacuation in case of an emergency.</w:t>
            </w:r>
          </w:p>
          <w:p w14:paraId="5ACD92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five water tanks holding an estimated 20,000 litres each, providing residents and staff with three litres per person, per day. There is always a first aid-trained staff member on duty 24/7. </w:t>
            </w:r>
          </w:p>
          <w:p w14:paraId="1B86A9F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nurse call system alerts from the call bell to overhead panels during the day and to nurse cell phone at night. Call bell monitoring is in place, with repairs being completed when required. Residents and family/whānau interviewed confirmed that staff respond to calls </w:t>
            </w:r>
            <w:r w:rsidRPr="00BE00C7">
              <w:rPr>
                <w:rFonts w:cs="Arial"/>
                <w:lang w:eastAsia="en-NZ"/>
              </w:rPr>
              <w:lastRenderedPageBreak/>
              <w:t>promptly. The facility is secure after hours. Family/whānau and residents know how to alert staff when they need access to the facility after hours. Visitors and contractors are required to sign in and out electronically.</w:t>
            </w:r>
          </w:p>
          <w:p w14:paraId="1833C94B" w14:textId="77777777" w:rsidR="00000000" w:rsidRPr="00BE00C7" w:rsidRDefault="00000000" w:rsidP="00BE00C7">
            <w:pPr>
              <w:pStyle w:val="OutcomeDescription"/>
              <w:spacing w:before="120" w:after="120"/>
              <w:rPr>
                <w:rFonts w:cs="Arial"/>
                <w:lang w:eastAsia="en-NZ"/>
              </w:rPr>
            </w:pPr>
          </w:p>
        </w:tc>
      </w:tr>
      <w:tr w:rsidR="00663D33" w14:paraId="292D66C4" w14:textId="77777777">
        <w:tc>
          <w:tcPr>
            <w:tcW w:w="0" w:type="auto"/>
          </w:tcPr>
          <w:p w14:paraId="35B352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3B80E50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5ADF0759" w14:textId="77777777" w:rsidR="00000000" w:rsidRPr="00BE00C7" w:rsidRDefault="00000000" w:rsidP="00BE00C7">
            <w:pPr>
              <w:pStyle w:val="OutcomeDescription"/>
              <w:spacing w:before="120" w:after="120"/>
              <w:rPr>
                <w:rFonts w:cs="Arial"/>
                <w:lang w:eastAsia="en-NZ"/>
              </w:rPr>
            </w:pPr>
          </w:p>
        </w:tc>
        <w:tc>
          <w:tcPr>
            <w:tcW w:w="0" w:type="auto"/>
          </w:tcPr>
          <w:p w14:paraId="3929B7F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82BE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(IPC) and antimicrobial stewardship (AMS) are an integral part of the Radius strategic plan to ensure an environment that minimises the risk of infection to residents, staff, and visitors by implementing an infection control programme. </w:t>
            </w:r>
          </w:p>
          <w:p w14:paraId="02C835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Radius organisation have personnel with expertise in infection control and AMS as part of their senior management team. Expertise can also be accessed from Radius national quality manager, Public Health and Health New Zealand, who can supply Radius with infection control resources. </w:t>
            </w:r>
          </w:p>
          <w:p w14:paraId="55AACA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pathway for reporting infection control and AMS issues to the Radius Board. The clinical team report pandemic analysis weekly to the regional manager, whose report is available to the CEO/Board. Outbreak of other infectious diseases is reported if and when they occur. Monthly compliance and risk reports are completed for all facilities by the compliance and risk manager for the CEO. Monthly collation of data is completed; trends are analysed and then referred back to the facilities for action. </w:t>
            </w:r>
          </w:p>
          <w:p w14:paraId="1430A4C2" w14:textId="77777777" w:rsidR="00000000" w:rsidRPr="00BE00C7" w:rsidRDefault="00000000" w:rsidP="00BE00C7">
            <w:pPr>
              <w:pStyle w:val="OutcomeDescription"/>
              <w:spacing w:before="120" w:after="120"/>
              <w:rPr>
                <w:rFonts w:cs="Arial"/>
                <w:lang w:eastAsia="en-NZ"/>
              </w:rPr>
            </w:pPr>
          </w:p>
        </w:tc>
      </w:tr>
      <w:tr w:rsidR="00663D33" w14:paraId="38517AF7" w14:textId="77777777">
        <w:tc>
          <w:tcPr>
            <w:tcW w:w="0" w:type="auto"/>
          </w:tcPr>
          <w:p w14:paraId="4DCC413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FEE0C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A6C300A" w14:textId="77777777" w:rsidR="00000000" w:rsidRPr="00BE00C7" w:rsidRDefault="00000000" w:rsidP="00BE00C7">
            <w:pPr>
              <w:pStyle w:val="OutcomeDescription"/>
              <w:spacing w:before="120" w:after="120"/>
              <w:rPr>
                <w:rFonts w:cs="Arial"/>
                <w:lang w:eastAsia="en-NZ"/>
              </w:rPr>
            </w:pPr>
          </w:p>
        </w:tc>
        <w:tc>
          <w:tcPr>
            <w:tcW w:w="0" w:type="auto"/>
          </w:tcPr>
          <w:p w14:paraId="037BC70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8E1C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the service. The infection prevention and control and antimicrobial stewardship (AMS) programmes are reviewed annually and is linked to the quality and business plan. The infection control programme is reviewed annually for Radius Taupaki Gables. There is an infection control committee that meets monthly. </w:t>
            </w:r>
          </w:p>
          <w:p w14:paraId="6CF76B7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in place that reflect current best practice relating to infection prevention and control and include policies for: hand hygiene; aseptic technique; transmission-based precautions; prevention of sharps injuries; prevention and management of communicable infectious diseases; management of </w:t>
            </w:r>
            <w:r w:rsidRPr="00BE00C7">
              <w:rPr>
                <w:rFonts w:cs="Arial"/>
                <w:lang w:eastAsia="en-NZ"/>
              </w:rPr>
              <w:lastRenderedPageBreak/>
              <w:t>current and emerging multidrug-resistant organisms (MDRO); outbreak management; single use items; healthcare acquired infection (HAI); and the built environment.</w:t>
            </w:r>
          </w:p>
          <w:p w14:paraId="6AE35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resources, including personal protective equipment (PPE), were accessible and observed to be used appropriately. Staff were observed to be complying with the infection control policies and procedures. Staff demonstrated knowledge on the requirements of standard precautions and were able to locate policies and procedures. Radius has an organisational pandemic response plan in place, which is reviewed and tested at regular intervals. The infection control coordinator has input when infection control policies and procedures are reviewed. </w:t>
            </w:r>
          </w:p>
          <w:p w14:paraId="2F57B662" w14:textId="37401545"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is the clinical nurse manager and has a role description. They completed infection control training and </w:t>
            </w:r>
            <w:r w:rsidR="00AA7B79">
              <w:rPr>
                <w:rFonts w:cs="Arial"/>
                <w:lang w:eastAsia="en-NZ"/>
              </w:rPr>
              <w:t>are</w:t>
            </w:r>
            <w:r w:rsidRPr="00BE00C7">
              <w:rPr>
                <w:rFonts w:cs="Arial"/>
                <w:lang w:eastAsia="en-NZ"/>
              </w:rPr>
              <w:t xml:space="preserve"> responsible for coordinating/providing education and training to staff. The orientation package includes specific training around hand hygiene and standard precautions. Annual infection control training is included in the mandatory in-services that are held for all staff. Staff have completed infection control education in the last 12 months. The infection control coordinator has access to an online training system with resources, guidelines, and best practice. Infection control audits are completed and evidence compliance. </w:t>
            </w:r>
          </w:p>
          <w:p w14:paraId="52FC960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site level, the facility manager and clinical nurse manager have responsibility for purchasing consumables. All other equipment/resources are purchased at national level. Infection control personnel have input into new buildings or significant changes, which occurs at national level, with collaboration and support from the regional managers. There is a policy in place for decontamination of reusable medical devices and this is followed. Reusable medical equipment is cleaned and disinfected after use and prior to next use. The service completed cleaning and environmental audits to safely assess and evidenced that these procedures are carried out. Aseptic techniques are promoted through hand hygiene, and sterile single use wound packs for wound management and catheterisations. Educational resources in te reo Māori are accessible and available. All residents are included and participate in infection control and staff are trained in cultural safety. </w:t>
            </w:r>
          </w:p>
          <w:p w14:paraId="3F1589BA" w14:textId="77777777" w:rsidR="00000000" w:rsidRPr="00BE00C7" w:rsidRDefault="00000000" w:rsidP="00BE00C7">
            <w:pPr>
              <w:pStyle w:val="OutcomeDescription"/>
              <w:spacing w:before="120" w:after="120"/>
              <w:rPr>
                <w:rFonts w:cs="Arial"/>
                <w:lang w:eastAsia="en-NZ"/>
              </w:rPr>
            </w:pPr>
          </w:p>
        </w:tc>
      </w:tr>
      <w:tr w:rsidR="00663D33" w14:paraId="64C671A1" w14:textId="77777777">
        <w:tc>
          <w:tcPr>
            <w:tcW w:w="0" w:type="auto"/>
          </w:tcPr>
          <w:p w14:paraId="28E719C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4D44B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F5B5253" w14:textId="77777777" w:rsidR="00000000" w:rsidRPr="00BE00C7" w:rsidRDefault="00000000" w:rsidP="00BE00C7">
            <w:pPr>
              <w:pStyle w:val="OutcomeDescription"/>
              <w:spacing w:before="120" w:after="120"/>
              <w:rPr>
                <w:rFonts w:cs="Arial"/>
                <w:lang w:eastAsia="en-NZ"/>
              </w:rPr>
            </w:pPr>
          </w:p>
        </w:tc>
        <w:tc>
          <w:tcPr>
            <w:tcW w:w="0" w:type="auto"/>
          </w:tcPr>
          <w:p w14:paraId="0D720E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A1128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approved policies and guidelines for antimicrobial prescribing. The antimicrobial policy is appropriate for the size, scope, and complexity of the resident cohort. Infection rates are monitored monthly and reported to the registered nurse and staff quality meetings. Prophylactic use of antibiotics is not considered to be appropriate and is discouraged. Antibiotic use is reviewed monthly and reported at registered nurse, staff and quality meetings.</w:t>
            </w:r>
          </w:p>
          <w:p w14:paraId="1D50296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Prescribing of antimicrobial use is monitored, recorded, and analysed at site level and the national quality manager provide a benchmarking report for AMS. The service monitors antimicrobial use through evaluation and monitoring of medication prescribing charts, prescriptions, and medical notes. Further discussion takes place at senior management level and is reported to the Board. Trends are identified both at site level and national level. Feedback occurs from national senior management level. The facility is currently implementing a project where the GP prescribed `bleach soaks` for the reduction of skin rashes/skin conditions and skin infections. The project is in its infancy state and has seen a reduction in the prevalence of skin infections and skin conditions/rashes between March and June 2025. </w:t>
            </w:r>
          </w:p>
          <w:p w14:paraId="2750E0A2" w14:textId="77777777" w:rsidR="00000000" w:rsidRPr="00BE00C7" w:rsidRDefault="00000000" w:rsidP="00BE00C7">
            <w:pPr>
              <w:pStyle w:val="OutcomeDescription"/>
              <w:spacing w:before="120" w:after="120"/>
              <w:rPr>
                <w:rFonts w:cs="Arial"/>
                <w:lang w:eastAsia="en-NZ"/>
              </w:rPr>
            </w:pPr>
          </w:p>
        </w:tc>
      </w:tr>
      <w:tr w:rsidR="00663D33" w14:paraId="350BEE39" w14:textId="77777777">
        <w:tc>
          <w:tcPr>
            <w:tcW w:w="0" w:type="auto"/>
          </w:tcPr>
          <w:p w14:paraId="2C0211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67820D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9900E4E" w14:textId="77777777" w:rsidR="00000000" w:rsidRPr="00BE00C7" w:rsidRDefault="00000000" w:rsidP="00BE00C7">
            <w:pPr>
              <w:pStyle w:val="OutcomeDescription"/>
              <w:spacing w:before="120" w:after="120"/>
              <w:rPr>
                <w:rFonts w:cs="Arial"/>
                <w:lang w:eastAsia="en-NZ"/>
              </w:rPr>
            </w:pPr>
          </w:p>
        </w:tc>
        <w:tc>
          <w:tcPr>
            <w:tcW w:w="0" w:type="auto"/>
          </w:tcPr>
          <w:p w14:paraId="16817D0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A68C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Surveillance is an integral part of the infection control programme. The purpose and methodology are described in the infection control policy in use at the facility. The infection control coordinator (CNM) uses the information obtained through surveillance to determine infection control activities, resources, and education needs within the service. Infection control reports are discussed at the quality meetings and staff meetings. The infection control coordinator has access to all relevant resident data to undertake surveillance, internal audits, and investigations. </w:t>
            </w:r>
          </w:p>
          <w:p w14:paraId="106F8A7D" w14:textId="400BFD43" w:rsidR="00000000" w:rsidRPr="00BE00C7" w:rsidRDefault="00000000" w:rsidP="00BE00C7">
            <w:pPr>
              <w:pStyle w:val="OutcomeDescription"/>
              <w:spacing w:before="120" w:after="120"/>
              <w:rPr>
                <w:rFonts w:cs="Arial"/>
                <w:lang w:eastAsia="en-NZ"/>
              </w:rPr>
            </w:pPr>
            <w:r w:rsidRPr="00BE00C7">
              <w:rPr>
                <w:rFonts w:cs="Arial"/>
                <w:lang w:eastAsia="en-NZ"/>
              </w:rPr>
              <w:t xml:space="preserve">Monthly infection data is collected for all infections based on standard definitions. Infection control data is monitored and evaluated monthly and annually. Trends are identified and analysed, and corrective actions are established where trends are identified. These, along with </w:t>
            </w:r>
            <w:r w:rsidRPr="00BE00C7">
              <w:rPr>
                <w:rFonts w:cs="Arial"/>
                <w:lang w:eastAsia="en-NZ"/>
              </w:rPr>
              <w:lastRenderedPageBreak/>
              <w:t>outcomes and actions, are discussed at the registered nurse, staff and quality meetings. Meeting minutes are available to staff. Ethnicity data is included in benchmarking of infection control data at facility and national level. Review of benchmarking data shows that Radius Taupaki Gables infection rates compared favourabl</w:t>
            </w:r>
            <w:r w:rsidR="00AA7B79">
              <w:rPr>
                <w:rFonts w:cs="Arial"/>
                <w:lang w:eastAsia="en-NZ"/>
              </w:rPr>
              <w:t>y</w:t>
            </w:r>
            <w:r w:rsidRPr="00BE00C7">
              <w:rPr>
                <w:rFonts w:cs="Arial"/>
                <w:lang w:eastAsia="en-NZ"/>
              </w:rPr>
              <w:t xml:space="preserve"> to other Radius facilities. The infection control coordinator interviewed confirmed the process of creating improvement plans, should this be required.</w:t>
            </w:r>
          </w:p>
          <w:p w14:paraId="222095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w:t>
            </w:r>
          </w:p>
          <w:p w14:paraId="570FA9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Education for residents regarding infections occurs on a one-to-one basis and includes advice and education about hand hygiene, medications prescribed, and requirements if appropriate for isolation. There was a Covid-19 outbreak since last audit. These were well documented, managed and reported to Public Health. Outbreak meetings occurred regularly. Residents and family/whānau were updated regularly through the outbreaks. </w:t>
            </w:r>
          </w:p>
          <w:p w14:paraId="0EF4F3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Hand sanitisers and gels are available for staff, residents, and visitors to the facility. Visitors to the facility signs in at entry to the building. </w:t>
            </w:r>
          </w:p>
          <w:p w14:paraId="6635B274" w14:textId="77777777" w:rsidR="00000000" w:rsidRPr="00BE00C7" w:rsidRDefault="00000000" w:rsidP="00BE00C7">
            <w:pPr>
              <w:pStyle w:val="OutcomeDescription"/>
              <w:spacing w:before="120" w:after="120"/>
              <w:rPr>
                <w:rFonts w:cs="Arial"/>
                <w:lang w:eastAsia="en-NZ"/>
              </w:rPr>
            </w:pPr>
          </w:p>
        </w:tc>
      </w:tr>
      <w:tr w:rsidR="00663D33" w14:paraId="42F980D5" w14:textId="77777777">
        <w:tc>
          <w:tcPr>
            <w:tcW w:w="0" w:type="auto"/>
          </w:tcPr>
          <w:p w14:paraId="25BED1A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247CEDE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7C047CE" w14:textId="77777777" w:rsidR="00000000" w:rsidRPr="00BE00C7" w:rsidRDefault="00000000" w:rsidP="00BE00C7">
            <w:pPr>
              <w:pStyle w:val="OutcomeDescription"/>
              <w:spacing w:before="120" w:after="120"/>
              <w:rPr>
                <w:rFonts w:cs="Arial"/>
                <w:lang w:eastAsia="en-NZ"/>
              </w:rPr>
            </w:pPr>
          </w:p>
        </w:tc>
        <w:tc>
          <w:tcPr>
            <w:tcW w:w="0" w:type="auto"/>
          </w:tcPr>
          <w:p w14:paraId="568F983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CEF2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implements Radius waste management policies that conform to legislative, local council requirements and a goal towards sustainability. Policies include (but are not limited to): considerations of staff orientation and education; incident/accident, and hazards reporting; use of PPE; and disposal of general, infectious, and hazardous waste.</w:t>
            </w:r>
          </w:p>
          <w:p w14:paraId="6729FE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Current material safety data information sheets are available and accessible to staff in relevant places in the facility, such as the sluice rooms and housekeeper’s room. Staff receive training and education in waste management and infection control as a component of the mandatory training. </w:t>
            </w:r>
          </w:p>
          <w:p w14:paraId="511ECD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and observations confirmed that there is enough PPE and </w:t>
            </w:r>
            <w:r w:rsidRPr="00BE00C7">
              <w:rPr>
                <w:rFonts w:cs="Arial"/>
                <w:lang w:eastAsia="en-NZ"/>
              </w:rPr>
              <w:lastRenderedPageBreak/>
              <w:t xml:space="preserve">equipment provided, such as aprons, gloves, and masks. Interviews confirmed that the use of PPE is appropriate to the recognised risks. There are sluice rooms with sanitisers and adequate supplies of PPE, including eye wear. </w:t>
            </w:r>
          </w:p>
          <w:p w14:paraId="25BFED0B" w14:textId="77777777" w:rsidR="00000000" w:rsidRPr="00BE00C7" w:rsidRDefault="00000000" w:rsidP="00BE00C7">
            <w:pPr>
              <w:pStyle w:val="OutcomeDescription"/>
              <w:spacing w:before="120" w:after="120"/>
              <w:rPr>
                <w:rFonts w:cs="Arial"/>
                <w:lang w:eastAsia="en-NZ"/>
              </w:rPr>
            </w:pPr>
            <w:r w:rsidRPr="00BE00C7">
              <w:rPr>
                <w:rFonts w:cs="Arial"/>
                <w:lang w:eastAsia="en-NZ"/>
              </w:rPr>
              <w:t>Cleaning services are provided seven days a week. Cleaning duties and procedures are documented to ensure correct cleaning processes occur. Cleaning products are dispensed from an in-line system according to the cleaning procedure. There are designated locked rooms for the safe and hygienic storage of cleaning equipment and chemicals. Household personnel are aware of the requirement to keep their cleaning trolleys in sight. Chemical bottles/cans in storage and in use were noted to be appropriately labelled. Cleaning staff have completed chemical safety training.</w:t>
            </w:r>
          </w:p>
          <w:p w14:paraId="4EF584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safe and hygienic collection and transport of laundry items into relevant colour containers was witnessed. Linen is laundered off site five days a week and include resident’s personal clothing. Staff interviewed confirm there is enough linen available over weekends. Residents’ clothes are transported and delivered in labelled mesh bags. Residents and family/whānau confirmed satisfaction with laundry services in interviews. Any concerns that arise are immediately addressed. Laundry audits are completed.</w:t>
            </w:r>
          </w:p>
          <w:p w14:paraId="3BEA1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to provide direction and guidance to safely reduce the risk of infection, during construction, renovation, installation, and maintenance activities. The policy details consultation required with the infection control team. There were no construction, installation, or maintenance in progress at the time of the audit. Infection control internal audits are completed by the infection control coordinator. </w:t>
            </w:r>
          </w:p>
          <w:p w14:paraId="1F9F7288" w14:textId="77777777" w:rsidR="00000000" w:rsidRPr="00BE00C7" w:rsidRDefault="00000000" w:rsidP="00BE00C7">
            <w:pPr>
              <w:pStyle w:val="OutcomeDescription"/>
              <w:spacing w:before="120" w:after="120"/>
              <w:rPr>
                <w:rFonts w:cs="Arial"/>
                <w:lang w:eastAsia="en-NZ"/>
              </w:rPr>
            </w:pPr>
          </w:p>
        </w:tc>
      </w:tr>
      <w:tr w:rsidR="00663D33" w14:paraId="13E7DD6B" w14:textId="77777777">
        <w:tc>
          <w:tcPr>
            <w:tcW w:w="0" w:type="auto"/>
          </w:tcPr>
          <w:p w14:paraId="78D0326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62AC77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 xml:space="preserve">As service providers: We demonstrate the rationale for the use of </w:t>
            </w:r>
            <w:r w:rsidRPr="00BE00C7">
              <w:rPr>
                <w:rFonts w:cs="Arial"/>
                <w:lang w:eastAsia="en-NZ"/>
              </w:rPr>
              <w:lastRenderedPageBreak/>
              <w:t>restraint in the context of aiming for elimination.</w:t>
            </w:r>
          </w:p>
          <w:p w14:paraId="12336B5D" w14:textId="77777777" w:rsidR="00000000" w:rsidRPr="00BE00C7" w:rsidRDefault="00000000" w:rsidP="00BE00C7">
            <w:pPr>
              <w:pStyle w:val="OutcomeDescription"/>
              <w:spacing w:before="120" w:after="120"/>
              <w:rPr>
                <w:rFonts w:cs="Arial"/>
                <w:lang w:eastAsia="en-NZ"/>
              </w:rPr>
            </w:pPr>
          </w:p>
        </w:tc>
        <w:tc>
          <w:tcPr>
            <w:tcW w:w="0" w:type="auto"/>
          </w:tcPr>
          <w:p w14:paraId="59AA92A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FC999B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Radius has set a national objective of zero use of restraint by end 2025. Radius Taupaki Gables has remained restraint free since 2012. The restraint minimisation policy guides practice, reinforcing restraint use is a last resort and must be done in partnership with the resident and/or their activated EPOA/ next of kin. The choice of restraint must be the least restrictive possible. The restraint minimisation policy includes expectation that restraint is discussed at staff meetings and </w:t>
            </w:r>
            <w:r w:rsidRPr="00BE00C7">
              <w:rPr>
                <w:rFonts w:cs="Arial"/>
                <w:lang w:eastAsia="en-NZ"/>
              </w:rPr>
              <w:lastRenderedPageBreak/>
              <w:t xml:space="preserve">includes reporting requirements. There are resident advocates who can be consulted to provide input when restraint is considered/required. Restraint is a benchmarked indicator. </w:t>
            </w:r>
          </w:p>
          <w:p w14:paraId="7419E0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When restraint is considered for a resident, the facility will work in partnership with Māori to promote and ensure services are mana-enhancing. The designated restraint coordinator is the facility manager. There is a job description for the role. Restraint has been discussed as part of staff meetings. Restraint use (including the absence of restraint use) is reported to the quality manager, who then reports through to the senior management team and the Board. </w:t>
            </w:r>
          </w:p>
          <w:p w14:paraId="1FC7BB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informed restraint would only be used as a last resort, when all other alternatives have been explored. Training for all staff occurs at orientation and annually. Training includes cultural considerations and de-escalation techniques to manage challenging behaviour. </w:t>
            </w:r>
          </w:p>
          <w:p w14:paraId="4C69DA48" w14:textId="77777777" w:rsidR="00000000" w:rsidRPr="00BE00C7" w:rsidRDefault="00000000" w:rsidP="00BE00C7">
            <w:pPr>
              <w:pStyle w:val="OutcomeDescription"/>
              <w:spacing w:before="120" w:after="120"/>
              <w:rPr>
                <w:rFonts w:cs="Arial"/>
                <w:lang w:eastAsia="en-NZ"/>
              </w:rPr>
            </w:pPr>
          </w:p>
        </w:tc>
      </w:tr>
    </w:tbl>
    <w:p w14:paraId="4125FC81" w14:textId="77777777" w:rsidR="00000000" w:rsidRPr="00BE00C7" w:rsidRDefault="00000000" w:rsidP="00BE00C7">
      <w:pPr>
        <w:pStyle w:val="OutcomeDescription"/>
        <w:spacing w:before="120" w:after="120"/>
        <w:rPr>
          <w:rFonts w:cs="Arial"/>
          <w:lang w:eastAsia="en-NZ"/>
        </w:rPr>
      </w:pPr>
      <w:bookmarkStart w:id="57" w:name="AuditSummaryAttainment"/>
      <w:bookmarkEnd w:id="57"/>
    </w:p>
    <w:p w14:paraId="6954C843" w14:textId="77777777" w:rsidR="00000000" w:rsidRDefault="00000000">
      <w:pPr>
        <w:pStyle w:val="Heading1"/>
        <w:rPr>
          <w:rFonts w:cs="Arial"/>
        </w:rPr>
      </w:pPr>
      <w:r>
        <w:rPr>
          <w:rFonts w:cs="Arial"/>
        </w:rPr>
        <w:lastRenderedPageBreak/>
        <w:t>Specific results for criterion where corrective actions are required</w:t>
      </w:r>
    </w:p>
    <w:p w14:paraId="7493A5A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5F46E669"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E0235F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63D33" w14:paraId="411B1F7E" w14:textId="77777777">
        <w:tc>
          <w:tcPr>
            <w:tcW w:w="0" w:type="auto"/>
          </w:tcPr>
          <w:p w14:paraId="75DD2D2D"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8940043" w14:textId="77777777" w:rsidR="00000000" w:rsidRPr="00BE00C7" w:rsidRDefault="00000000" w:rsidP="00BE00C7">
      <w:pPr>
        <w:pStyle w:val="OutcomeDescription"/>
        <w:spacing w:before="120" w:after="120"/>
        <w:rPr>
          <w:rFonts w:cs="Arial"/>
          <w:lang w:eastAsia="en-NZ"/>
        </w:rPr>
      </w:pPr>
      <w:bookmarkStart w:id="58" w:name="AuditSummaryCAMCriterion"/>
      <w:bookmarkEnd w:id="58"/>
    </w:p>
    <w:p w14:paraId="70DADBDC" w14:textId="77777777" w:rsidR="00000000" w:rsidRDefault="00000000">
      <w:pPr>
        <w:pStyle w:val="Heading1"/>
        <w:rPr>
          <w:rFonts w:cs="Arial"/>
        </w:rPr>
      </w:pPr>
      <w:r>
        <w:rPr>
          <w:rFonts w:cs="Arial"/>
        </w:rPr>
        <w:lastRenderedPageBreak/>
        <w:t>Specific results for criterion where a continuous improvement has been recorded</w:t>
      </w:r>
    </w:p>
    <w:p w14:paraId="173178B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FF1C13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88DB9DC"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1332"/>
        <w:gridCol w:w="4701"/>
        <w:gridCol w:w="4830"/>
      </w:tblGrid>
      <w:tr w:rsidR="00663D33" w14:paraId="690911D1" w14:textId="77777777">
        <w:tc>
          <w:tcPr>
            <w:tcW w:w="0" w:type="auto"/>
          </w:tcPr>
          <w:p w14:paraId="5020222F"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BCC492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72036F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9E95FB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663D33" w14:paraId="1B219407" w14:textId="77777777">
        <w:tc>
          <w:tcPr>
            <w:tcW w:w="0" w:type="auto"/>
          </w:tcPr>
          <w:p w14:paraId="1BFD7D2F"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66B82A05"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4230F9A0"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6BE559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and clinical nurse manager identified a gap in newly employed registered nurses who face unique challenges in palliative care. The challenge impacted communication within the team but also with the family/whānau during palliative care. </w:t>
            </w:r>
          </w:p>
          <w:p w14:paraId="58B980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collaboration with the care team (mid 2023), national quality manager, and clinical nurse specialist, to understand how service delivery can be improved to ensure an improved resident and family/whānau experience. The service actively participates with the clinical nurse specialist by improving the palliative care pathway within the clinical setting, to ensure RNs are well equipped to deliver quality palliative care. The initiative is based around improving and developing skills, with emphasis on end-of-life communication to meet physical, emotional, psychosocial, spiritual </w:t>
            </w:r>
            <w:r w:rsidRPr="00BE00C7">
              <w:rPr>
                <w:rFonts w:cs="Arial"/>
                <w:lang w:eastAsia="en-NZ"/>
              </w:rPr>
              <w:lastRenderedPageBreak/>
              <w:t xml:space="preserve">and cultural needs. </w:t>
            </w:r>
          </w:p>
          <w:p w14:paraId="5F721710" w14:textId="77777777" w:rsidR="00000000" w:rsidRPr="00BE00C7" w:rsidRDefault="00000000" w:rsidP="00BE00C7">
            <w:pPr>
              <w:pStyle w:val="OutcomeDescription"/>
              <w:spacing w:before="120" w:after="120"/>
              <w:rPr>
                <w:rFonts w:cs="Arial"/>
                <w:lang w:eastAsia="en-NZ"/>
              </w:rPr>
            </w:pPr>
          </w:p>
        </w:tc>
        <w:tc>
          <w:tcPr>
            <w:tcW w:w="0" w:type="auto"/>
          </w:tcPr>
          <w:p w14:paraId="36EB9E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quality improvement plan was developed, and was discussed at facility meetings, including staff, quality and RN. All care staff completed training in palliative care. Registered nurses completed fundamentals in palliative care. Four RNs completed the Radius Unleash EPEC training and understanding of palliative care concepts. The quality improvement plan was regularly reviewed against the goals.</w:t>
            </w:r>
          </w:p>
          <w:p w14:paraId="0825A40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palliative clinical nurse specialist supported the service to discuss expectations with families/whānau, assisted with anticipatory prescribing, and with the grieving/debrief process. A three-session staff training was completed. Regular meetings between the care staff and with the clinical nurse specialist built capacity and capability for staff to feel comfortable and confident in the care they provide, and for RNs to facilitate challenging </w:t>
            </w:r>
            <w:r w:rsidRPr="00BE00C7">
              <w:rPr>
                <w:rFonts w:cs="Arial"/>
                <w:lang w:eastAsia="en-NZ"/>
              </w:rPr>
              <w:lastRenderedPageBreak/>
              <w:t xml:space="preserve">discussions around end-of-life care and responding when a person raises assisted dying. </w:t>
            </w:r>
          </w:p>
          <w:p w14:paraId="271189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complements register, communication notes in documentation, interviews with RNs, and reviewed correspondence from the palliative nurse specialist evidence improvement on communication strategies with family/whānau and the hospice; and identification of residents on palliative care occurs early, to provide the required care at the right time and place. A booklet and several resources were developed for family/whānau to understand the palliative pathway, and these described the care required to meet the resident’s individual goals and needs, according to the phases and progression of the illness. </w:t>
            </w:r>
          </w:p>
          <w:p w14:paraId="66DA12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Family/whānau and resident’s wishes are regularly discussed and incorporated into the care plan. As a result, there is an established collaborative relationship between the care team, hospice, and family/whānau. The email of feedback from families/whānau that lived through the experience was overall positive. The FM and CNM stated the Hospice verified the treatment pathway and communication to be successful and residents’ quality of life are optimised until death. The positive outcome includes discussions of dedicated funded (four) palliative care beds at Radius Taupaki Gables to support the region, noting that the funding has not yet been confirmed. The palliative care pathway is embedded into practice and RNs stated overall communication has improved with pre programme clinical knowledge (understanding palliative care, skills to deliver palliative care, general knowledge improved from 60% to 80%, and pre programme communication improved from 70%-90%. Forty families/whānau have been supported through the palliative care pathway process between May 2024 and May 2025. With an overall satisfaction rate of </w:t>
            </w:r>
            <w:r w:rsidRPr="00BE00C7">
              <w:rPr>
                <w:rFonts w:cs="Arial"/>
                <w:lang w:eastAsia="en-NZ"/>
              </w:rPr>
              <w:lastRenderedPageBreak/>
              <w:t xml:space="preserve">98% in 2024, this was an improvement from previous results 89% in 2023. Spiritual and cultural support increased from 88% in 2023 to 100% in 2024, and satisfaction with communication increased from 86% in 2023, to 100% in 2024. </w:t>
            </w:r>
          </w:p>
          <w:p w14:paraId="570FFB1E" w14:textId="77777777" w:rsidR="00000000" w:rsidRPr="00BE00C7" w:rsidRDefault="00000000" w:rsidP="00BE00C7">
            <w:pPr>
              <w:pStyle w:val="OutcomeDescription"/>
              <w:spacing w:before="120" w:after="120"/>
              <w:rPr>
                <w:rFonts w:cs="Arial"/>
                <w:lang w:eastAsia="en-NZ"/>
              </w:rPr>
            </w:pPr>
          </w:p>
        </w:tc>
      </w:tr>
      <w:tr w:rsidR="00663D33" w14:paraId="5C9B137A" w14:textId="77777777">
        <w:tc>
          <w:tcPr>
            <w:tcW w:w="0" w:type="auto"/>
          </w:tcPr>
          <w:p w14:paraId="72389A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4.1.2</w:t>
            </w:r>
          </w:p>
          <w:p w14:paraId="007D7F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698AEB9E"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117E03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previous certification audit a continuous improvement (CI) was awarded for the activities programme that referred to the large vegetable garden, chickens, and a community drop off station. Radius Taupaki Gables have now well embedded these improvements, and other similar initiatives, into practice. This work is now aligned to the wider Radius strategic goals. </w:t>
            </w:r>
          </w:p>
          <w:p w14:paraId="2A54BC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of Radius’ strategic goals is around supporting sustainable practice. Sustainability is described as creating a comfortable and eco-friendly environment for residents, while reducing the environmental impact. Quarterly reporting on progress towards meeting strategic goals is completed. There is a sustainability committee that Radius Taupaki Gables regional manager attends. Strategic goals are embedded into local business plans where initiatives are further defined, implemented, and embedded into practice. </w:t>
            </w:r>
          </w:p>
          <w:p w14:paraId="0FE30F74" w14:textId="77777777" w:rsidR="00000000" w:rsidRPr="00BE00C7" w:rsidRDefault="00000000" w:rsidP="00BE00C7">
            <w:pPr>
              <w:pStyle w:val="OutcomeDescription"/>
              <w:spacing w:before="120" w:after="120"/>
              <w:rPr>
                <w:rFonts w:cs="Arial"/>
                <w:lang w:eastAsia="en-NZ"/>
              </w:rPr>
            </w:pPr>
          </w:p>
        </w:tc>
        <w:tc>
          <w:tcPr>
            <w:tcW w:w="0" w:type="auto"/>
          </w:tcPr>
          <w:p w14:paraId="14D48AF1" w14:textId="77777777" w:rsidR="00000000" w:rsidRPr="00BE00C7" w:rsidRDefault="00000000" w:rsidP="00BE00C7">
            <w:pPr>
              <w:pStyle w:val="OutcomeDescription"/>
              <w:spacing w:before="120" w:after="120"/>
              <w:rPr>
                <w:rFonts w:cs="Arial"/>
                <w:lang w:eastAsia="en-NZ"/>
              </w:rPr>
            </w:pPr>
            <w:r w:rsidRPr="00BE00C7">
              <w:rPr>
                <w:rFonts w:cs="Arial"/>
                <w:lang w:eastAsia="en-NZ"/>
              </w:rPr>
              <w:t>One of the business plan goals for Radius Taupaki Gables is to support sustainability by introducing simple initiatives, such as kitchen gardening and composting, keeping laying hens and recycling goods. Activities outlined in the previous CI have been strengthened to focus on the strategic goal of sustainability and include:</w:t>
            </w:r>
          </w:p>
          <w:p w14:paraId="38E30310"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Composting – all garden waste is composted. One of the activities linked to this initiative included growing vegetables in commercial compost and Radius Taupaki Gables compost. Photographs suggest stronger growth from the Radius Taupaki Gables compost.</w:t>
            </w:r>
          </w:p>
          <w:p w14:paraId="77F949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 Kitchen gardens – several raised gardens have been built in resident accessible areas such as decks, so residents with mobility issues can access. Radius Taupaki Gables residents are now raising seedlings from seeds collected in the garden. </w:t>
            </w:r>
          </w:p>
          <w:p w14:paraId="31870CF9" w14:textId="77777777" w:rsidR="00000000" w:rsidRPr="00BE00C7" w:rsidRDefault="00000000" w:rsidP="00BE00C7">
            <w:pPr>
              <w:pStyle w:val="OutcomeDescription"/>
              <w:spacing w:before="120" w:after="120"/>
              <w:rPr>
                <w:rFonts w:cs="Arial"/>
                <w:lang w:eastAsia="en-NZ"/>
              </w:rPr>
            </w:pPr>
            <w:r w:rsidRPr="00BE00C7">
              <w:rPr>
                <w:rFonts w:cs="Arial"/>
                <w:lang w:eastAsia="en-NZ"/>
              </w:rPr>
              <w:t>c) Battery hens – the facility continues to rescue battery hens and use the eggs in the kitchen.</w:t>
            </w:r>
          </w:p>
          <w:p w14:paraId="25097E3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 A community exchange station and community library are both located at the front entrance. The exchange station includes items such as toys, children’s wear, plants, and fruit. The items are dropped off by members of the community (and/or staff) and can be exchanged if they wish. The community library is located beside the exchange station and has proved popular for both the </w:t>
            </w:r>
            <w:r w:rsidRPr="00BE00C7">
              <w:rPr>
                <w:rFonts w:cs="Arial"/>
                <w:lang w:eastAsia="en-NZ"/>
              </w:rPr>
              <w:lastRenderedPageBreak/>
              <w:t>community and Radius Taupaki Gables residents.</w:t>
            </w:r>
          </w:p>
          <w:p w14:paraId="783B713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 Radius Taupaki Gables takes part in the NZ native bird tally by creating food for birds from pinecones. </w:t>
            </w:r>
          </w:p>
          <w:p w14:paraId="1B746E5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numerous photographs showing resident involvement in, and enjoyment of, the initiatives above. Demonstrating these initiatives are now well embedded into practice and can be seen through several resident leisure plans, examples as below: </w:t>
            </w:r>
          </w:p>
          <w:p w14:paraId="5CBA6542" w14:textId="77777777" w:rsidR="00000000" w:rsidRPr="00BE00C7" w:rsidRDefault="00000000" w:rsidP="00BE00C7">
            <w:pPr>
              <w:pStyle w:val="OutcomeDescription"/>
              <w:spacing w:before="120" w:after="120"/>
              <w:rPr>
                <w:rFonts w:cs="Arial"/>
                <w:lang w:eastAsia="en-NZ"/>
              </w:rPr>
            </w:pPr>
            <w:r w:rsidRPr="00BE00C7">
              <w:rPr>
                <w:rFonts w:cs="Arial"/>
                <w:lang w:eastAsia="en-NZ"/>
              </w:rPr>
              <w:t>a) a resident feeds the chickens every day, and most recently has been caring for a mother hen and two chicks, ensuring they are fed and have water.</w:t>
            </w:r>
          </w:p>
          <w:p w14:paraId="75CB8AC3" w14:textId="77777777" w:rsidR="00000000" w:rsidRPr="00BE00C7" w:rsidRDefault="00000000" w:rsidP="00BE00C7">
            <w:pPr>
              <w:pStyle w:val="OutcomeDescription"/>
              <w:spacing w:before="120" w:after="120"/>
              <w:rPr>
                <w:rFonts w:cs="Arial"/>
                <w:lang w:eastAsia="en-NZ"/>
              </w:rPr>
            </w:pPr>
            <w:r w:rsidRPr="00BE00C7">
              <w:rPr>
                <w:rFonts w:cs="Arial"/>
                <w:lang w:eastAsia="en-NZ"/>
              </w:rPr>
              <w:t>b) a resident enjoys the gardening club, and was reported as having grown the tallest sunflower last season.</w:t>
            </w:r>
          </w:p>
          <w:p w14:paraId="1C97495D" w14:textId="77777777" w:rsidR="00000000" w:rsidRPr="00BE00C7" w:rsidRDefault="00000000" w:rsidP="00BE00C7">
            <w:pPr>
              <w:pStyle w:val="OutcomeDescription"/>
              <w:spacing w:before="120" w:after="120"/>
              <w:rPr>
                <w:rFonts w:cs="Arial"/>
                <w:lang w:eastAsia="en-NZ"/>
              </w:rPr>
            </w:pPr>
            <w:r w:rsidRPr="00BE00C7">
              <w:rPr>
                <w:rFonts w:cs="Arial"/>
                <w:lang w:eastAsia="en-NZ"/>
              </w:rPr>
              <w:t>c) a younger person’s plan states he helps with the swap stand out the front; he is keen to keep it full and tidy and often goes out with staff to have a look and maintain it.</w:t>
            </w:r>
          </w:p>
          <w:p w14:paraId="72E625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 a resident who was slow to gain confidence at the facility, but has expressed interest in attending the gardening group. The resident appeared to come out of his shell and engage with other residents when attending group/s. </w:t>
            </w:r>
          </w:p>
          <w:p w14:paraId="02306930" w14:textId="77777777" w:rsidR="00000000" w:rsidRPr="00BE00C7" w:rsidRDefault="00000000" w:rsidP="00BE00C7">
            <w:pPr>
              <w:pStyle w:val="OutcomeDescription"/>
              <w:spacing w:before="120" w:after="120"/>
              <w:rPr>
                <w:rFonts w:cs="Arial"/>
                <w:lang w:eastAsia="en-NZ"/>
              </w:rPr>
            </w:pPr>
            <w:r w:rsidRPr="00BE00C7">
              <w:rPr>
                <w:rFonts w:cs="Arial"/>
                <w:lang w:eastAsia="en-NZ"/>
              </w:rPr>
              <w:t>e) one resident 1:1 time was suggested as taking the resident down to the garden or help set up potting on the back deck that could be done together.</w:t>
            </w:r>
          </w:p>
          <w:p w14:paraId="164015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These sustainability practices demonstrate a commitment to both ecological stewardship and holistic care, enriching the lives of residents and engagement with the community.</w:t>
            </w:r>
          </w:p>
          <w:p w14:paraId="337294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overall satisfaction with the aged care home increased from 93% in 2023 (related to key areas </w:t>
            </w:r>
            <w:r w:rsidRPr="00BE00C7">
              <w:rPr>
                <w:rFonts w:cs="Arial"/>
                <w:lang w:eastAsia="en-NZ"/>
              </w:rPr>
              <w:lastRenderedPageBreak/>
              <w:t>safety and security, cleanliness, furniture and furnishings, grounds and walkways, common areas, maintenance, laundry, activities programme and nutritious meals), to 98% in 2024.</w:t>
            </w:r>
          </w:p>
          <w:p w14:paraId="4DB9666C" w14:textId="77777777" w:rsidR="00000000" w:rsidRPr="00BE00C7" w:rsidRDefault="00000000" w:rsidP="00BE00C7">
            <w:pPr>
              <w:pStyle w:val="OutcomeDescription"/>
              <w:spacing w:before="120" w:after="120"/>
              <w:rPr>
                <w:rFonts w:cs="Arial"/>
                <w:lang w:eastAsia="en-NZ"/>
              </w:rPr>
            </w:pPr>
          </w:p>
        </w:tc>
      </w:tr>
    </w:tbl>
    <w:p w14:paraId="44470BC8" w14:textId="77777777" w:rsidR="00000000" w:rsidRPr="00BE00C7" w:rsidRDefault="00000000" w:rsidP="00BE00C7">
      <w:pPr>
        <w:pStyle w:val="OutcomeDescription"/>
        <w:spacing w:before="120" w:after="120"/>
        <w:rPr>
          <w:rFonts w:cs="Arial"/>
          <w:lang w:eastAsia="en-NZ"/>
        </w:rPr>
      </w:pPr>
      <w:bookmarkStart w:id="59" w:name="AuditSummaryCAMImprovment"/>
      <w:bookmarkEnd w:id="59"/>
    </w:p>
    <w:p w14:paraId="749BD70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DBCEC" w14:textId="77777777" w:rsidR="00981D19" w:rsidRDefault="00981D19">
      <w:r>
        <w:separator/>
      </w:r>
    </w:p>
  </w:endnote>
  <w:endnote w:type="continuationSeparator" w:id="0">
    <w:p w14:paraId="2EC6EFC4" w14:textId="77777777" w:rsidR="00981D19" w:rsidRDefault="00981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4019" w14:textId="77777777" w:rsidR="00000000" w:rsidRDefault="00000000">
    <w:pPr>
      <w:pStyle w:val="Footer"/>
    </w:pPr>
  </w:p>
  <w:p w14:paraId="19E0FB64" w14:textId="77777777" w:rsidR="00000000" w:rsidRDefault="00000000"/>
  <w:p w14:paraId="6718EBEA"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DF57B"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60" w:name="PRMS_RIName1"/>
    <w:r>
      <w:rPr>
        <w:rFonts w:cs="Arial"/>
        <w:sz w:val="16"/>
        <w:szCs w:val="20"/>
      </w:rPr>
      <w:t>Radius Residential Care Limited - Radius Taupaki Gables</w:t>
    </w:r>
    <w:bookmarkEnd w:id="60"/>
    <w:r>
      <w:rPr>
        <w:rFonts w:cs="Arial"/>
        <w:sz w:val="16"/>
        <w:szCs w:val="20"/>
      </w:rPr>
      <w:tab/>
      <w:t xml:space="preserve">Date of Audit: </w:t>
    </w:r>
    <w:bookmarkStart w:id="61" w:name="AuditStartDate1"/>
    <w:r>
      <w:rPr>
        <w:rFonts w:cs="Arial"/>
        <w:sz w:val="16"/>
        <w:szCs w:val="20"/>
      </w:rPr>
      <w:t>3 June 2025</w:t>
    </w:r>
    <w:bookmarkEnd w:id="61"/>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54AF591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33BD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9B349" w14:textId="77777777" w:rsidR="00981D19" w:rsidRDefault="00981D19">
      <w:r>
        <w:separator/>
      </w:r>
    </w:p>
  </w:footnote>
  <w:footnote w:type="continuationSeparator" w:id="0">
    <w:p w14:paraId="7AA93D51" w14:textId="77777777" w:rsidR="00981D19" w:rsidRDefault="00981D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FA3C" w14:textId="77777777" w:rsidR="00000000" w:rsidRDefault="00000000">
    <w:pPr>
      <w:pStyle w:val="Header"/>
    </w:pPr>
  </w:p>
  <w:p w14:paraId="620DC249"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D6F7" w14:textId="77777777" w:rsidR="00000000" w:rsidRDefault="00000000">
    <w:pPr>
      <w:pStyle w:val="Header"/>
    </w:pPr>
  </w:p>
  <w:p w14:paraId="75C0A9A7"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D3E5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988C54A">
      <w:start w:val="1"/>
      <w:numFmt w:val="decimal"/>
      <w:lvlText w:val="%1."/>
      <w:lvlJc w:val="left"/>
      <w:pPr>
        <w:ind w:left="360" w:hanging="360"/>
      </w:pPr>
    </w:lvl>
    <w:lvl w:ilvl="1" w:tplc="587AB46A" w:tentative="1">
      <w:start w:val="1"/>
      <w:numFmt w:val="lowerLetter"/>
      <w:lvlText w:val="%2."/>
      <w:lvlJc w:val="left"/>
      <w:pPr>
        <w:ind w:left="1080" w:hanging="360"/>
      </w:pPr>
    </w:lvl>
    <w:lvl w:ilvl="2" w:tplc="C6761A36" w:tentative="1">
      <w:start w:val="1"/>
      <w:numFmt w:val="lowerRoman"/>
      <w:lvlText w:val="%3."/>
      <w:lvlJc w:val="right"/>
      <w:pPr>
        <w:ind w:left="1800" w:hanging="180"/>
      </w:pPr>
    </w:lvl>
    <w:lvl w:ilvl="3" w:tplc="EA045C68" w:tentative="1">
      <w:start w:val="1"/>
      <w:numFmt w:val="decimal"/>
      <w:lvlText w:val="%4."/>
      <w:lvlJc w:val="left"/>
      <w:pPr>
        <w:ind w:left="2520" w:hanging="360"/>
      </w:pPr>
    </w:lvl>
    <w:lvl w:ilvl="4" w:tplc="8A66E596" w:tentative="1">
      <w:start w:val="1"/>
      <w:numFmt w:val="lowerLetter"/>
      <w:lvlText w:val="%5."/>
      <w:lvlJc w:val="left"/>
      <w:pPr>
        <w:ind w:left="3240" w:hanging="360"/>
      </w:pPr>
    </w:lvl>
    <w:lvl w:ilvl="5" w:tplc="705A9EE6" w:tentative="1">
      <w:start w:val="1"/>
      <w:numFmt w:val="lowerRoman"/>
      <w:lvlText w:val="%6."/>
      <w:lvlJc w:val="right"/>
      <w:pPr>
        <w:ind w:left="3960" w:hanging="180"/>
      </w:pPr>
    </w:lvl>
    <w:lvl w:ilvl="6" w:tplc="456C95E4" w:tentative="1">
      <w:start w:val="1"/>
      <w:numFmt w:val="decimal"/>
      <w:lvlText w:val="%7."/>
      <w:lvlJc w:val="left"/>
      <w:pPr>
        <w:ind w:left="4680" w:hanging="360"/>
      </w:pPr>
    </w:lvl>
    <w:lvl w:ilvl="7" w:tplc="C9DEEEF0" w:tentative="1">
      <w:start w:val="1"/>
      <w:numFmt w:val="lowerLetter"/>
      <w:lvlText w:val="%8."/>
      <w:lvlJc w:val="left"/>
      <w:pPr>
        <w:ind w:left="5400" w:hanging="360"/>
      </w:pPr>
    </w:lvl>
    <w:lvl w:ilvl="8" w:tplc="18082A5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54A6C12">
      <w:start w:val="1"/>
      <w:numFmt w:val="bullet"/>
      <w:lvlText w:val=""/>
      <w:lvlJc w:val="left"/>
      <w:pPr>
        <w:ind w:left="720" w:hanging="360"/>
      </w:pPr>
      <w:rPr>
        <w:rFonts w:ascii="Symbol" w:hAnsi="Symbol" w:hint="default"/>
      </w:rPr>
    </w:lvl>
    <w:lvl w:ilvl="1" w:tplc="47142EA8" w:tentative="1">
      <w:start w:val="1"/>
      <w:numFmt w:val="bullet"/>
      <w:lvlText w:val="o"/>
      <w:lvlJc w:val="left"/>
      <w:pPr>
        <w:ind w:left="1440" w:hanging="360"/>
      </w:pPr>
      <w:rPr>
        <w:rFonts w:ascii="Courier New" w:hAnsi="Courier New" w:cs="Courier New" w:hint="default"/>
      </w:rPr>
    </w:lvl>
    <w:lvl w:ilvl="2" w:tplc="2D0459E8" w:tentative="1">
      <w:start w:val="1"/>
      <w:numFmt w:val="bullet"/>
      <w:lvlText w:val=""/>
      <w:lvlJc w:val="left"/>
      <w:pPr>
        <w:ind w:left="2160" w:hanging="360"/>
      </w:pPr>
      <w:rPr>
        <w:rFonts w:ascii="Wingdings" w:hAnsi="Wingdings" w:hint="default"/>
      </w:rPr>
    </w:lvl>
    <w:lvl w:ilvl="3" w:tplc="7366B4A2" w:tentative="1">
      <w:start w:val="1"/>
      <w:numFmt w:val="bullet"/>
      <w:lvlText w:val=""/>
      <w:lvlJc w:val="left"/>
      <w:pPr>
        <w:ind w:left="2880" w:hanging="360"/>
      </w:pPr>
      <w:rPr>
        <w:rFonts w:ascii="Symbol" w:hAnsi="Symbol" w:hint="default"/>
      </w:rPr>
    </w:lvl>
    <w:lvl w:ilvl="4" w:tplc="609E0BB4" w:tentative="1">
      <w:start w:val="1"/>
      <w:numFmt w:val="bullet"/>
      <w:lvlText w:val="o"/>
      <w:lvlJc w:val="left"/>
      <w:pPr>
        <w:ind w:left="3600" w:hanging="360"/>
      </w:pPr>
      <w:rPr>
        <w:rFonts w:ascii="Courier New" w:hAnsi="Courier New" w:cs="Courier New" w:hint="default"/>
      </w:rPr>
    </w:lvl>
    <w:lvl w:ilvl="5" w:tplc="5E5EC97A" w:tentative="1">
      <w:start w:val="1"/>
      <w:numFmt w:val="bullet"/>
      <w:lvlText w:val=""/>
      <w:lvlJc w:val="left"/>
      <w:pPr>
        <w:ind w:left="4320" w:hanging="360"/>
      </w:pPr>
      <w:rPr>
        <w:rFonts w:ascii="Wingdings" w:hAnsi="Wingdings" w:hint="default"/>
      </w:rPr>
    </w:lvl>
    <w:lvl w:ilvl="6" w:tplc="00306CCA" w:tentative="1">
      <w:start w:val="1"/>
      <w:numFmt w:val="bullet"/>
      <w:lvlText w:val=""/>
      <w:lvlJc w:val="left"/>
      <w:pPr>
        <w:ind w:left="5040" w:hanging="360"/>
      </w:pPr>
      <w:rPr>
        <w:rFonts w:ascii="Symbol" w:hAnsi="Symbol" w:hint="default"/>
      </w:rPr>
    </w:lvl>
    <w:lvl w:ilvl="7" w:tplc="023E78F0" w:tentative="1">
      <w:start w:val="1"/>
      <w:numFmt w:val="bullet"/>
      <w:lvlText w:val="o"/>
      <w:lvlJc w:val="left"/>
      <w:pPr>
        <w:ind w:left="5760" w:hanging="360"/>
      </w:pPr>
      <w:rPr>
        <w:rFonts w:ascii="Courier New" w:hAnsi="Courier New" w:cs="Courier New" w:hint="default"/>
      </w:rPr>
    </w:lvl>
    <w:lvl w:ilvl="8" w:tplc="F28EF238" w:tentative="1">
      <w:start w:val="1"/>
      <w:numFmt w:val="bullet"/>
      <w:lvlText w:val=""/>
      <w:lvlJc w:val="left"/>
      <w:pPr>
        <w:ind w:left="6480" w:hanging="360"/>
      </w:pPr>
      <w:rPr>
        <w:rFonts w:ascii="Wingdings" w:hAnsi="Wingdings" w:hint="default"/>
      </w:rPr>
    </w:lvl>
  </w:abstractNum>
  <w:num w:numId="1" w16cid:durableId="2146002714">
    <w:abstractNumId w:val="1"/>
  </w:num>
  <w:num w:numId="2" w16cid:durableId="76684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3D33"/>
    <w:rsid w:val="00035A1C"/>
    <w:rsid w:val="001515FC"/>
    <w:rsid w:val="0045794B"/>
    <w:rsid w:val="00663D33"/>
    <w:rsid w:val="00981D19"/>
    <w:rsid w:val="00AA7B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E17DA"/>
  <w15:docId w15:val="{A6EA04E3-652B-4B86-930F-844D718A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45</Pages>
  <Words>15405</Words>
  <Characters>87813</Characters>
  <Application>Microsoft Office Word</Application>
  <DocSecurity>0</DocSecurity>
  <Lines>731</Lines>
  <Paragraphs>206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2025-08-11T22:34:00Z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