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EFAF" w14:textId="77777777" w:rsidR="00000000" w:rsidRDefault="00000000">
      <w:pPr>
        <w:pStyle w:val="Heading1"/>
        <w:rPr>
          <w:rFonts w:cs="Arial"/>
        </w:rPr>
      </w:pPr>
      <w:bookmarkStart w:id="0" w:name="PRMS_RIName"/>
      <w:r>
        <w:rPr>
          <w:rFonts w:cs="Arial"/>
        </w:rPr>
        <w:t>J A Crossley Holdings Limited - Crossley Court Holiday and Retirement Home &amp; Orewa Beach Home</w:t>
      </w:r>
      <w:bookmarkEnd w:id="0"/>
    </w:p>
    <w:p w14:paraId="4448AF1E" w14:textId="77777777" w:rsidR="00000000" w:rsidRDefault="00000000">
      <w:pPr>
        <w:pStyle w:val="Heading2"/>
        <w:spacing w:after="0"/>
        <w:rPr>
          <w:rFonts w:cs="Arial"/>
        </w:rPr>
      </w:pPr>
      <w:r>
        <w:rPr>
          <w:rFonts w:cs="Arial"/>
        </w:rPr>
        <w:t>Introduction</w:t>
      </w:r>
    </w:p>
    <w:p w14:paraId="3372E1A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94674CA"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EFB560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B2032EC"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D4E3C42" w14:textId="77777777" w:rsidR="00000000" w:rsidRDefault="00000000">
      <w:pPr>
        <w:spacing w:before="240" w:after="240"/>
        <w:rPr>
          <w:rFonts w:cs="Arial"/>
          <w:lang w:eastAsia="en-NZ"/>
        </w:rPr>
      </w:pPr>
      <w:r>
        <w:rPr>
          <w:rFonts w:cs="Arial"/>
          <w:lang w:eastAsia="en-NZ"/>
        </w:rPr>
        <w:t>The specifics of this audit included:</w:t>
      </w:r>
    </w:p>
    <w:p w14:paraId="6D6A967A"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D1BB2B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J A Crossley Holdings Limited</w:t>
      </w:r>
      <w:bookmarkEnd w:id="4"/>
    </w:p>
    <w:p w14:paraId="1AA4F69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Orewa Beach Home||Crossley Court Holiday and Retirement Home</w:t>
      </w:r>
      <w:bookmarkEnd w:id="5"/>
    </w:p>
    <w:p w14:paraId="459406D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5AD6809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24 June 2025</w:t>
      </w:r>
      <w:bookmarkEnd w:id="7"/>
      <w:r w:rsidRPr="009418D4">
        <w:rPr>
          <w:rFonts w:cs="Arial"/>
        </w:rPr>
        <w:tab/>
        <w:t xml:space="preserve">End date: </w:t>
      </w:r>
      <w:bookmarkStart w:id="8" w:name="AuditEndDate"/>
      <w:r>
        <w:rPr>
          <w:rFonts w:cs="Arial"/>
        </w:rPr>
        <w:t>25 June 2025</w:t>
      </w:r>
      <w:bookmarkEnd w:id="8"/>
    </w:p>
    <w:p w14:paraId="720F82E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81CFF20" w14:textId="77777777" w:rsidR="00D2208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43</w:t>
      </w:r>
      <w:bookmarkEnd w:id="10"/>
    </w:p>
    <w:p w14:paraId="6B74658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B681CB9" w14:textId="77777777" w:rsidR="00000000" w:rsidRDefault="00000000">
      <w:pPr>
        <w:pStyle w:val="Heading1"/>
        <w:rPr>
          <w:rFonts w:cs="Arial"/>
        </w:rPr>
      </w:pPr>
      <w:r>
        <w:rPr>
          <w:rFonts w:cs="Arial"/>
        </w:rPr>
        <w:lastRenderedPageBreak/>
        <w:t>Executive summary of the audit</w:t>
      </w:r>
    </w:p>
    <w:p w14:paraId="1422CB0A" w14:textId="77777777" w:rsidR="00000000" w:rsidRDefault="00000000">
      <w:pPr>
        <w:pStyle w:val="Heading2"/>
        <w:rPr>
          <w:rFonts w:cs="Arial"/>
        </w:rPr>
      </w:pPr>
      <w:r>
        <w:rPr>
          <w:rFonts w:cs="Arial"/>
        </w:rPr>
        <w:t>Introduction</w:t>
      </w:r>
    </w:p>
    <w:p w14:paraId="15D3EC6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E2177AB"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4F8E12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AE306D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2892B6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35235E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3EBB17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4032EEA"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92BB24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2208B" w14:paraId="22ADF3E9" w14:textId="77777777">
        <w:trPr>
          <w:cantSplit/>
          <w:tblHeader/>
        </w:trPr>
        <w:tc>
          <w:tcPr>
            <w:tcW w:w="1260" w:type="dxa"/>
            <w:tcBorders>
              <w:bottom w:val="single" w:sz="4" w:space="0" w:color="000000"/>
            </w:tcBorders>
            <w:vAlign w:val="center"/>
          </w:tcPr>
          <w:p w14:paraId="3C64385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BD36CC6"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900E716" w14:textId="77777777" w:rsidR="00000000" w:rsidRDefault="00000000">
            <w:pPr>
              <w:spacing w:before="60" w:after="60"/>
              <w:rPr>
                <w:rFonts w:eastAsia="Calibri"/>
                <w:b/>
                <w:szCs w:val="24"/>
              </w:rPr>
            </w:pPr>
            <w:r>
              <w:rPr>
                <w:rFonts w:eastAsia="Calibri"/>
                <w:b/>
                <w:szCs w:val="24"/>
              </w:rPr>
              <w:t>Definition</w:t>
            </w:r>
          </w:p>
        </w:tc>
      </w:tr>
      <w:tr w:rsidR="00D2208B" w14:paraId="77D10328" w14:textId="77777777">
        <w:trPr>
          <w:cantSplit/>
          <w:trHeight w:val="964"/>
        </w:trPr>
        <w:tc>
          <w:tcPr>
            <w:tcW w:w="1260" w:type="dxa"/>
            <w:tcBorders>
              <w:bottom w:val="single" w:sz="4" w:space="0" w:color="000000"/>
            </w:tcBorders>
            <w:shd w:val="clear" w:color="0066FF" w:fill="0000FF"/>
            <w:vAlign w:val="center"/>
          </w:tcPr>
          <w:p w14:paraId="0672FEF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4AC5B5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338097E"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2208B" w14:paraId="04B1946C" w14:textId="77777777">
        <w:trPr>
          <w:cantSplit/>
          <w:trHeight w:val="964"/>
        </w:trPr>
        <w:tc>
          <w:tcPr>
            <w:tcW w:w="1260" w:type="dxa"/>
            <w:shd w:val="clear" w:color="33CC33" w:fill="00FF00"/>
            <w:vAlign w:val="center"/>
          </w:tcPr>
          <w:p w14:paraId="28731450" w14:textId="77777777" w:rsidR="00000000" w:rsidRDefault="00000000">
            <w:pPr>
              <w:spacing w:before="60" w:after="60"/>
              <w:rPr>
                <w:rFonts w:eastAsia="Calibri"/>
                <w:szCs w:val="24"/>
              </w:rPr>
            </w:pPr>
          </w:p>
        </w:tc>
        <w:tc>
          <w:tcPr>
            <w:tcW w:w="7095" w:type="dxa"/>
            <w:shd w:val="clear" w:color="auto" w:fill="auto"/>
            <w:vAlign w:val="center"/>
          </w:tcPr>
          <w:p w14:paraId="61DF016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3468D90"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2208B" w14:paraId="16EC2471" w14:textId="77777777">
        <w:trPr>
          <w:cantSplit/>
          <w:trHeight w:val="964"/>
        </w:trPr>
        <w:tc>
          <w:tcPr>
            <w:tcW w:w="1260" w:type="dxa"/>
            <w:tcBorders>
              <w:bottom w:val="single" w:sz="4" w:space="0" w:color="000000"/>
            </w:tcBorders>
            <w:shd w:val="clear" w:color="auto" w:fill="FFFF00"/>
            <w:vAlign w:val="center"/>
          </w:tcPr>
          <w:p w14:paraId="2B97B52C" w14:textId="77777777" w:rsidR="00000000" w:rsidRDefault="00000000">
            <w:pPr>
              <w:spacing w:before="60" w:after="60"/>
              <w:rPr>
                <w:rFonts w:eastAsia="Calibri"/>
                <w:szCs w:val="24"/>
              </w:rPr>
            </w:pPr>
          </w:p>
        </w:tc>
        <w:tc>
          <w:tcPr>
            <w:tcW w:w="7095" w:type="dxa"/>
            <w:shd w:val="clear" w:color="auto" w:fill="auto"/>
            <w:vAlign w:val="center"/>
          </w:tcPr>
          <w:p w14:paraId="760E2CD3"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8DAA4AC"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2208B" w14:paraId="5EE8F11A" w14:textId="77777777">
        <w:trPr>
          <w:cantSplit/>
          <w:trHeight w:val="964"/>
        </w:trPr>
        <w:tc>
          <w:tcPr>
            <w:tcW w:w="1260" w:type="dxa"/>
            <w:tcBorders>
              <w:bottom w:val="single" w:sz="4" w:space="0" w:color="000000"/>
            </w:tcBorders>
            <w:shd w:val="clear" w:color="auto" w:fill="FFC800"/>
            <w:vAlign w:val="center"/>
          </w:tcPr>
          <w:p w14:paraId="7C3EC13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E883839"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AE1AE5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2208B" w14:paraId="7E10AA63" w14:textId="77777777">
        <w:trPr>
          <w:cantSplit/>
          <w:trHeight w:val="964"/>
        </w:trPr>
        <w:tc>
          <w:tcPr>
            <w:tcW w:w="1260" w:type="dxa"/>
            <w:shd w:val="clear" w:color="auto" w:fill="FF0000"/>
            <w:vAlign w:val="center"/>
          </w:tcPr>
          <w:p w14:paraId="29765B92" w14:textId="77777777" w:rsidR="00000000" w:rsidRDefault="00000000">
            <w:pPr>
              <w:spacing w:before="60" w:after="60"/>
              <w:rPr>
                <w:rFonts w:eastAsia="Calibri"/>
                <w:szCs w:val="24"/>
              </w:rPr>
            </w:pPr>
          </w:p>
        </w:tc>
        <w:tc>
          <w:tcPr>
            <w:tcW w:w="7095" w:type="dxa"/>
            <w:shd w:val="clear" w:color="auto" w:fill="auto"/>
            <w:vAlign w:val="center"/>
          </w:tcPr>
          <w:p w14:paraId="3CA3C3CF"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19BB8E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0659492" w14:textId="77777777" w:rsidR="00000000" w:rsidRDefault="00000000">
      <w:pPr>
        <w:pStyle w:val="Heading2"/>
        <w:spacing w:after="0"/>
        <w:rPr>
          <w:rFonts w:cs="Arial"/>
        </w:rPr>
      </w:pPr>
      <w:r>
        <w:rPr>
          <w:rFonts w:cs="Arial"/>
        </w:rPr>
        <w:t>General overview of the audit</w:t>
      </w:r>
    </w:p>
    <w:p w14:paraId="34018194" w14:textId="77777777" w:rsidR="00000000" w:rsidRDefault="00000000">
      <w:pPr>
        <w:spacing w:before="240" w:line="276" w:lineRule="auto"/>
        <w:rPr>
          <w:rFonts w:eastAsia="Calibri"/>
        </w:rPr>
      </w:pPr>
      <w:bookmarkStart w:id="13" w:name="GeneralOverview"/>
      <w:r w:rsidRPr="00A4268A">
        <w:rPr>
          <w:rFonts w:eastAsia="Calibri"/>
        </w:rPr>
        <w:t>Crossley Court Holiday and Retirement Home &amp; Orewa Beach Home are situated in Orewa, Auckland. The residences are situated in close proximity to one another and provide residential care for up to 45 residents. There were 43 residents on the day of the audit.</w:t>
      </w:r>
    </w:p>
    <w:p w14:paraId="38D4CAC1" w14:textId="77777777" w:rsidR="00D2208B"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and the services contract with Health New Zealand- Te Whatu Ora. The audit process included a review of policies and procedures, the review of residents' and staff files, observations, and interviews with the facility manager, registered nurses, caregivers, family/whānau, staff, owner/director, physiotherapist and general practitioners.</w:t>
      </w:r>
    </w:p>
    <w:p w14:paraId="56732C99" w14:textId="77777777" w:rsidR="00D2208B" w:rsidRPr="00A4268A" w:rsidRDefault="00000000">
      <w:pPr>
        <w:spacing w:before="240" w:line="276" w:lineRule="auto"/>
        <w:rPr>
          <w:rFonts w:eastAsia="Calibri"/>
        </w:rPr>
      </w:pPr>
      <w:r w:rsidRPr="00A4268A">
        <w:rPr>
          <w:rFonts w:eastAsia="Calibri"/>
        </w:rPr>
        <w:t xml:space="preserve">The service is managed by a facility manager and is supported by the registered nurses, caregivers and the owner/director. Feedback from family/whānau and residents was positive about the care and the services provided at the service. </w:t>
      </w:r>
    </w:p>
    <w:p w14:paraId="1B82C54C" w14:textId="77777777" w:rsidR="00D2208B" w:rsidRPr="00A4268A" w:rsidRDefault="00000000">
      <w:pPr>
        <w:spacing w:before="240" w:line="276" w:lineRule="auto"/>
        <w:rPr>
          <w:rFonts w:eastAsia="Calibri"/>
        </w:rPr>
      </w:pPr>
      <w:r w:rsidRPr="00A4268A">
        <w:rPr>
          <w:rFonts w:eastAsia="Calibri"/>
        </w:rPr>
        <w:t>There were no areas of improvement identified from this audit.</w:t>
      </w:r>
    </w:p>
    <w:bookmarkEnd w:id="13"/>
    <w:p w14:paraId="02D7B4AD" w14:textId="77777777" w:rsidR="00D2208B" w:rsidRPr="00A4268A" w:rsidRDefault="00D2208B">
      <w:pPr>
        <w:spacing w:before="240" w:line="276" w:lineRule="auto"/>
        <w:rPr>
          <w:rFonts w:eastAsia="Calibri"/>
        </w:rPr>
      </w:pPr>
    </w:p>
    <w:p w14:paraId="283B0FF0"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2208B" w14:paraId="2F4B047C" w14:textId="77777777" w:rsidTr="00A4268A">
        <w:trPr>
          <w:cantSplit/>
        </w:trPr>
        <w:tc>
          <w:tcPr>
            <w:tcW w:w="10206" w:type="dxa"/>
            <w:vAlign w:val="center"/>
          </w:tcPr>
          <w:p w14:paraId="7CDF41C7"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BEB6D1A"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1C53106"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4F67DF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BF7D2D9" w14:textId="77777777" w:rsidR="00000000" w:rsidRDefault="00000000">
      <w:pPr>
        <w:spacing w:before="240" w:line="276" w:lineRule="auto"/>
        <w:rPr>
          <w:rFonts w:eastAsia="Calibri"/>
        </w:rPr>
      </w:pPr>
      <w:bookmarkStart w:id="16" w:name="ConsumerRights"/>
      <w:r w:rsidRPr="00A4268A">
        <w:rPr>
          <w:rFonts w:eastAsia="Calibri"/>
        </w:rPr>
        <w:t>Crossley Court Holiday and Retirement Home &amp; Orewa Beach Home offers an environment that promotes resident rights and ensures safe care. The staff demonstrated an understanding of residents' rights and obligations. There is a Māori health plan and a Pacific health plan. The service aims to provide high-quality and effective services and care for residents.</w:t>
      </w:r>
    </w:p>
    <w:p w14:paraId="1D60CBD1" w14:textId="77777777" w:rsidR="00D2208B"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Staff provide services and support to residents in an inclusive way and respect their identity and experiences. The service listens to and respects the residents' voices and effectively communicates with them about their choices. Care plans accommodate the choices of residents and/or their family/whānau. There is evidence that residents and family/whānau are kept informed. </w:t>
      </w:r>
    </w:p>
    <w:p w14:paraId="2577C381" w14:textId="77777777" w:rsidR="00D2208B"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7E93F6A3" w14:textId="77777777" w:rsidR="00D2208B" w:rsidRPr="00A4268A" w:rsidRDefault="00D2208B">
      <w:pPr>
        <w:spacing w:before="240" w:line="276" w:lineRule="auto"/>
        <w:rPr>
          <w:rFonts w:eastAsia="Calibri"/>
        </w:rPr>
      </w:pPr>
    </w:p>
    <w:p w14:paraId="0D69D60F"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2208B" w14:paraId="7FEF34BA" w14:textId="77777777" w:rsidTr="00A4268A">
        <w:trPr>
          <w:cantSplit/>
        </w:trPr>
        <w:tc>
          <w:tcPr>
            <w:tcW w:w="10206" w:type="dxa"/>
            <w:vAlign w:val="center"/>
          </w:tcPr>
          <w:p w14:paraId="3045C74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FF9DF3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FF5B360"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6C6AF05" w14:textId="77777777" w:rsidR="00000000" w:rsidRDefault="00000000">
      <w:pPr>
        <w:spacing w:before="240" w:line="276" w:lineRule="auto"/>
        <w:rPr>
          <w:rFonts w:eastAsia="Calibri"/>
        </w:rPr>
      </w:pPr>
      <w:bookmarkStart w:id="19" w:name="OrganisationalManagement"/>
      <w:r w:rsidRPr="00A4268A">
        <w:rPr>
          <w:rFonts w:eastAsia="Calibri"/>
        </w:rPr>
        <w:t xml:space="preserve">Governance is committed to improving pae ora outcomes and achieving equity. The needs of residents are considered. The management team members have knowledge and expertise in Te Tiriti o Waitangi, health equity and cultural safety. The business plan includes a mission statement, purpose, values, direction, scope and goals. </w:t>
      </w:r>
    </w:p>
    <w:p w14:paraId="5F351893" w14:textId="77777777" w:rsidR="00D2208B" w:rsidRPr="00A4268A" w:rsidRDefault="00000000">
      <w:pPr>
        <w:spacing w:before="240" w:line="276" w:lineRule="auto"/>
        <w:rPr>
          <w:rFonts w:eastAsia="Calibri"/>
        </w:rPr>
      </w:pPr>
      <w:r w:rsidRPr="00A4268A">
        <w:rPr>
          <w:rFonts w:eastAsia="Calibri"/>
        </w:rPr>
        <w:lastRenderedPageBreak/>
        <w:t xml:space="preserve">A documented quality and risk management system is in place, including a current risk plan and quality plan. Incidents are well managed, quality data is collated and analysed, and internal audits are completed. Systems are in place to monitor the services provided. Services are planned, coordinated, and appropriate to the residents’ needs. Care plans for the service are documented with evidence of regular reviews. </w:t>
      </w:r>
    </w:p>
    <w:p w14:paraId="12FC9D5E" w14:textId="77777777" w:rsidR="00D2208B" w:rsidRPr="00A4268A" w:rsidRDefault="00000000">
      <w:pPr>
        <w:spacing w:before="240" w:line="276" w:lineRule="auto"/>
        <w:rPr>
          <w:rFonts w:eastAsia="Calibri"/>
        </w:rPr>
      </w:pPr>
      <w:r w:rsidRPr="00A4268A">
        <w:rPr>
          <w:rFonts w:eastAsia="Calibri"/>
        </w:rPr>
        <w:t>The management and staff possess the necessary skills and experience to deliver suitable services to residents. Human resources are managed in accordance with good employment practices. An orientation programme is in place for new staff. An education and training plan is implemented. Competencies are defined and monitored. Staff records are secure, and staff ethnicity data is collected.</w:t>
      </w:r>
    </w:p>
    <w:p w14:paraId="002DCA16" w14:textId="77777777" w:rsidR="00D2208B" w:rsidRPr="00A4268A" w:rsidRDefault="00000000">
      <w:pPr>
        <w:spacing w:before="240" w:line="276" w:lineRule="auto"/>
        <w:rPr>
          <w:rFonts w:eastAsia="Calibri"/>
        </w:rPr>
      </w:pPr>
      <w:r w:rsidRPr="00A4268A">
        <w:rPr>
          <w:rFonts w:eastAsia="Calibri"/>
        </w:rPr>
        <w:t>Residents’ information is accurately recorded, securely stored and is not accessible to unauthorised people. Archived records can be retrieved as needed. Staff and resident records are maintained using both integrated hard-copy and electronic records.</w:t>
      </w:r>
    </w:p>
    <w:bookmarkEnd w:id="19"/>
    <w:p w14:paraId="77AE6489" w14:textId="77777777" w:rsidR="00D2208B" w:rsidRPr="00A4268A" w:rsidRDefault="00D2208B">
      <w:pPr>
        <w:spacing w:before="240" w:line="276" w:lineRule="auto"/>
        <w:rPr>
          <w:rFonts w:eastAsia="Calibri"/>
        </w:rPr>
      </w:pPr>
    </w:p>
    <w:p w14:paraId="7853E4F6"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2208B" w14:paraId="741FE949" w14:textId="77777777" w:rsidTr="00A4268A">
        <w:trPr>
          <w:cantSplit/>
        </w:trPr>
        <w:tc>
          <w:tcPr>
            <w:tcW w:w="10206" w:type="dxa"/>
            <w:vAlign w:val="center"/>
          </w:tcPr>
          <w:p w14:paraId="4583B01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806825F"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CC45C90"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74581B8"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Crossley Court Holiday and Retirement Home &amp; Orewa Beach Home have an admission pamphlet available prior to, or on entry to the service. The facility manager efficiently manages the entry process to the service. The registered nurses assess, plan and review residents' needs, outcomes and goals. The care plans demonstrated individualised care. </w:t>
      </w:r>
    </w:p>
    <w:p w14:paraId="108E2E69" w14:textId="77777777" w:rsidR="00D2208B"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medication-competent caregivers are responsible for the administration of </w:t>
      </w:r>
      <w:r w:rsidRPr="00A4268A">
        <w:rPr>
          <w:rFonts w:eastAsia="Calibri"/>
        </w:rPr>
        <w:lastRenderedPageBreak/>
        <w:t xml:space="preserve">medicines. They complete annual education and medication competencies. The electronic medicine charts reviewed met prescribing requirements and were reviewed at least three-monthly by the general practitioners. </w:t>
      </w:r>
    </w:p>
    <w:p w14:paraId="39973F52" w14:textId="77777777" w:rsidR="00D2208B"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are met. The service has a current food control plan.</w:t>
      </w:r>
    </w:p>
    <w:p w14:paraId="7A650A12" w14:textId="77777777" w:rsidR="00D2208B" w:rsidRPr="00A4268A" w:rsidRDefault="00000000" w:rsidP="00621629">
      <w:pPr>
        <w:spacing w:before="240" w:line="276" w:lineRule="auto"/>
        <w:rPr>
          <w:rFonts w:eastAsia="Calibri"/>
        </w:rPr>
      </w:pPr>
      <w:r w:rsidRPr="00A4268A">
        <w:rPr>
          <w:rFonts w:eastAsia="Calibri"/>
        </w:rPr>
        <w:t xml:space="preserve">Residents were reviewed regularly and referred to specialist services and to other health services as required. Discharge and transfers are coordinated and planned. </w:t>
      </w:r>
    </w:p>
    <w:bookmarkEnd w:id="22"/>
    <w:p w14:paraId="11405A37" w14:textId="77777777" w:rsidR="00D2208B" w:rsidRPr="00A4268A" w:rsidRDefault="00D2208B" w:rsidP="00621629">
      <w:pPr>
        <w:spacing w:before="240" w:line="276" w:lineRule="auto"/>
        <w:rPr>
          <w:rFonts w:eastAsia="Calibri"/>
        </w:rPr>
      </w:pPr>
    </w:p>
    <w:p w14:paraId="6CD1A541"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2208B" w14:paraId="6CFFD8DA" w14:textId="77777777" w:rsidTr="00A4268A">
        <w:trPr>
          <w:cantSplit/>
        </w:trPr>
        <w:tc>
          <w:tcPr>
            <w:tcW w:w="10206" w:type="dxa"/>
            <w:vAlign w:val="center"/>
          </w:tcPr>
          <w:p w14:paraId="41BD8E1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000324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295197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E2F1A7C"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All rooms are single, and rooms are personalised. </w:t>
      </w:r>
    </w:p>
    <w:p w14:paraId="6017C11D" w14:textId="77777777" w:rsidR="00D2208B" w:rsidRPr="00A4268A" w:rsidRDefault="00000000">
      <w:pPr>
        <w:spacing w:before="240" w:line="276" w:lineRule="auto"/>
        <w:rPr>
          <w:rFonts w:eastAsia="Calibri"/>
        </w:rPr>
      </w:pPr>
      <w:r w:rsidRPr="00A4268A">
        <w:rPr>
          <w:rFonts w:eastAsia="Calibri"/>
        </w:rPr>
        <w:t xml:space="preserve">Documented systems are in place for essential, emergency and security services. Staff have planned and implemented strategies for emergency management. There is always a staff member on duty with a current first aid certificate. </w:t>
      </w:r>
    </w:p>
    <w:bookmarkEnd w:id="25"/>
    <w:p w14:paraId="0A586CF9" w14:textId="77777777" w:rsidR="00D2208B" w:rsidRPr="00A4268A" w:rsidRDefault="00D2208B">
      <w:pPr>
        <w:spacing w:before="240" w:line="276" w:lineRule="auto"/>
        <w:rPr>
          <w:rFonts w:eastAsia="Calibri"/>
        </w:rPr>
      </w:pPr>
    </w:p>
    <w:p w14:paraId="7D595476"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2208B" w14:paraId="54712CEC" w14:textId="77777777" w:rsidTr="00A4268A">
        <w:trPr>
          <w:cantSplit/>
        </w:trPr>
        <w:tc>
          <w:tcPr>
            <w:tcW w:w="10206" w:type="dxa"/>
            <w:vAlign w:val="center"/>
          </w:tcPr>
          <w:p w14:paraId="670A220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AC98892"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0890AD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4D545B6"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comprehensive suite of policies are in place. The infection control programme is reviewed annually. The service ensures the safety of residents and staff through a planned infection prevention and antimicrobial stewardship programme appropriate to the service's size and complexity. </w:t>
      </w:r>
    </w:p>
    <w:p w14:paraId="54E000C7" w14:textId="77777777" w:rsidR="00D2208B" w:rsidRPr="00A4268A" w:rsidRDefault="00000000">
      <w:pPr>
        <w:spacing w:before="240" w:line="276" w:lineRule="auto"/>
        <w:rPr>
          <w:rFonts w:eastAsia="Calibri"/>
        </w:rPr>
      </w:pPr>
      <w:r w:rsidRPr="00A4268A">
        <w:rPr>
          <w:rFonts w:eastAsia="Calibri"/>
        </w:rPr>
        <w:t xml:space="preserve">A pandemic plan is in place. Sufficient infection prevention resources, including personal protective equipment, are available and readily accessible to support this plan if it is activated. </w:t>
      </w:r>
    </w:p>
    <w:p w14:paraId="308AABD5" w14:textId="77777777" w:rsidR="00D2208B" w:rsidRPr="00A4268A" w:rsidRDefault="00000000">
      <w:pPr>
        <w:spacing w:before="240" w:line="276" w:lineRule="auto"/>
        <w:rPr>
          <w:rFonts w:eastAsia="Calibri"/>
        </w:rPr>
      </w:pPr>
      <w:r w:rsidRPr="00A4268A">
        <w:rPr>
          <w:rFonts w:eastAsia="Calibri"/>
        </w:rPr>
        <w:t>Surveillance of healthcare-associated infections is undertaken, and results are shared with all staff. Follow-up action is taken as needed. Any infection outbreaks are managed in accordance with the Ministry of Health guidelines.</w:t>
      </w:r>
    </w:p>
    <w:p w14:paraId="52EEE68A" w14:textId="77777777" w:rsidR="00D2208B" w:rsidRPr="00A4268A" w:rsidRDefault="00000000">
      <w:pPr>
        <w:spacing w:before="240" w:line="276" w:lineRule="auto"/>
        <w:rPr>
          <w:rFonts w:eastAsia="Calibri"/>
        </w:rPr>
      </w:pPr>
      <w:r w:rsidRPr="00A4268A">
        <w:rPr>
          <w:rFonts w:eastAsia="Calibri"/>
        </w:rPr>
        <w:t>The environment supports the prevention and mitigation of transmission of infections. Waste and hazardous substances were being well managed. Cleaning and laundry services are safe and effective.</w:t>
      </w:r>
    </w:p>
    <w:bookmarkEnd w:id="28"/>
    <w:p w14:paraId="320F2602" w14:textId="77777777" w:rsidR="00D2208B" w:rsidRPr="00A4268A" w:rsidRDefault="00D2208B">
      <w:pPr>
        <w:spacing w:before="240" w:line="276" w:lineRule="auto"/>
        <w:rPr>
          <w:rFonts w:eastAsia="Calibri"/>
        </w:rPr>
      </w:pPr>
    </w:p>
    <w:p w14:paraId="0A31E775"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2208B" w14:paraId="77301680" w14:textId="77777777" w:rsidTr="00A4268A">
        <w:trPr>
          <w:cantSplit/>
        </w:trPr>
        <w:tc>
          <w:tcPr>
            <w:tcW w:w="10206" w:type="dxa"/>
            <w:vAlign w:val="center"/>
          </w:tcPr>
          <w:p w14:paraId="378926F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3A93CD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E9076F3"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ADC1E9F"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Restraint minimisation and safe practice policies and procedures are in place. Restraint minimisation is overseen by the restraint coordinator who is the facility manager. There are currently no restraints. Use of restraints would only be considered as a last resort only after all other options are explored. Education is provided to staff around restraint minimisation, de-escalation and challenging behaviour. A restraint register is maintained.</w:t>
      </w:r>
    </w:p>
    <w:bookmarkEnd w:id="31"/>
    <w:p w14:paraId="398F5F74" w14:textId="77777777" w:rsidR="00D2208B" w:rsidRPr="00A4268A" w:rsidRDefault="00D2208B">
      <w:pPr>
        <w:spacing w:before="240" w:line="276" w:lineRule="auto"/>
        <w:rPr>
          <w:rFonts w:eastAsia="Calibri"/>
        </w:rPr>
      </w:pPr>
    </w:p>
    <w:p w14:paraId="4C4DA6A1" w14:textId="77777777" w:rsidR="00000000" w:rsidRDefault="00000000" w:rsidP="000E6E02">
      <w:pPr>
        <w:pStyle w:val="Heading2"/>
        <w:spacing w:before="0"/>
        <w:rPr>
          <w:rFonts w:cs="Arial"/>
        </w:rPr>
      </w:pPr>
      <w:r>
        <w:rPr>
          <w:rFonts w:cs="Arial"/>
        </w:rPr>
        <w:t>Summary of attainment</w:t>
      </w:r>
    </w:p>
    <w:p w14:paraId="59FE3EE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2208B" w14:paraId="3E8EF8AA" w14:textId="77777777">
        <w:tc>
          <w:tcPr>
            <w:tcW w:w="1384" w:type="dxa"/>
            <w:vAlign w:val="center"/>
          </w:tcPr>
          <w:p w14:paraId="09BF607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DE53C9B" w14:textId="77777777" w:rsidR="00000000" w:rsidRDefault="00000000">
            <w:pPr>
              <w:keepNext/>
              <w:spacing w:before="60" w:after="60"/>
              <w:jc w:val="center"/>
              <w:rPr>
                <w:rFonts w:cs="Arial"/>
                <w:b/>
                <w:sz w:val="20"/>
                <w:szCs w:val="20"/>
              </w:rPr>
            </w:pPr>
            <w:r>
              <w:rPr>
                <w:rFonts w:cs="Arial"/>
                <w:b/>
                <w:sz w:val="20"/>
                <w:szCs w:val="20"/>
              </w:rPr>
              <w:t>Continuous Improvement</w:t>
            </w:r>
          </w:p>
          <w:p w14:paraId="2E52CBB2"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95D26C9" w14:textId="77777777" w:rsidR="00000000" w:rsidRDefault="00000000">
            <w:pPr>
              <w:keepNext/>
              <w:spacing w:before="60" w:after="60"/>
              <w:jc w:val="center"/>
              <w:rPr>
                <w:rFonts w:cs="Arial"/>
                <w:b/>
                <w:sz w:val="20"/>
                <w:szCs w:val="20"/>
              </w:rPr>
            </w:pPr>
            <w:r>
              <w:rPr>
                <w:rFonts w:cs="Arial"/>
                <w:b/>
                <w:sz w:val="20"/>
                <w:szCs w:val="20"/>
              </w:rPr>
              <w:t>Fully Attained</w:t>
            </w:r>
          </w:p>
          <w:p w14:paraId="45A5AC8F"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FD9C4F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066EBF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77806E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2ACA189"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3BDB64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0075DE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5AB0F30"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E725FDC"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4D42FF8"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B412E02" w14:textId="77777777" w:rsidR="00000000" w:rsidRDefault="00000000">
            <w:pPr>
              <w:keepNext/>
              <w:spacing w:before="60" w:after="60"/>
              <w:jc w:val="center"/>
              <w:rPr>
                <w:rFonts w:cs="Arial"/>
                <w:b/>
                <w:sz w:val="20"/>
                <w:szCs w:val="20"/>
              </w:rPr>
            </w:pPr>
            <w:r>
              <w:rPr>
                <w:rFonts w:cs="Arial"/>
                <w:b/>
                <w:sz w:val="20"/>
                <w:szCs w:val="20"/>
              </w:rPr>
              <w:t>(PA Critical)</w:t>
            </w:r>
          </w:p>
        </w:tc>
      </w:tr>
      <w:tr w:rsidR="00D2208B" w14:paraId="74837159" w14:textId="77777777">
        <w:tc>
          <w:tcPr>
            <w:tcW w:w="1384" w:type="dxa"/>
            <w:vAlign w:val="center"/>
          </w:tcPr>
          <w:p w14:paraId="0DE6680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B30A476"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422223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5C88D3DB"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83453E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A83622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D58D2C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39ACBA6"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2208B" w14:paraId="72CACC80" w14:textId="77777777">
        <w:tc>
          <w:tcPr>
            <w:tcW w:w="1384" w:type="dxa"/>
            <w:vAlign w:val="center"/>
          </w:tcPr>
          <w:p w14:paraId="71A05F8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07EF77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1E7AC0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169</w:t>
            </w:r>
            <w:bookmarkEnd w:id="40"/>
          </w:p>
        </w:tc>
        <w:tc>
          <w:tcPr>
            <w:tcW w:w="1843" w:type="dxa"/>
            <w:vAlign w:val="center"/>
          </w:tcPr>
          <w:p w14:paraId="7FC04E2D"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F84244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B70DBCF"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3AD857E"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2E6FED4"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914414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2208B" w14:paraId="4B5FA40E" w14:textId="77777777">
        <w:tc>
          <w:tcPr>
            <w:tcW w:w="1384" w:type="dxa"/>
            <w:vAlign w:val="center"/>
          </w:tcPr>
          <w:p w14:paraId="4918945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F007246"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F2CD40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5CDE568" w14:textId="77777777" w:rsidR="00000000" w:rsidRDefault="00000000">
            <w:pPr>
              <w:keepNext/>
              <w:spacing w:before="60" w:after="60"/>
              <w:jc w:val="center"/>
              <w:rPr>
                <w:rFonts w:cs="Arial"/>
                <w:b/>
                <w:sz w:val="20"/>
                <w:szCs w:val="20"/>
              </w:rPr>
            </w:pPr>
            <w:r>
              <w:rPr>
                <w:rFonts w:cs="Arial"/>
                <w:b/>
                <w:sz w:val="20"/>
                <w:szCs w:val="20"/>
              </w:rPr>
              <w:t>Unattained Low Risk</w:t>
            </w:r>
          </w:p>
          <w:p w14:paraId="56E6A5B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9703CA3" w14:textId="77777777" w:rsidR="00000000" w:rsidRDefault="00000000">
            <w:pPr>
              <w:keepNext/>
              <w:spacing w:before="60" w:after="60"/>
              <w:jc w:val="center"/>
              <w:rPr>
                <w:rFonts w:cs="Arial"/>
                <w:b/>
                <w:sz w:val="20"/>
                <w:szCs w:val="20"/>
              </w:rPr>
            </w:pPr>
            <w:r>
              <w:rPr>
                <w:rFonts w:cs="Arial"/>
                <w:b/>
                <w:sz w:val="20"/>
                <w:szCs w:val="20"/>
              </w:rPr>
              <w:t>Unattained Moderate Risk</w:t>
            </w:r>
          </w:p>
          <w:p w14:paraId="11D32D48"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D7CE47E" w14:textId="77777777" w:rsidR="00000000" w:rsidRDefault="00000000">
            <w:pPr>
              <w:keepNext/>
              <w:spacing w:before="60" w:after="60"/>
              <w:jc w:val="center"/>
              <w:rPr>
                <w:rFonts w:cs="Arial"/>
                <w:b/>
                <w:sz w:val="20"/>
                <w:szCs w:val="20"/>
              </w:rPr>
            </w:pPr>
            <w:r>
              <w:rPr>
                <w:rFonts w:cs="Arial"/>
                <w:b/>
                <w:sz w:val="20"/>
                <w:szCs w:val="20"/>
              </w:rPr>
              <w:t>Unattained High Risk</w:t>
            </w:r>
          </w:p>
          <w:p w14:paraId="6B569E99"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50F31EA" w14:textId="77777777" w:rsidR="00000000" w:rsidRDefault="00000000">
            <w:pPr>
              <w:keepNext/>
              <w:spacing w:before="60" w:after="60"/>
              <w:jc w:val="center"/>
              <w:rPr>
                <w:rFonts w:cs="Arial"/>
                <w:b/>
                <w:sz w:val="20"/>
                <w:szCs w:val="20"/>
              </w:rPr>
            </w:pPr>
            <w:r>
              <w:rPr>
                <w:rFonts w:cs="Arial"/>
                <w:b/>
                <w:sz w:val="20"/>
                <w:szCs w:val="20"/>
              </w:rPr>
              <w:t>Unattained Critical Risk</w:t>
            </w:r>
          </w:p>
          <w:p w14:paraId="62FAD238" w14:textId="77777777" w:rsidR="00000000" w:rsidRDefault="00000000">
            <w:pPr>
              <w:keepNext/>
              <w:spacing w:before="60" w:after="60"/>
              <w:jc w:val="center"/>
              <w:rPr>
                <w:rFonts w:cs="Arial"/>
                <w:b/>
                <w:sz w:val="20"/>
                <w:szCs w:val="20"/>
              </w:rPr>
            </w:pPr>
            <w:r>
              <w:rPr>
                <w:rFonts w:cs="Arial"/>
                <w:b/>
                <w:sz w:val="20"/>
                <w:szCs w:val="20"/>
              </w:rPr>
              <w:t>(UA Critical)</w:t>
            </w:r>
          </w:p>
        </w:tc>
      </w:tr>
      <w:tr w:rsidR="00D2208B" w14:paraId="351421A8" w14:textId="77777777">
        <w:tc>
          <w:tcPr>
            <w:tcW w:w="1384" w:type="dxa"/>
            <w:vAlign w:val="center"/>
          </w:tcPr>
          <w:p w14:paraId="2F2594A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FC40C1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F1127F3"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0365B56"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05AC5B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55FBE4B"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2208B" w14:paraId="2CDCAC2D" w14:textId="77777777">
        <w:tc>
          <w:tcPr>
            <w:tcW w:w="1384" w:type="dxa"/>
            <w:vAlign w:val="center"/>
          </w:tcPr>
          <w:p w14:paraId="605C0D29"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671C3A6"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56B846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8C36019"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A4A828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77DB6D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8C6123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1B68A7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2EB156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FA0FB4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D2208B" w14:paraId="69197F3B" w14:textId="77777777">
        <w:tc>
          <w:tcPr>
            <w:tcW w:w="0" w:type="auto"/>
          </w:tcPr>
          <w:p w14:paraId="0DD43A4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1CD19F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4695CC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2208B" w14:paraId="5EACFBD9" w14:textId="77777777">
        <w:tc>
          <w:tcPr>
            <w:tcW w:w="0" w:type="auto"/>
          </w:tcPr>
          <w:p w14:paraId="1232F01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730C31F"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4BA5B46" w14:textId="77777777" w:rsidR="00000000" w:rsidRPr="00BE00C7" w:rsidRDefault="00000000" w:rsidP="00BE00C7">
            <w:pPr>
              <w:pStyle w:val="OutcomeDescription"/>
              <w:spacing w:before="120" w:after="120"/>
              <w:rPr>
                <w:rFonts w:cs="Arial"/>
                <w:lang w:eastAsia="en-NZ"/>
              </w:rPr>
            </w:pPr>
          </w:p>
        </w:tc>
        <w:tc>
          <w:tcPr>
            <w:tcW w:w="0" w:type="auto"/>
          </w:tcPr>
          <w:p w14:paraId="6C4C4C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13E3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cultural policy and guidelines for the provision of culturally safe services for Māori residents; a documented Māori perspective of health, guidelines for terminal care and death of a Māori resident and practical application of the policy (tikanga best practice guidelines) are documented. The policy and guidelines are based on Te Tiriti o Waitangi, with the documents providing a framework for the delivery of care. The Health and Disability Commissioner (HDC) Code of Health and Disability Services Consumers’ Rights (the Code) is displayed in Māori.</w:t>
            </w:r>
          </w:p>
          <w:p w14:paraId="0414D8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residents who identify as Māori and are provided with equitable services based on Te Tiriti o Waitangi and the principles of mana motuhake. There were no staff who identified as Māori; however, management was aware of recruiting and retaining Māori staff. Care is provided in a way that focuses on the individual and considers beliefs, values, and culture. The facility manager (FM) and registered nurses (RNs) reported that care plans include cultural assessments with cultural links and provide an opportunity for the service to cater to any cultural needs. Documentation reflected their individual values and beliefs. The management team and staff have completed training on Te Tiriti o Waitangi and health equity. The service has established links with an external cultural advisor to </w:t>
            </w:r>
            <w:r w:rsidRPr="00BE00C7">
              <w:rPr>
                <w:rFonts w:cs="Arial"/>
                <w:lang w:eastAsia="en-NZ"/>
              </w:rPr>
              <w:lastRenderedPageBreak/>
              <w:t xml:space="preserve">provide training and support as required. </w:t>
            </w:r>
          </w:p>
          <w:p w14:paraId="2EB8DC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management team (owner/director, FM) and staff (two RNs, nine caregivers, one laundry assistant, one chef, two activities coordinators, one cleaner, and maintenance officer) and the physiotherapist (PT) described ways they apply the principles of Te Tiriti into practice in relation to their role. </w:t>
            </w:r>
          </w:p>
          <w:p w14:paraId="04E19F68" w14:textId="77777777" w:rsidR="00000000" w:rsidRPr="00BE00C7" w:rsidRDefault="00000000" w:rsidP="00BE00C7">
            <w:pPr>
              <w:pStyle w:val="OutcomeDescription"/>
              <w:spacing w:before="120" w:after="120"/>
              <w:rPr>
                <w:rFonts w:cs="Arial"/>
                <w:lang w:eastAsia="en-NZ"/>
              </w:rPr>
            </w:pPr>
          </w:p>
        </w:tc>
      </w:tr>
      <w:tr w:rsidR="00D2208B" w14:paraId="6082DF06" w14:textId="77777777">
        <w:tc>
          <w:tcPr>
            <w:tcW w:w="0" w:type="auto"/>
          </w:tcPr>
          <w:p w14:paraId="2D468D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6C150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13F6C7C" w14:textId="77777777" w:rsidR="00000000" w:rsidRPr="00BE00C7" w:rsidRDefault="00000000" w:rsidP="00BE00C7">
            <w:pPr>
              <w:pStyle w:val="OutcomeDescription"/>
              <w:spacing w:before="120" w:after="120"/>
              <w:rPr>
                <w:rFonts w:cs="Arial"/>
                <w:lang w:eastAsia="en-NZ"/>
              </w:rPr>
            </w:pPr>
          </w:p>
        </w:tc>
        <w:tc>
          <w:tcPr>
            <w:tcW w:w="0" w:type="auto"/>
          </w:tcPr>
          <w:p w14:paraId="3931A0C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F189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Pacific Peoples’ Health policy, which notes the Pacific people's worldviews and the need to embrace their cultural and spiritual beliefs. The Pacific Health Policy relates to Pacific residents and aims to uphold their cultural principles. There were no staff members or residents who identified as Pasifika. The service has established links with an external cultural advisor to provide training and support as required. Staff have been introduced to the Fonofale model.</w:t>
            </w:r>
          </w:p>
          <w:p w14:paraId="303878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are encouraged to be involved in all aspects of care, particularly in nursing and medical decisions, the satisfaction of the service, and the recognition of cultural needs. The FM interviewed stated that Pacific peoples’ cultural beliefs, values, knowledge, arts, morals and identity are respected. </w:t>
            </w:r>
          </w:p>
          <w:p w14:paraId="01819E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Policy is based on Ola Manuia: Pacific Health and Wellbeing Action Plan 2020-2025 and reflects the values that Pacific People hold as important for health and wellbeing. The Code of Rights is displayed in a range of Pacific languages, in addition to English and te reo Māori. The FM described how the service increases the capacity and capability of the Pacific workforce through equitable employment processes. </w:t>
            </w:r>
          </w:p>
          <w:p w14:paraId="64B09435"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staff, and documentation reviewed identified that the service provides person-centred care.</w:t>
            </w:r>
          </w:p>
          <w:p w14:paraId="653294C9" w14:textId="77777777" w:rsidR="00000000" w:rsidRPr="00BE00C7" w:rsidRDefault="00000000" w:rsidP="00BE00C7">
            <w:pPr>
              <w:pStyle w:val="OutcomeDescription"/>
              <w:spacing w:before="120" w:after="120"/>
              <w:rPr>
                <w:rFonts w:cs="Arial"/>
                <w:lang w:eastAsia="en-NZ"/>
              </w:rPr>
            </w:pPr>
          </w:p>
        </w:tc>
      </w:tr>
      <w:tr w:rsidR="00D2208B" w14:paraId="2F6F8256" w14:textId="77777777">
        <w:tc>
          <w:tcPr>
            <w:tcW w:w="0" w:type="auto"/>
          </w:tcPr>
          <w:p w14:paraId="17B2DAA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4379DF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lastRenderedPageBreak/>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589A85C" w14:textId="77777777" w:rsidR="00000000" w:rsidRPr="00BE00C7" w:rsidRDefault="00000000" w:rsidP="00BE00C7">
            <w:pPr>
              <w:pStyle w:val="OutcomeDescription"/>
              <w:spacing w:before="120" w:after="120"/>
              <w:rPr>
                <w:rFonts w:cs="Arial"/>
                <w:lang w:eastAsia="en-NZ"/>
              </w:rPr>
            </w:pPr>
          </w:p>
        </w:tc>
        <w:tc>
          <w:tcPr>
            <w:tcW w:w="0" w:type="auto"/>
          </w:tcPr>
          <w:p w14:paraId="7D0CA2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C58A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Code of Health and Disability Services Consumers' Rights (The Code) are included in the information that is provided to new residents and their family/whānau. On admission, the </w:t>
            </w:r>
            <w:r w:rsidRPr="00BE00C7">
              <w:rPr>
                <w:rFonts w:cs="Arial"/>
                <w:lang w:eastAsia="en-NZ"/>
              </w:rPr>
              <w:lastRenderedPageBreak/>
              <w:t>management and staff discuss aspects of the Code with residents and their family/whānau. The Code is displayed in multiple locations in English, Pacific languages and te reo Māori.</w:t>
            </w:r>
          </w:p>
          <w:p w14:paraId="7D4C804F"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Families/whānau are invited to attend. Residents and family/whānau interviewed reported that the service upholds the residents’ rights. The interactions observed between staff and residents during the audit were respectful.</w:t>
            </w:r>
          </w:p>
          <w:p w14:paraId="7AE35420"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advocate is available at the entrance to the facility and in the entry pack of information provided to residents and their family/whānau. There are links to spiritual support. Staff have completed cultural training, which includes Māori rights, the Māori model of care and health equity. The service recognises Māori mana motuhake, which is reflected in the strategic documents.</w:t>
            </w:r>
          </w:p>
          <w:p w14:paraId="7E1F52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(but is not limited to) understanding the role of advocacy services. Advocacy services are linked to the complaints process. Seven residents and five family/whānau confirmed that individual cultural beliefs and values were respected. Those interviewed reported that the service is upholding the residents’ rights. </w:t>
            </w:r>
          </w:p>
          <w:p w14:paraId="12ADC51C" w14:textId="77777777" w:rsidR="00000000" w:rsidRPr="00BE00C7" w:rsidRDefault="00000000" w:rsidP="00BE00C7">
            <w:pPr>
              <w:pStyle w:val="OutcomeDescription"/>
              <w:spacing w:before="120" w:after="120"/>
              <w:rPr>
                <w:rFonts w:cs="Arial"/>
                <w:lang w:eastAsia="en-NZ"/>
              </w:rPr>
            </w:pPr>
          </w:p>
        </w:tc>
      </w:tr>
      <w:tr w:rsidR="00D2208B" w14:paraId="6DDBDE27" w14:textId="77777777">
        <w:tc>
          <w:tcPr>
            <w:tcW w:w="0" w:type="auto"/>
          </w:tcPr>
          <w:p w14:paraId="63E7FB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5B3CA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D5F1C79" w14:textId="77777777" w:rsidR="00000000" w:rsidRPr="00BE00C7" w:rsidRDefault="00000000" w:rsidP="00BE00C7">
            <w:pPr>
              <w:pStyle w:val="OutcomeDescription"/>
              <w:spacing w:before="120" w:after="120"/>
              <w:rPr>
                <w:rFonts w:cs="Arial"/>
                <w:lang w:eastAsia="en-NZ"/>
              </w:rPr>
            </w:pPr>
          </w:p>
        </w:tc>
        <w:tc>
          <w:tcPr>
            <w:tcW w:w="0" w:type="auto"/>
          </w:tcPr>
          <w:p w14:paraId="74D433C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D37A2B" w14:textId="77777777" w:rsidR="00000000" w:rsidRPr="00BE00C7" w:rsidRDefault="00000000" w:rsidP="00BE00C7">
            <w:pPr>
              <w:pStyle w:val="OutcomeDescription"/>
              <w:spacing w:before="120" w:after="120"/>
              <w:rPr>
                <w:rFonts w:cs="Arial"/>
                <w:lang w:eastAsia="en-NZ"/>
              </w:rPr>
            </w:pPr>
            <w:r w:rsidRPr="00BE00C7">
              <w:rPr>
                <w:rFonts w:cs="Arial"/>
                <w:lang w:eastAsia="en-NZ"/>
              </w:rPr>
              <w:t>Crossley Court Holiday and Retirement Home &amp; Orewa Beach Home provides services and support to people in a way that is inclusive and respectful of their individual identities and experiences. Staff were observed using person-centred and respectful language with residents. There is a documented sexuality and intimacy policy, and staff received training in sexuality and intimacy as part of their scheduled in-service training.</w:t>
            </w:r>
          </w:p>
          <w:p w14:paraId="4B0276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interviewed were positive about the service, they report staff considered their values and beliefs, and felt they were listened to. Privacy is ensured, and independence is encouraged. Staff enable resident participation, within their capabilities, in tasks within the service, such as helping with simple tasks. The service ensures that </w:t>
            </w:r>
            <w:r w:rsidRPr="00BE00C7">
              <w:rPr>
                <w:rFonts w:cs="Arial"/>
                <w:lang w:eastAsia="en-NZ"/>
              </w:rPr>
              <w:lastRenderedPageBreak/>
              <w:t>there is continued wellness of residents in a culturally safe environment and within the residents’ own personal, worldwide view.</w:t>
            </w:r>
          </w:p>
          <w:p w14:paraId="3888CCC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advised that they have choices. They are supported in deciding whether they would like family/whānau members to be involved in their care or other forms of support. Residents have control and choice over the activities they participate in. Residents and families/whānau interviewed said they are respected and welcomed at the service.</w:t>
            </w:r>
          </w:p>
          <w:p w14:paraId="732535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confirmed they have attended Te Tiriti o Waitangi training as part of their in-service training. Staff interviewed stated that care is delivered and reflects the Te Whare Tapa Whā model of care. The service demonstrates an awareness of tikanga, and te reo Māori is often used in greetings and karakia before eating. Māori songs are occasionally sung, as reported by staff. Through the activities programme, tāngata whaikaha are supported to participate in te ao Māori. </w:t>
            </w:r>
          </w:p>
          <w:p w14:paraId="757D9577" w14:textId="77777777" w:rsidR="00000000" w:rsidRPr="00BE00C7" w:rsidRDefault="00000000" w:rsidP="00BE00C7">
            <w:pPr>
              <w:pStyle w:val="OutcomeDescription"/>
              <w:spacing w:before="120" w:after="120"/>
              <w:rPr>
                <w:rFonts w:cs="Arial"/>
                <w:lang w:eastAsia="en-NZ"/>
              </w:rPr>
            </w:pPr>
          </w:p>
        </w:tc>
      </w:tr>
      <w:tr w:rsidR="00D2208B" w14:paraId="1FE6DF61" w14:textId="77777777">
        <w:tc>
          <w:tcPr>
            <w:tcW w:w="0" w:type="auto"/>
          </w:tcPr>
          <w:p w14:paraId="26E67B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32ED8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7308BD5" w14:textId="77777777" w:rsidR="00000000" w:rsidRPr="00BE00C7" w:rsidRDefault="00000000" w:rsidP="00BE00C7">
            <w:pPr>
              <w:pStyle w:val="OutcomeDescription"/>
              <w:spacing w:before="120" w:after="120"/>
              <w:rPr>
                <w:rFonts w:cs="Arial"/>
                <w:lang w:eastAsia="en-NZ"/>
              </w:rPr>
            </w:pPr>
          </w:p>
        </w:tc>
        <w:tc>
          <w:tcPr>
            <w:tcW w:w="0" w:type="auto"/>
          </w:tcPr>
          <w:p w14:paraId="4C714F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F0D76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7F84051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reported that their property and finances were respected, and professional boundaries were maintained. The FM reported that the code of conduct guides staff to ensure the environment is safe and free from any form of institutional and/or systemic racism. Family/whānau members stated that residents were free from any type of discrimination, harassment, physical or sexual abuse or neglect and felt safe. Police checks were completed as part of the employment process. Policies and procedures, such as the harassment, discrimination and bullying policy are in place. The policy applies to all staff, contractors, visitors and residents.</w:t>
            </w:r>
          </w:p>
          <w:p w14:paraId="06C46D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cultural policy in place identified a strengths-based, person-centred care and general healthy wellbeing outcomes for </w:t>
            </w:r>
            <w:r w:rsidRPr="00BE00C7">
              <w:rPr>
                <w:rFonts w:cs="Arial"/>
                <w:lang w:eastAsia="en-NZ"/>
              </w:rPr>
              <w:lastRenderedPageBreak/>
              <w:t xml:space="preserve">Māori residents admitted to the service. The management and staff further reiterated this, reporting that all wellbeing outcomes are managed and documented in consultation with residents, enduring power of attorney (EPOA)/whānau, and Māori health organisations and practitioners (as applicable). </w:t>
            </w:r>
          </w:p>
          <w:p w14:paraId="38B8AD8D" w14:textId="77777777" w:rsidR="00000000" w:rsidRPr="00BE00C7" w:rsidRDefault="00000000" w:rsidP="00BE00C7">
            <w:pPr>
              <w:pStyle w:val="OutcomeDescription"/>
              <w:spacing w:before="120" w:after="120"/>
              <w:rPr>
                <w:rFonts w:cs="Arial"/>
                <w:lang w:eastAsia="en-NZ"/>
              </w:rPr>
            </w:pPr>
          </w:p>
        </w:tc>
      </w:tr>
      <w:tr w:rsidR="00D2208B" w14:paraId="0D05CCB3" w14:textId="77777777">
        <w:tc>
          <w:tcPr>
            <w:tcW w:w="0" w:type="auto"/>
          </w:tcPr>
          <w:p w14:paraId="771447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01952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68F2E88" w14:textId="77777777" w:rsidR="00000000" w:rsidRPr="00BE00C7" w:rsidRDefault="00000000" w:rsidP="00BE00C7">
            <w:pPr>
              <w:pStyle w:val="OutcomeDescription"/>
              <w:spacing w:before="120" w:after="120"/>
              <w:rPr>
                <w:rFonts w:cs="Arial"/>
                <w:lang w:eastAsia="en-NZ"/>
              </w:rPr>
            </w:pPr>
          </w:p>
        </w:tc>
        <w:tc>
          <w:tcPr>
            <w:tcW w:w="0" w:type="auto"/>
          </w:tcPr>
          <w:p w14:paraId="7DF8E8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FB7E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interviews with residents and whānau confirmed that communication was open and effective and that they felt listened to. The family/whānau stated they were kept well informed about any changes to their relative’s health status and were advised in a timely manner about any incidents or accidents and outcomes of regular or urgent medical reviews. This was supported by the residents’ records that were reviewed. The staff understood the principles of open disclosure, which are supported by policies and procedures. </w:t>
            </w:r>
          </w:p>
          <w:p w14:paraId="5B381534"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health and medical information from other allied health care providers is collected to facilitate the effective care of residents. Each resident had a family or next of kin contact section in their file. Residents and family/whānau interviewed stated they are provided with time to discuss any decisions.</w:t>
            </w:r>
          </w:p>
          <w:p w14:paraId="119261FB" w14:textId="77777777" w:rsidR="00000000" w:rsidRPr="00BE00C7" w:rsidRDefault="00000000" w:rsidP="00BE00C7">
            <w:pPr>
              <w:pStyle w:val="OutcomeDescription"/>
              <w:spacing w:before="120" w:after="120"/>
              <w:rPr>
                <w:rFonts w:cs="Arial"/>
                <w:lang w:eastAsia="en-NZ"/>
              </w:rPr>
            </w:pPr>
            <w:r w:rsidRPr="00BE00C7">
              <w:rPr>
                <w:rFonts w:cs="Arial"/>
                <w:lang w:eastAsia="en-NZ"/>
              </w:rPr>
              <w:t>No residents required the services of an interpreter; however, the staff were aware of how to access interpreter services if needed. Staff can provide interpretation as needed and utilise family members as appropriate. The FM reported that any non-subsidised residents who are admitted to the service are advised in writing of their eligibility and the process to become a subsidised resident should they wish to do so.</w:t>
            </w:r>
          </w:p>
          <w:p w14:paraId="37C597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reported that verbal and non-verbal communication cards, simple sign language, use of electronic devices, use of EPOA or family/ whānau to translate and regular use of hearing aids by residents when required are encouraged. </w:t>
            </w:r>
          </w:p>
          <w:p w14:paraId="325F4C7B" w14:textId="77777777" w:rsidR="00000000" w:rsidRPr="00BE00C7" w:rsidRDefault="00000000" w:rsidP="00BE00C7">
            <w:pPr>
              <w:pStyle w:val="OutcomeDescription"/>
              <w:spacing w:before="120" w:after="120"/>
              <w:rPr>
                <w:rFonts w:cs="Arial"/>
                <w:lang w:eastAsia="en-NZ"/>
              </w:rPr>
            </w:pPr>
          </w:p>
        </w:tc>
      </w:tr>
      <w:tr w:rsidR="00D2208B" w14:paraId="13C0A7D9" w14:textId="77777777">
        <w:tc>
          <w:tcPr>
            <w:tcW w:w="0" w:type="auto"/>
          </w:tcPr>
          <w:p w14:paraId="328AA3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0BAE5E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w:t>
            </w:r>
            <w:r w:rsidRPr="00BE00C7">
              <w:rPr>
                <w:rFonts w:cs="Arial"/>
                <w:lang w:eastAsia="en-NZ"/>
              </w:rPr>
              <w:lastRenderedPageBreak/>
              <w:t>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B79C1BD" w14:textId="77777777" w:rsidR="00000000" w:rsidRPr="00BE00C7" w:rsidRDefault="00000000" w:rsidP="00BE00C7">
            <w:pPr>
              <w:pStyle w:val="OutcomeDescription"/>
              <w:spacing w:before="120" w:after="120"/>
              <w:rPr>
                <w:rFonts w:cs="Arial"/>
                <w:lang w:eastAsia="en-NZ"/>
              </w:rPr>
            </w:pPr>
          </w:p>
        </w:tc>
        <w:tc>
          <w:tcPr>
            <w:tcW w:w="0" w:type="auto"/>
          </w:tcPr>
          <w:p w14:paraId="490A42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AFD0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residents and family/whānau on admission. Seven resident files were reviewed and written general </w:t>
            </w:r>
            <w:r w:rsidRPr="00BE00C7">
              <w:rPr>
                <w:rFonts w:cs="Arial"/>
                <w:lang w:eastAsia="en-NZ"/>
              </w:rPr>
              <w:lastRenderedPageBreak/>
              <w:t xml:space="preserve">consents were sighted for outings, photographs, release of medical information, medication management and medical care, which were included and signed as part of the admission process. Specific consent had been obtained from the resident and their family/whānau for procedures such as vaccinations. </w:t>
            </w:r>
          </w:p>
          <w:p w14:paraId="58EA88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enduring power of attorney (EPOA). The service welcomes the involvement of family/whānau in decision-making when the person receiving services wants them to be involved. Enduring power of attorney documentation is filed in the residents’ records and activated as applicable for residents who are assessed as incompetent to make an informed decision. Where EPOA had been activated, a medical certificate for incapacity was on file. </w:t>
            </w:r>
          </w:p>
          <w:p w14:paraId="387878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directives for healthcare, including resuscitation status had been completed by residents deemed competent. Where residents were deemed incompetent to make a resuscitation decision, the general practitioners (GPs) made a medically indicated resuscitation decision. There was documented evidence of discussion with the EPOA. Discussion with family/whānau identified that the service actively involves them in decisions that affect their relatives’ lives. Discussions with the caregivers and FM confirmed that staff understand the importance of obtaining informed consent for providing personal care and accessing residents’ rooms. Training has been provided to staff on the Code of Rights, informed consent, and the understanding of responsibilities of EPOAs. </w:t>
            </w:r>
          </w:p>
          <w:p w14:paraId="00C118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adheres to relevant best practice tikanga guidelines regarding consent. The Māori plan is available to guide cultural responsiveness from the Māori perspective on health. </w:t>
            </w:r>
          </w:p>
          <w:p w14:paraId="0AE87AEE" w14:textId="77777777" w:rsidR="00000000" w:rsidRPr="00BE00C7" w:rsidRDefault="00000000" w:rsidP="00BE00C7">
            <w:pPr>
              <w:pStyle w:val="OutcomeDescription"/>
              <w:spacing w:before="120" w:after="120"/>
              <w:rPr>
                <w:rFonts w:cs="Arial"/>
                <w:lang w:eastAsia="en-NZ"/>
              </w:rPr>
            </w:pPr>
          </w:p>
        </w:tc>
      </w:tr>
      <w:tr w:rsidR="00D2208B" w14:paraId="5F897E01" w14:textId="77777777">
        <w:tc>
          <w:tcPr>
            <w:tcW w:w="0" w:type="auto"/>
          </w:tcPr>
          <w:p w14:paraId="60F3F5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A1770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403AD3A5" w14:textId="77777777" w:rsidR="00000000" w:rsidRPr="00BE00C7" w:rsidRDefault="00000000" w:rsidP="00BE00C7">
            <w:pPr>
              <w:pStyle w:val="OutcomeDescription"/>
              <w:spacing w:before="120" w:after="120"/>
              <w:rPr>
                <w:rFonts w:cs="Arial"/>
                <w:lang w:eastAsia="en-NZ"/>
              </w:rPr>
            </w:pPr>
          </w:p>
        </w:tc>
        <w:tc>
          <w:tcPr>
            <w:tcW w:w="0" w:type="auto"/>
          </w:tcPr>
          <w:p w14:paraId="2BD62C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8334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current complaints policy in place, which is understood by staff. Associated forms included the incident form, complaint form, complaint follow-up form, and complaint register. The complaints procedure policy aligns with and reflects the principles of the Code and is in accordance with the Code of Health and Disability Services Consumers’ Rights. The policy commits to ensuring that any </w:t>
            </w:r>
            <w:r w:rsidRPr="00BE00C7">
              <w:rPr>
                <w:rFonts w:cs="Arial"/>
                <w:lang w:eastAsia="en-NZ"/>
              </w:rPr>
              <w:lastRenderedPageBreak/>
              <w:t xml:space="preserve">complaint (or any other issue) against a staff member or volunteer is addressed fairly and equitably, ensuring that an individual’s dignity, including values and beliefs are protected. </w:t>
            </w:r>
          </w:p>
          <w:p w14:paraId="0E7D6C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service’s complaints register was reviewed, and there were nil complaints in 2024, and 2025 (year to date) since the last audit. Documentation of previous complaints showed that complaints have been acknowledged, investigated, and followed up. Complaint information is used to improve services as appropriate. Quality improvements or trends identified are reported to the staff. There was an external complaint received in 2023. The complaint remains open, and the service has so far responded with detailed information addressing all issues raised. The FM reported that all relevant interventions and resolutions have been implemented. Furthermore, the FM reported that any issues are discussed promptly with the residents before they escalate into complaints.</w:t>
            </w:r>
          </w:p>
          <w:p w14:paraId="7CAE5B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interview with the management and staff revealed that complaint forms and information about the advocacy service are available at the service. Residents and family/whānau were aware of their rights to complain, and Consumer Code of Rights posters were sighted in publicly accessible areas. All residents and family/whānau interviewed stated they would feel comfortable making a complaint and that the service would support them throughout the process. </w:t>
            </w:r>
          </w:p>
          <w:p w14:paraId="4804495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family/whānau can, if they choose, involve an independent support person or an advocate for advice and support during the complaints process. This was confirmed during interviews. Staff also confirmed they would document a complaint for anyone who had difficulty doing this or supporting the resident or family in accessing independent advocacy services.</w:t>
            </w:r>
          </w:p>
          <w:p w14:paraId="677EA3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reported that the complaints policy was updated to ensure the complaints process works equitably for Māori and that a translator and/or an advocate who identified as Māori, would be available to support people if needed.</w:t>
            </w:r>
          </w:p>
          <w:p w14:paraId="005888EC" w14:textId="77777777" w:rsidR="00000000" w:rsidRPr="00BE00C7" w:rsidRDefault="00000000" w:rsidP="00BE00C7">
            <w:pPr>
              <w:pStyle w:val="OutcomeDescription"/>
              <w:spacing w:before="120" w:after="120"/>
              <w:rPr>
                <w:rFonts w:cs="Arial"/>
                <w:lang w:eastAsia="en-NZ"/>
              </w:rPr>
            </w:pPr>
          </w:p>
        </w:tc>
      </w:tr>
      <w:tr w:rsidR="00D2208B" w14:paraId="18660678" w14:textId="77777777">
        <w:tc>
          <w:tcPr>
            <w:tcW w:w="0" w:type="auto"/>
          </w:tcPr>
          <w:p w14:paraId="38B3D6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6261D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F4CBDCD" w14:textId="77777777" w:rsidR="00000000" w:rsidRPr="00BE00C7" w:rsidRDefault="00000000" w:rsidP="00BE00C7">
            <w:pPr>
              <w:pStyle w:val="OutcomeDescription"/>
              <w:spacing w:before="120" w:after="120"/>
              <w:rPr>
                <w:rFonts w:cs="Arial"/>
                <w:lang w:eastAsia="en-NZ"/>
              </w:rPr>
            </w:pPr>
          </w:p>
        </w:tc>
        <w:tc>
          <w:tcPr>
            <w:tcW w:w="0" w:type="auto"/>
          </w:tcPr>
          <w:p w14:paraId="1E1A40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25B4F0" w14:textId="77777777" w:rsidR="00000000" w:rsidRPr="00BE00C7" w:rsidRDefault="00000000" w:rsidP="00BE00C7">
            <w:pPr>
              <w:pStyle w:val="OutcomeDescription"/>
              <w:spacing w:before="120" w:after="120"/>
              <w:rPr>
                <w:rFonts w:cs="Arial"/>
                <w:lang w:eastAsia="en-NZ"/>
              </w:rPr>
            </w:pPr>
            <w:r w:rsidRPr="00BE00C7">
              <w:rPr>
                <w:rFonts w:cs="Arial"/>
                <w:lang w:eastAsia="en-NZ"/>
              </w:rPr>
              <w:t>Crossley Court Holiday and Retirement Home &amp; Orewa Beach Home is wholly owned by J A Crossley Holdings Limited and is owner-</w:t>
            </w:r>
            <w:r w:rsidRPr="00BE00C7">
              <w:rPr>
                <w:rFonts w:cs="Arial"/>
                <w:lang w:eastAsia="en-NZ"/>
              </w:rPr>
              <w:lastRenderedPageBreak/>
              <w:t xml:space="preserve">operated. The homes are adjacent to each other and provide rest home care for up to 45 residents. Crossley Court Holiday and Retirement Home has a maximum of 17 residents, and the adjacent Orewa Beach Home has a maximum of 28 residents. There were 43 residents in total on the day of the audit including one resident on an Accident Compensation Corporation [ACC] contract and two residents on a long term support- chronic health conditions [LTS-CHC] contract. All other residents were under the Age Residential Related Care (ARRC) contract. </w:t>
            </w:r>
          </w:p>
          <w:p w14:paraId="719B4F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defined governance and leadership structure, including clinical governance, which is appropriate to its size and complexity. An external specialist reviews policies and procedures, and the registered nurses and the FM offer clinical advice on all clinical matters. The owner/director has completed cultural training, te reo Māori and Te Tiriti o Waitangi. The owner/director meets weekly with the FM. The FM and the owner/director oversee compliance with legislative, contractual and regulatory requirements; external advice is sought as required. Reports cover quality, risk, compliance with standards and legislation and other operational matters. </w:t>
            </w:r>
          </w:p>
          <w:p w14:paraId="6E3C32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plan was current and included the scope, direction, goals, values and mission statement of the organisation. The document outlines annual and long-term objectives and the associated operational plans. The plan reflects a leadership commitment to collaborating with Māori, aligns with the Ministry of Health's strategies, and addresses barriers to equitable service delivery. The working practice at the service is holistic, encompassing cultural identity, spirituality, and respect for connections to family, whānau and the broader community as an intrinsic aspect of well-being and improved health outcomes for tāngata whaikaha. There is a cultural advisor who provides training and support for the service.</w:t>
            </w:r>
          </w:p>
          <w:p w14:paraId="165800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reported that the service offers cultural assessments specific to Māori to identify any unique requirements and encourage whanaungatanga through the exploration of pepeha, iwi and hapū. The service ensures that families/whānau and residents are involved in planning, implementing, monitoring and evaluating service delivery through satisfaction surveys, information packs and resident meetings.</w:t>
            </w:r>
          </w:p>
          <w:p w14:paraId="4906AD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monthly staff and resident meetings with minutes documented. The minutes show a discussion of the objectives and progress. There is a risk management plan updated as required and at least annually. The health and safety plan is also documented and up to date. The FM leads and reviews all aspects of the quality programme annually. </w:t>
            </w:r>
          </w:p>
          <w:p w14:paraId="203C77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is a registered nurse with extensive experience in the health sector and has been managing the service for more than 14 years, supported by the registered nurses, caregivers and the owner/director. The management team is suitably qualified and experienced for their roles and within the aged care sector. The FM maintained at least eight hours of professional development activities related to managing an aged care facility, including completing cultural safety, Te Tiriti o Waitangi training, and attending aged care sector conferences.</w:t>
            </w:r>
          </w:p>
          <w:p w14:paraId="4AC23B34" w14:textId="77777777" w:rsidR="00000000" w:rsidRPr="00BE00C7" w:rsidRDefault="00000000" w:rsidP="00BE00C7">
            <w:pPr>
              <w:pStyle w:val="OutcomeDescription"/>
              <w:spacing w:before="120" w:after="120"/>
              <w:rPr>
                <w:rFonts w:cs="Arial"/>
                <w:lang w:eastAsia="en-NZ"/>
              </w:rPr>
            </w:pPr>
          </w:p>
        </w:tc>
      </w:tr>
      <w:tr w:rsidR="00D2208B" w14:paraId="7934DB4B" w14:textId="77777777">
        <w:tc>
          <w:tcPr>
            <w:tcW w:w="0" w:type="auto"/>
          </w:tcPr>
          <w:p w14:paraId="1D12F5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B60E3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EF3425D" w14:textId="77777777" w:rsidR="00000000" w:rsidRPr="00BE00C7" w:rsidRDefault="00000000" w:rsidP="00BE00C7">
            <w:pPr>
              <w:pStyle w:val="OutcomeDescription"/>
              <w:spacing w:before="120" w:after="120"/>
              <w:rPr>
                <w:rFonts w:cs="Arial"/>
                <w:lang w:eastAsia="en-NZ"/>
              </w:rPr>
            </w:pPr>
          </w:p>
        </w:tc>
        <w:tc>
          <w:tcPr>
            <w:tcW w:w="0" w:type="auto"/>
          </w:tcPr>
          <w:p w14:paraId="6545BF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C22A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range of documents that contribute to quality and risk management, reflecting the principles of quality improvement processes. All internal audits were completed according to the schedule. Benchmarking is performed using the data from the previous month.</w:t>
            </w:r>
          </w:p>
          <w:p w14:paraId="16E77410"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data includes incidents and accidents, infection and outbreak events, complaints, satisfaction surveys, internal audits, and staff surveys, all of which are analysed to identify and manage issues and trends. A sample of quality, risk, and other documentation revealed that when monitoring activities, staff identify a need for improvement and implement corrective actions until the improvement is achieved. Trends are analysed to support ongoing evaluation and progress across the service’s quality outcomes.</w:t>
            </w:r>
          </w:p>
          <w:p w14:paraId="485C41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implemented a structured quality initiative aimed at reducing resident falls. The study period was from January to June 2025. During this time, the facility achieved a 40.5% reduction in falls from 37 incidents to 22 incidents compared to the same period in 2024, reflecting the effectiveness of preventive and collaborative strategies. Interventions included early identification and management </w:t>
            </w:r>
            <w:r w:rsidRPr="00BE00C7">
              <w:rPr>
                <w:rFonts w:cs="Arial"/>
                <w:lang w:eastAsia="en-NZ"/>
              </w:rPr>
              <w:lastRenderedPageBreak/>
              <w:t xml:space="preserve">of health conditions impacting mobility, such as urinary tract infections, ear infections, and foot health. Physiotherapy-led exercise programmes and walking groups were developed to improve strength and balance. Feedback from residents highlighted an increased sense of security within their environment, while family/whanau expressed appreciation for the proactive communication from staff and visible improvements in care practices. Residents directly benefited from the initiative through reduced fall-related injuries and a decrease in hospital admissions, supporting both their physical health and emotional wellbeing. </w:t>
            </w:r>
          </w:p>
          <w:p w14:paraId="164BEA3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staff contribute to quality improvement through feedback on quality data, complaints, and internal audit activities. The outcomes from the resident/relative satisfaction survey in 2024 and the resident food survey in January 2025 were favourable. Minimal corrective actions were identified in areas such as laundry and cleaning, which have been implemented. The results of quality data, satisfaction surveys, and corrective actions are discussed with staff at monthly staff and resident meetings. Residents and their whānau were informed of the survey results. Residents, their families and whānau, and staff contribute to quality improvement through staff meetings, resident meetings, newsletters, and compliments.</w:t>
            </w:r>
          </w:p>
          <w:p w14:paraId="7963E1B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Ngā Paerewa Standard. The policies reviewed covered all necessary aspects of the service and contractual requirements. Critical analysis of organisational practices to improve health equity occurs with appropriate follow-up and reporting. The FM described the processes for identifying, documenting, monitoring, reviewing and reporting risks, including health and safety risks and developing mitigation strategies.</w:t>
            </w:r>
          </w:p>
          <w:p w14:paraId="07D819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documented adverse and near-miss events in accordance with the National Adverse Event Reporting Policy. A sample of incident forms reviewed showed that these were fully completed, incidents were investigated, action plans were developed, and actions were followed up in a timely manner. The FM was aware of the Severity Assessment Codes (SAC) reporting requirements, specifically SAC1 and SAC2. There has been no Section 31 notification completed since the last audit. Covid-19 infection outbreak and respiratory </w:t>
            </w:r>
            <w:r w:rsidRPr="00BE00C7">
              <w:rPr>
                <w:rFonts w:cs="Arial"/>
                <w:lang w:eastAsia="en-NZ"/>
              </w:rPr>
              <w:lastRenderedPageBreak/>
              <w:t xml:space="preserve">infection outbreak notifications were reported following the MoH guidelines, managed and staff were debriefed. </w:t>
            </w:r>
          </w:p>
          <w:p w14:paraId="085B12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was aware of the Health and Safety at Work Act (2015) and implemented its requirements. All visitors to the service are informed and reminded of the importance of health and safety and infection prevention, and control. No events required reporting to WorkSafe NZ in the previous 12 months. A hazard register was in place, and evidence of completed environmental audits was sighted.</w:t>
            </w:r>
          </w:p>
          <w:p w14:paraId="28D6D00D"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Positive outcomes for Māori and people with disabilities are part of quality and risk activities. The FM reported that high-quality care for Māori is embedded in organisational practices, and this is further achieved by using and understanding Māori models of care, health and wellbeing, and culturally competent staff.</w:t>
            </w:r>
          </w:p>
          <w:p w14:paraId="53F8572A" w14:textId="77777777" w:rsidR="00000000" w:rsidRPr="00BE00C7" w:rsidRDefault="00000000" w:rsidP="00BE00C7">
            <w:pPr>
              <w:pStyle w:val="OutcomeDescription"/>
              <w:spacing w:before="120" w:after="120"/>
              <w:rPr>
                <w:rFonts w:cs="Arial"/>
                <w:lang w:eastAsia="en-NZ"/>
              </w:rPr>
            </w:pPr>
          </w:p>
        </w:tc>
      </w:tr>
      <w:tr w:rsidR="00D2208B" w14:paraId="6ACF952A" w14:textId="77777777">
        <w:tc>
          <w:tcPr>
            <w:tcW w:w="0" w:type="auto"/>
          </w:tcPr>
          <w:p w14:paraId="7BCDC1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F90FB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81C1DA4" w14:textId="77777777" w:rsidR="00000000" w:rsidRPr="00BE00C7" w:rsidRDefault="00000000" w:rsidP="00BE00C7">
            <w:pPr>
              <w:pStyle w:val="OutcomeDescription"/>
              <w:spacing w:before="120" w:after="120"/>
              <w:rPr>
                <w:rFonts w:cs="Arial"/>
                <w:lang w:eastAsia="en-NZ"/>
              </w:rPr>
            </w:pPr>
          </w:p>
        </w:tc>
        <w:tc>
          <w:tcPr>
            <w:tcW w:w="0" w:type="auto"/>
          </w:tcPr>
          <w:p w14:paraId="09A9DE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D5C1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The facility adjusts staffing levels to meet the changing needs of residents. The caregivers reported that there are adequate staff members to complete the work allocated to them. The residents and family/whānau interviewed supported this. Over the past four weeks, the rosters consistently showed that all shifts were covered by experienced caregivers, with support from the FM and registered nurses. Residents and family/whānau interviewed stated they are informed of any staff changes.</w:t>
            </w:r>
          </w:p>
          <w:p w14:paraId="2764BA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is at the facility on most days from Monday to Friday. The two registered nurses work 40 hours a week from 7am - 5pm, Monday to Friday, in each wing. The management is available on-call 24/7. </w:t>
            </w:r>
          </w:p>
          <w:p w14:paraId="5E4CF3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Ongoing education is planned on an annual basis, including mandatory training requirements. Competency assessments completed by all staff include (but are not limited to) hand hygiene, medication administration, fire safety and first aid competencies. Mandatory training for caregivers, FM and registered nurses included: end of life care/death; acute deterioration; restraint minimisation; Te Tiriti o Waitangi; abuse and neglect; nutrition and hydration; hand </w:t>
            </w:r>
            <w:r w:rsidRPr="00BE00C7">
              <w:rPr>
                <w:rFonts w:cs="Arial"/>
                <w:lang w:eastAsia="en-NZ"/>
              </w:rPr>
              <w:lastRenderedPageBreak/>
              <w:t>hygiene; care planning; pain management and identification; chemical safety training; challenging behaviour; health and safety; medication management; personal care; head to toe assessment for caregivers; infection prevention and control.</w:t>
            </w:r>
          </w:p>
          <w:p w14:paraId="493287D2"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have either completed, commenced or are due to commence a New Zealand Qualification Authority education programme to meet the provider’s funding and service agreement requirements. There are a total of eighteen caregivers, seven have achieved level four, three are on level three, two on level two, and six are still to enrol.</w:t>
            </w:r>
          </w:p>
          <w:p w14:paraId="329156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and the two registered nurses are accredited and maintain competencies to conduct interRAI assessments. Staff records were reviewed to confirm completion of the required training and competency assessments. Staff members interviewed reported feeling well-supported and safe in the workplace. The FM reported that the model of care ensured equitable treatment for all residents. Staff and management completed cultural training.</w:t>
            </w:r>
          </w:p>
          <w:p w14:paraId="0CB198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provider's environment encourages collecting and sharing quality Māori health information. The service collaborates with local Māori organisations, which provide the necessary clinical guidance and decision-making tools to achieve health equity for Māori.</w:t>
            </w:r>
          </w:p>
          <w:p w14:paraId="1422A269" w14:textId="77777777" w:rsidR="00000000" w:rsidRPr="00BE00C7" w:rsidRDefault="00000000" w:rsidP="00BE00C7">
            <w:pPr>
              <w:pStyle w:val="OutcomeDescription"/>
              <w:spacing w:before="120" w:after="120"/>
              <w:rPr>
                <w:rFonts w:cs="Arial"/>
                <w:lang w:eastAsia="en-NZ"/>
              </w:rPr>
            </w:pPr>
            <w:r w:rsidRPr="00BE00C7">
              <w:rPr>
                <w:rFonts w:cs="Arial"/>
                <w:lang w:eastAsia="en-NZ"/>
              </w:rPr>
              <w:t>An employee assistance programme (EAP) is in place to promote staff well-being. Staff participated in an annual employee satisfaction survey, and staff interviewed reported a positive workplace.</w:t>
            </w:r>
          </w:p>
          <w:p w14:paraId="0FBD4368" w14:textId="77777777" w:rsidR="00000000" w:rsidRPr="00BE00C7" w:rsidRDefault="00000000" w:rsidP="00BE00C7">
            <w:pPr>
              <w:pStyle w:val="OutcomeDescription"/>
              <w:spacing w:before="120" w:after="120"/>
              <w:rPr>
                <w:rFonts w:cs="Arial"/>
                <w:lang w:eastAsia="en-NZ"/>
              </w:rPr>
            </w:pPr>
          </w:p>
        </w:tc>
      </w:tr>
      <w:tr w:rsidR="00D2208B" w14:paraId="1D250299" w14:textId="77777777">
        <w:tc>
          <w:tcPr>
            <w:tcW w:w="0" w:type="auto"/>
          </w:tcPr>
          <w:p w14:paraId="389A68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6B2E3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w:t>
            </w:r>
            <w:r w:rsidRPr="00BE00C7">
              <w:rPr>
                <w:rFonts w:cs="Arial"/>
                <w:lang w:eastAsia="en-NZ"/>
              </w:rPr>
              <w:lastRenderedPageBreak/>
              <w:t>culturally safe, respectful, quality care and services.</w:t>
            </w:r>
          </w:p>
          <w:p w14:paraId="67BC4E9E" w14:textId="77777777" w:rsidR="00000000" w:rsidRPr="00BE00C7" w:rsidRDefault="00000000" w:rsidP="00BE00C7">
            <w:pPr>
              <w:pStyle w:val="OutcomeDescription"/>
              <w:spacing w:before="120" w:after="120"/>
              <w:rPr>
                <w:rFonts w:cs="Arial"/>
                <w:lang w:eastAsia="en-NZ"/>
              </w:rPr>
            </w:pPr>
          </w:p>
        </w:tc>
        <w:tc>
          <w:tcPr>
            <w:tcW w:w="0" w:type="auto"/>
          </w:tcPr>
          <w:p w14:paraId="3E2103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99BC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relevant legislation. All new staff are police-checked, and referees are contacted prior to an offer of employment being made. A sample of staff records reviewed confirmed that the organisation’s policies are being consistently implemented. Each position has a job description. Six staff files were reviewed: one FM, two registered nurses, one caregiver, one chef, and one kitchen hand. </w:t>
            </w:r>
          </w:p>
          <w:p w14:paraId="0BDBE6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confirmed that all regulated staff and contracted providers </w:t>
            </w:r>
            <w:r w:rsidRPr="00BE00C7">
              <w:rPr>
                <w:rFonts w:cs="Arial"/>
                <w:lang w:eastAsia="en-NZ"/>
              </w:rPr>
              <w:lastRenderedPageBreak/>
              <w:t>had proof of current registration with their respective regulatory bodies, such as the New Zealand (NZ) Nursing Council, the NZ Medical Council, and the pharmacy, as well as other allied health service providers.</w:t>
            </w:r>
          </w:p>
          <w:p w14:paraId="0E293E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of the sampled personnel records contained evidence of the new staff member having completed an induction to work practices and orientation to the environment, including emergency management. Staff performance was reviewed and discussed at regular intervals. Copies of current appraisals for staff were sighted. </w:t>
            </w:r>
          </w:p>
          <w:p w14:paraId="5F3CE4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staff member's ethnic origin is documented on their personnel records and is used in accordance with Health Information Standards Organisation (HISO) requirements. A process to evaluate this data is in place and reported to the board at board meetings. Following incidents, the management team are available for any required debriefing and discussion. </w:t>
            </w:r>
          </w:p>
          <w:p w14:paraId="3E09E863" w14:textId="77777777" w:rsidR="00000000" w:rsidRPr="00BE00C7" w:rsidRDefault="00000000" w:rsidP="00BE00C7">
            <w:pPr>
              <w:pStyle w:val="OutcomeDescription"/>
              <w:spacing w:before="120" w:after="120"/>
              <w:rPr>
                <w:rFonts w:cs="Arial"/>
                <w:lang w:eastAsia="en-NZ"/>
              </w:rPr>
            </w:pPr>
          </w:p>
        </w:tc>
      </w:tr>
      <w:tr w:rsidR="00D2208B" w14:paraId="5C83D96A" w14:textId="77777777">
        <w:tc>
          <w:tcPr>
            <w:tcW w:w="0" w:type="auto"/>
          </w:tcPr>
          <w:p w14:paraId="2FE158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731BC3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B361FD3" w14:textId="77777777" w:rsidR="00000000" w:rsidRPr="00BE00C7" w:rsidRDefault="00000000" w:rsidP="00BE00C7">
            <w:pPr>
              <w:pStyle w:val="OutcomeDescription"/>
              <w:spacing w:before="120" w:after="120"/>
              <w:rPr>
                <w:rFonts w:cs="Arial"/>
                <w:lang w:eastAsia="en-NZ"/>
              </w:rPr>
            </w:pPr>
          </w:p>
        </w:tc>
        <w:tc>
          <w:tcPr>
            <w:tcW w:w="0" w:type="auto"/>
          </w:tcPr>
          <w:p w14:paraId="366FA50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1A493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The clinical notes were current, integrated, legible, and met current documentation standards. No personal or private resident information was on public display during the audit. Archived records are held securely on-site and clearly labelled for easy retrieval. Residents’ information is held for the required period before being destroyed.</w:t>
            </w:r>
          </w:p>
          <w:p w14:paraId="2F78B1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an electronic information management system and a paper-based system. Staff have individual passwords to the electronic medication management system and the interRAI assessment tool. The visiting general practitioners (GPs) and allied health providers also document the necessary information in the residents’ records. Policies and procedures guide staff in managing information effectively. The FM reported that the staff have their logins. An external provider holds backup database systems.</w:t>
            </w:r>
          </w:p>
          <w:p w14:paraId="444258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consent process is in place for data collection. The records sampled were integrated. The FM reported that EPOAs can review residents’ records in accordance with privacy laws, and records can </w:t>
            </w:r>
            <w:r w:rsidRPr="00BE00C7">
              <w:rPr>
                <w:rFonts w:cs="Arial"/>
                <w:lang w:eastAsia="en-NZ"/>
              </w:rPr>
              <w:lastRenderedPageBreak/>
              <w:t>be provided in a format that is accessible to the resident concerned.</w:t>
            </w:r>
          </w:p>
          <w:p w14:paraId="40428F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the National Health Index registration of people receiving services.</w:t>
            </w:r>
          </w:p>
          <w:p w14:paraId="5491129C" w14:textId="77777777" w:rsidR="00000000" w:rsidRPr="00BE00C7" w:rsidRDefault="00000000" w:rsidP="00BE00C7">
            <w:pPr>
              <w:pStyle w:val="OutcomeDescription"/>
              <w:spacing w:before="120" w:after="120"/>
              <w:rPr>
                <w:rFonts w:cs="Arial"/>
                <w:lang w:eastAsia="en-NZ"/>
              </w:rPr>
            </w:pPr>
          </w:p>
        </w:tc>
      </w:tr>
      <w:tr w:rsidR="00D2208B" w14:paraId="74C7D54C" w14:textId="77777777">
        <w:tc>
          <w:tcPr>
            <w:tcW w:w="0" w:type="auto"/>
          </w:tcPr>
          <w:p w14:paraId="4938A3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CD8F6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A6AD2BB" w14:textId="77777777" w:rsidR="00000000" w:rsidRPr="00BE00C7" w:rsidRDefault="00000000" w:rsidP="00BE00C7">
            <w:pPr>
              <w:pStyle w:val="OutcomeDescription"/>
              <w:spacing w:before="120" w:after="120"/>
              <w:rPr>
                <w:rFonts w:cs="Arial"/>
                <w:lang w:eastAsia="en-NZ"/>
              </w:rPr>
            </w:pPr>
          </w:p>
        </w:tc>
        <w:tc>
          <w:tcPr>
            <w:tcW w:w="0" w:type="auto"/>
          </w:tcPr>
          <w:p w14:paraId="7F232A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2601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pamphlets are provided for family/whānau and residents prior to admission or on entry to the service. Review of residents’ files confirmed that entry to service complied with entry criteria. Seven admission agreements reviewed align with all service requirements. Exclusions from the service are included in the admission agreement. Family/whānau and residents interviewed stated that they have received the information pamphlet and received sufficient information prior to and on entry to the service. Admission criteria are based on the assessed need of the resident and the contracts under which the service operates. The facility manager is available to answer any questions regarding the admission process, and a waiting list is managed. </w:t>
            </w:r>
          </w:p>
          <w:p w14:paraId="640814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The service is committed to recognising and celebrating tāngata whenua (iwi) in a meaningful way through liaison with St Johns Māori Chaplain. They also provide education for staff.</w:t>
            </w:r>
          </w:p>
          <w:p w14:paraId="24FC0E93" w14:textId="77777777" w:rsidR="00000000" w:rsidRPr="00BE00C7" w:rsidRDefault="00000000" w:rsidP="00BE00C7">
            <w:pPr>
              <w:pStyle w:val="OutcomeDescription"/>
              <w:spacing w:before="120" w:after="120"/>
              <w:rPr>
                <w:rFonts w:cs="Arial"/>
                <w:lang w:eastAsia="en-NZ"/>
              </w:rPr>
            </w:pPr>
          </w:p>
        </w:tc>
      </w:tr>
      <w:tr w:rsidR="00D2208B" w14:paraId="132F5E65" w14:textId="77777777">
        <w:tc>
          <w:tcPr>
            <w:tcW w:w="0" w:type="auto"/>
          </w:tcPr>
          <w:p w14:paraId="314EB1C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330712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supports my </w:t>
            </w:r>
            <w:r w:rsidRPr="00BE00C7">
              <w:rPr>
                <w:rFonts w:cs="Arial"/>
                <w:lang w:eastAsia="en-NZ"/>
              </w:rPr>
              <w:lastRenderedPageBreak/>
              <w:t>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15073D4" w14:textId="77777777" w:rsidR="00000000" w:rsidRPr="00BE00C7" w:rsidRDefault="00000000" w:rsidP="00BE00C7">
            <w:pPr>
              <w:pStyle w:val="OutcomeDescription"/>
              <w:spacing w:before="120" w:after="120"/>
              <w:rPr>
                <w:rFonts w:cs="Arial"/>
                <w:lang w:eastAsia="en-NZ"/>
              </w:rPr>
            </w:pPr>
          </w:p>
        </w:tc>
        <w:tc>
          <w:tcPr>
            <w:tcW w:w="0" w:type="auto"/>
          </w:tcPr>
          <w:p w14:paraId="76786A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894C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files were reviewed for this audit including one resident on an ACC contract, and two residents were on a LTS-CHC contract. The facility manager and the registered nurses (RN) are responsible for </w:t>
            </w:r>
            <w:r w:rsidRPr="00BE00C7">
              <w:rPr>
                <w:rFonts w:cs="Arial"/>
                <w:lang w:eastAsia="en-NZ"/>
              </w:rPr>
              <w:lastRenderedPageBreak/>
              <w:t xml:space="preserve">conducting all assessments and for developing care plans. Residents and family/whānau interviewed report they are involved in the assessment, care planning and review process as evidenced in the files reviewed. </w:t>
            </w:r>
          </w:p>
          <w:p w14:paraId="225B5EDA"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and cultural awareness policy is in place to ensure the service supports Māori and family/whānau to identify their own pae ora outcomes in their care or support plan. There is also a Pasifika health care plan. There are currently no Pasifika residents.</w:t>
            </w:r>
          </w:p>
          <w:p w14:paraId="26529B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the time of admission. All reviewed files including the resident on the LTS-CHC contract had interRAI assessments completed. All files reviewed confirmed that the initial interRAI assessments and initial long-term care plans were completed in a timely manner. The long-term care plan includes interventions to guide care delivery, which are reflective of assessed needs. The care plans are holistic and align with the service’s model of person-centred care. Care plan evaluations were completed at least six-monthly or when residents’ needs changed. Care plan evaluations evidence resident progression towards meeting their goals and aspirations. Short-term care plans for infections, weight loss, behaviour that challenges, and wounds were well utilised, with interventions transferred to the long-term care plans in a timely manner. The resident on the ACC contract had appropriate risk assessments completed and a comprehensive care plan documented. </w:t>
            </w:r>
          </w:p>
          <w:p w14:paraId="4A3683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Independent general practitioners (GPs) ensure residents are assessed within five working days of admission. The GP’s review each resident at least three-monthly. The GPs provide on-call service for after- hours up to 2000hr, and after that, residents go to the Accident and Emergency service. The RNs are available 24/7 for clinical advice and decision-making as required. Two GPs were interviewed. Both expressed satisfaction with the standard of care and the RN’s competence at the service. Specialist referrals are initiated as needed. Allied health interventions were documented and integrated into care plans. The service has an independent physiotherapist contracted to work three and a half hours a week. An independent dietitian is contacted as required. A podiatrist visits six to eight-weekly and a continence advisor, hospice specialists and a </w:t>
            </w:r>
            <w:r w:rsidRPr="00BE00C7">
              <w:rPr>
                <w:rFonts w:cs="Arial"/>
                <w:lang w:eastAsia="en-NZ"/>
              </w:rPr>
              <w:lastRenderedPageBreak/>
              <w:t xml:space="preserve">wound care specialist nurse are available as required. </w:t>
            </w:r>
          </w:p>
          <w:p w14:paraId="287057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a verbal handover at the beginning of each duty that maintains a continuity of service delivery; this was observed on the day of audit and found to be comprehensive. Progress notes are written daily by registered nurses and/or caregivers. The registered nurses further add to the progress notes if there are any incidents, GP visits or changes in health status. </w:t>
            </w:r>
          </w:p>
          <w:p w14:paraId="78E9A20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that their needs and expectations were being met, and family members confirmed the same regarding their family/whānau. When a resident’s condition alters, the staff alert the facility manager, who then initiates a review with a GP. Family/whānau stated they were notified of all changes to health, including infections, accidents/incidents, GPs visit, medication changes and any changes to health status and this was consistently documented in the resident’s progress notes.</w:t>
            </w:r>
          </w:p>
          <w:p w14:paraId="35F976E1"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were five residents with minor wounds. There were no pressure injuries. All wounds were reviewed and had comprehensive wound assessments, wound management plans and documented evaluations, including photographs (if required to show healing progression. The caregivers and registered nurses interviewed confirmed there are adequate clinical supplies and equipment provided, including continence, wound care supplies and pressure injury prevention resources.</w:t>
            </w:r>
          </w:p>
          <w:p w14:paraId="3E52604B"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and registered nurses complete monitoring charts, including bowel chart; blood pressure; weight; food and fluid chart; pain; behaviour and blood glucose levels. All monitoring reviewed was implemented as scheduled. Neurological observations are completed for unwitnessed falls and suspected head injuries according to policy.</w:t>
            </w:r>
          </w:p>
          <w:p w14:paraId="40FF09FF" w14:textId="77777777" w:rsidR="00000000" w:rsidRPr="00BE00C7" w:rsidRDefault="00000000" w:rsidP="003D5887">
            <w:pPr>
              <w:pStyle w:val="OutcomeDescription"/>
              <w:spacing w:before="120" w:after="120"/>
              <w:rPr>
                <w:rFonts w:cs="Arial"/>
                <w:lang w:eastAsia="en-NZ"/>
              </w:rPr>
            </w:pPr>
          </w:p>
        </w:tc>
      </w:tr>
      <w:tr w:rsidR="00D2208B" w14:paraId="46DBBC58" w14:textId="77777777">
        <w:tc>
          <w:tcPr>
            <w:tcW w:w="0" w:type="auto"/>
          </w:tcPr>
          <w:p w14:paraId="1B4517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492C0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r>
            <w:r w:rsidRPr="00BE00C7">
              <w:rPr>
                <w:rFonts w:cs="Arial"/>
                <w:lang w:eastAsia="en-NZ"/>
              </w:rPr>
              <w:lastRenderedPageBreak/>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CFDC862" w14:textId="77777777" w:rsidR="00000000" w:rsidRPr="00BE00C7" w:rsidRDefault="00000000" w:rsidP="00BE00C7">
            <w:pPr>
              <w:pStyle w:val="OutcomeDescription"/>
              <w:spacing w:before="120" w:after="120"/>
              <w:rPr>
                <w:rFonts w:cs="Arial"/>
                <w:lang w:eastAsia="en-NZ"/>
              </w:rPr>
            </w:pPr>
          </w:p>
        </w:tc>
        <w:tc>
          <w:tcPr>
            <w:tcW w:w="0" w:type="auto"/>
          </w:tcPr>
          <w:p w14:paraId="3EFD39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8980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part-time activities assistants who, between them provide activities seven days a week. The programme is supported by the caregivers. The programme is planned monthly and weekly. The </w:t>
            </w:r>
            <w:r w:rsidRPr="00BE00C7">
              <w:rPr>
                <w:rFonts w:cs="Arial"/>
                <w:lang w:eastAsia="en-NZ"/>
              </w:rPr>
              <w:lastRenderedPageBreak/>
              <w:t xml:space="preserve">weekly calendar is placed in large print on the noticeboards in each area. Those residents who want one can have a copy in their rooms. The activity team facilitate opportunities to participate in te reo Māori, incorporating Māori language in entertainment and singing, craft, and participation in Waitangi weekend. Māori language week and Matariki. </w:t>
            </w:r>
          </w:p>
          <w:p w14:paraId="1D0AD0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rooms or cannot participate in group activities have one-on-one visits for a chat and to see if there is anything they need. There is a small lounge (used by the physiotherapist on a Tuesday) where residents and families/whānau can have a quiet time or read books (it also has a piano). </w:t>
            </w:r>
          </w:p>
          <w:p w14:paraId="42E30FE5"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resident’s social and cultural profile in the resident’s 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 are not limited to) exercises; newspaper reading, music and movement; crafts; games; quizzes; entertainers; board gaming; hand pampering; bingo; happy hour; and long or short walks. There are regular van drives for outings (including shopping and coffee), regular entertainers visiting the residents, and Roman Catholic communion. The van is available to take residents to church. There is a fish tank in each area and pet therapy dog’s visit.</w:t>
            </w:r>
          </w:p>
          <w:p w14:paraId="1BE5A1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resident meetings. Residents and family/whanau can also provide feedback on activities at the six-monthly reviews. Residents and family/whānau interviewed stated the activity programme is meaningful and engaging. </w:t>
            </w:r>
          </w:p>
          <w:p w14:paraId="536AE4E3" w14:textId="77777777" w:rsidR="00000000" w:rsidRPr="00BE00C7" w:rsidRDefault="00000000" w:rsidP="00BE00C7">
            <w:pPr>
              <w:pStyle w:val="OutcomeDescription"/>
              <w:spacing w:before="120" w:after="120"/>
              <w:rPr>
                <w:rFonts w:cs="Arial"/>
                <w:lang w:eastAsia="en-NZ"/>
              </w:rPr>
            </w:pPr>
          </w:p>
        </w:tc>
      </w:tr>
      <w:tr w:rsidR="00D2208B" w14:paraId="24068F5E" w14:textId="77777777">
        <w:tc>
          <w:tcPr>
            <w:tcW w:w="0" w:type="auto"/>
          </w:tcPr>
          <w:p w14:paraId="76D55AA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72048F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w:t>
            </w:r>
            <w:r w:rsidRPr="00BE00C7">
              <w:rPr>
                <w:rFonts w:cs="Arial"/>
                <w:lang w:eastAsia="en-NZ"/>
              </w:rPr>
              <w:lastRenderedPageBreak/>
              <w:t>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400A25F" w14:textId="77777777" w:rsidR="00000000" w:rsidRPr="00BE00C7" w:rsidRDefault="00000000" w:rsidP="00BE00C7">
            <w:pPr>
              <w:pStyle w:val="OutcomeDescription"/>
              <w:spacing w:before="120" w:after="120"/>
              <w:rPr>
                <w:rFonts w:cs="Arial"/>
                <w:lang w:eastAsia="en-NZ"/>
              </w:rPr>
            </w:pPr>
          </w:p>
        </w:tc>
        <w:tc>
          <w:tcPr>
            <w:tcW w:w="0" w:type="auto"/>
          </w:tcPr>
          <w:p w14:paraId="1761DD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859E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w:t>
            </w:r>
            <w:r w:rsidRPr="00BE00C7">
              <w:rPr>
                <w:rFonts w:cs="Arial"/>
                <w:lang w:eastAsia="en-NZ"/>
              </w:rPr>
              <w:lastRenderedPageBreak/>
              <w:t xml:space="preserve">provided. The facility manager has completed syringe driver training. </w:t>
            </w:r>
          </w:p>
          <w:p w14:paraId="411C20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caregivers interviewed could describe their role regarding medication administration. The facility uses robotic rolls. All medications are checked on delivery against the medication chart and any discrepancies are fed back to the supplying pharmacy. </w:t>
            </w:r>
          </w:p>
          <w:p w14:paraId="6F1D8B12"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stored securely in locked trollies in the nurses’ stations. Medication trolleys were always locked when not in use. The medication fridge and medication room (nurses’ stations) temperatures are monitored daily. All medications, including stock medications are checked monthly. All eyedrops have been dated on opening and discarded as per the manufacturer’s instructions. All over-the-counter vitamins, supplements or alternative therapies residents choose to use are prescribed by the GPs and charted on the electronic medication chart.</w:t>
            </w:r>
          </w:p>
          <w:p w14:paraId="5B6D1A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Fourteen electronic medication charts were reviewed. The medication charts reviewed confirmed that the GP reviews all resident medication charts three-monthly and each chart has a photo identification and allergy status identified. There were no residents self-administering medicines on the days of the audit. There are policies and procedures document around the process should a resident choose to self-administer their medications. </w:t>
            </w:r>
          </w:p>
          <w:p w14:paraId="03A4BF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or in the progress notes. Medication competent caregivers or registered nurses sign when the medication has been administered. The facility uses standing orders and these meet medication standards. Residents and family/whānau are updated around medication changes, including the reason for changing medications and side effects. This is documented in the progress notes. </w:t>
            </w:r>
          </w:p>
          <w:p w14:paraId="62575A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 when required. </w:t>
            </w:r>
          </w:p>
          <w:p w14:paraId="4C3B8FC0" w14:textId="77777777" w:rsidR="00000000" w:rsidRPr="00BE00C7" w:rsidRDefault="00000000" w:rsidP="00BE00C7">
            <w:pPr>
              <w:pStyle w:val="OutcomeDescription"/>
              <w:spacing w:before="120" w:after="120"/>
              <w:rPr>
                <w:rFonts w:cs="Arial"/>
                <w:lang w:eastAsia="en-NZ"/>
              </w:rPr>
            </w:pPr>
          </w:p>
        </w:tc>
      </w:tr>
      <w:tr w:rsidR="00D2208B" w14:paraId="4582CC82" w14:textId="77777777">
        <w:tc>
          <w:tcPr>
            <w:tcW w:w="0" w:type="auto"/>
          </w:tcPr>
          <w:p w14:paraId="2AB6E2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50C57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57797D6" w14:textId="77777777" w:rsidR="00000000" w:rsidRPr="00BE00C7" w:rsidRDefault="00000000" w:rsidP="00BE00C7">
            <w:pPr>
              <w:pStyle w:val="OutcomeDescription"/>
              <w:spacing w:before="120" w:after="120"/>
              <w:rPr>
                <w:rFonts w:cs="Arial"/>
                <w:lang w:eastAsia="en-NZ"/>
              </w:rPr>
            </w:pPr>
          </w:p>
        </w:tc>
        <w:tc>
          <w:tcPr>
            <w:tcW w:w="0" w:type="auto"/>
          </w:tcPr>
          <w:p w14:paraId="580890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8D51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All kitchen staff have completed safe food handling. The kitchen was observed to be clean, well-organised, well-equipped and a current approved food control plan was evidenced. </w:t>
            </w:r>
          </w:p>
          <w:p w14:paraId="5788C2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four weekly seasonal menu has been reviewed by an independent dietitian. There is a food services manual available in the kitchen. The chef receives resident dietary information from the registered nurses and is notified of any changes to dietary requirements (vegetarian, pureed foods) or residents with weight loss. The chef (interviewed) is aware of residents' likes, dislikes and special dietary requirements. Alternative meals are offered for those residents with dislikes or religious and cultural preferences. Māori or Pasifika menu options are available upon request and family/whanau can bring special meals for their relatives. On the day of the audit, meals were observed to be well presented. There was a pleasant ambience in the dining rooms and on days of audit residents were chatting amongst themselves. Residents were observed enjoying their meals. Staff assisted those residents who needed their help. Lipped plates are available. </w:t>
            </w:r>
          </w:p>
          <w:p w14:paraId="3494C1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chef completes a daily diary, which includes fridge and freezer temperature recordings. Food temperatures are checked at different stages of the cooking process. In Orewa Beach Home, meals are served directly from the kitchen. In Crossley Court Holiday and Retirement Home, meals are transported from the kitchen in warm containers. The temperature of the meals is checked in the Crossley Court Holiday and Retirement Home kitchen and there have been no complaints regarding cold food. </w:t>
            </w:r>
          </w:p>
          <w:p w14:paraId="49C0C4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interviewed were very complimentary regarding the food service, and the variety and choice of meals provided. They can offer feedback at the resident meetings and through resident surveys. </w:t>
            </w:r>
          </w:p>
          <w:p w14:paraId="032F37F8" w14:textId="77777777" w:rsidR="00000000" w:rsidRPr="00BE00C7" w:rsidRDefault="00000000" w:rsidP="00BE00C7">
            <w:pPr>
              <w:pStyle w:val="OutcomeDescription"/>
              <w:spacing w:before="120" w:after="120"/>
              <w:rPr>
                <w:rFonts w:cs="Arial"/>
                <w:lang w:eastAsia="en-NZ"/>
              </w:rPr>
            </w:pPr>
          </w:p>
        </w:tc>
      </w:tr>
      <w:tr w:rsidR="00D2208B" w14:paraId="4C4AF215" w14:textId="77777777">
        <w:tc>
          <w:tcPr>
            <w:tcW w:w="0" w:type="auto"/>
          </w:tcPr>
          <w:p w14:paraId="45EC5F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819E0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3B78E1B" w14:textId="77777777" w:rsidR="00000000" w:rsidRPr="00BE00C7" w:rsidRDefault="00000000" w:rsidP="00BE00C7">
            <w:pPr>
              <w:pStyle w:val="OutcomeDescription"/>
              <w:spacing w:before="120" w:after="120"/>
              <w:rPr>
                <w:rFonts w:cs="Arial"/>
                <w:lang w:eastAsia="en-NZ"/>
              </w:rPr>
            </w:pPr>
          </w:p>
        </w:tc>
        <w:tc>
          <w:tcPr>
            <w:tcW w:w="0" w:type="auto"/>
          </w:tcPr>
          <w:p w14:paraId="23D365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F9C6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w:t>
            </w:r>
            <w:r w:rsidRPr="00BE00C7">
              <w:rPr>
                <w:rFonts w:cs="Arial"/>
                <w:lang w:eastAsia="en-NZ"/>
              </w:rPr>
              <w:lastRenderedPageBreak/>
              <w:t xml:space="preserve">residents and family/whānau to ensure continuity of care. There are policies and procedures documented to ensure discharge or transfer of residents is undertaken in a timely and safe manner. </w:t>
            </w:r>
          </w:p>
          <w:p w14:paraId="2C403BEB"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facility manager and registered nurses explained that the transfer between services includes a comprehensive verbal handover and the completion of specific transfer documentation.</w:t>
            </w:r>
          </w:p>
          <w:p w14:paraId="37477B1E" w14:textId="77777777" w:rsidR="00000000" w:rsidRPr="00BE00C7" w:rsidRDefault="00000000" w:rsidP="00BE00C7">
            <w:pPr>
              <w:pStyle w:val="OutcomeDescription"/>
              <w:spacing w:before="120" w:after="120"/>
              <w:rPr>
                <w:rFonts w:cs="Arial"/>
                <w:lang w:eastAsia="en-NZ"/>
              </w:rPr>
            </w:pPr>
          </w:p>
        </w:tc>
      </w:tr>
      <w:tr w:rsidR="00D2208B" w14:paraId="48647921" w14:textId="77777777">
        <w:tc>
          <w:tcPr>
            <w:tcW w:w="0" w:type="auto"/>
          </w:tcPr>
          <w:p w14:paraId="7235F4B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AF99E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5507FB0" w14:textId="77777777" w:rsidR="00000000" w:rsidRPr="00BE00C7" w:rsidRDefault="00000000" w:rsidP="00BE00C7">
            <w:pPr>
              <w:pStyle w:val="OutcomeDescription"/>
              <w:spacing w:before="120" w:after="120"/>
              <w:rPr>
                <w:rFonts w:cs="Arial"/>
                <w:lang w:eastAsia="en-NZ"/>
              </w:rPr>
            </w:pPr>
          </w:p>
        </w:tc>
        <w:tc>
          <w:tcPr>
            <w:tcW w:w="0" w:type="auto"/>
          </w:tcPr>
          <w:p w14:paraId="2C3F89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8563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on 16 May 2026. There is one maintenance person who works 20 hours a week and another who works fourteen hours a week. There is also a gardener who works one day a week. Maintenance requests are documented in a book in the facility manager's office. The facility manager notifies the maintenance people, who report back to her when a task has been completed so it can be signed off. There is an annual preventative maintenance plan that includes electrical testing and tagging. Monthly testing of hot water temperatures occurs, and if temperature recordings are out of the expected range, a plumber is notified. Essential contractors/ tradespeople are available 24 hours a day as required. Calibration of medical equipment was completed annually as scheduled. </w:t>
            </w:r>
          </w:p>
          <w:p w14:paraId="443A2C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 home is carpeted with vinyl surfaces in bathrooms/toilets and kitchen areas. There is adequate space for the storage of mobility equipment. Residents are encouraged to bring their own possessions, including those with cultural or spiritual significance into the facility and are able to personalise their room. All rooms are single. In, Crossley Court Holiday and Retirement Home has 17 rooms with ensuites. </w:t>
            </w:r>
          </w:p>
          <w:p w14:paraId="06D5BF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Orewa Beach Home has five rooms with ensuites and the rest have handbasins and share communal showers and toilets. Residents were observed moving freely around the areas with mobility aids where required. The caregivers interviewed stated there was </w:t>
            </w:r>
            <w:r w:rsidRPr="00BE00C7">
              <w:rPr>
                <w:rFonts w:cs="Arial"/>
                <w:lang w:eastAsia="en-NZ"/>
              </w:rPr>
              <w:lastRenderedPageBreak/>
              <w:t>sufficient equipment to safely carry out the resident cares, as documented in care plans.</w:t>
            </w:r>
          </w:p>
          <w:p w14:paraId="51304F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handrails in hallways and private and communal toilets. The hallways are wide. The lounges in each area are large, allowing ample room for residents to mobilise and use equipment safely. There are large well-appointed dining rooms in each area. Activities take place in the large communal lounges. There are outdoor areas with outdoor seating, and umbrellas which are put up in summer. Residents are encouraged to wear sunhats when on their decks. There are sufficient communal toilets situated in close proximity to communal areas. </w:t>
            </w:r>
          </w:p>
          <w:p w14:paraId="45582D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appropriately heated and ventilated. Orewa Beach Home has radiators and heat pumps in communal areas. Crossley Court Holiday and Retirement Home has electric panel heaters and heat pumps in communal areas. There is plenty of natural light in the rooms.</w:t>
            </w:r>
          </w:p>
          <w:p w14:paraId="62CEE9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described how she would utilise the facility’s links with the St Johns Māori chaplain and local iwi to ensure the designs and environments reflect the aspirations and identity of Māori in any new construction. </w:t>
            </w:r>
          </w:p>
          <w:p w14:paraId="36DC9C49" w14:textId="77777777" w:rsidR="00000000" w:rsidRPr="00BE00C7" w:rsidRDefault="00000000" w:rsidP="00BE00C7">
            <w:pPr>
              <w:pStyle w:val="OutcomeDescription"/>
              <w:spacing w:before="120" w:after="120"/>
              <w:rPr>
                <w:rFonts w:cs="Arial"/>
                <w:lang w:eastAsia="en-NZ"/>
              </w:rPr>
            </w:pPr>
          </w:p>
        </w:tc>
      </w:tr>
      <w:tr w:rsidR="00D2208B" w14:paraId="0885CAA0" w14:textId="77777777">
        <w:tc>
          <w:tcPr>
            <w:tcW w:w="0" w:type="auto"/>
          </w:tcPr>
          <w:p w14:paraId="5187D44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62E8B5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47702E7" w14:textId="77777777" w:rsidR="00000000" w:rsidRPr="00BE00C7" w:rsidRDefault="00000000" w:rsidP="00BE00C7">
            <w:pPr>
              <w:pStyle w:val="OutcomeDescription"/>
              <w:spacing w:before="120" w:after="120"/>
              <w:rPr>
                <w:rFonts w:cs="Arial"/>
                <w:lang w:eastAsia="en-NZ"/>
              </w:rPr>
            </w:pPr>
          </w:p>
        </w:tc>
        <w:tc>
          <w:tcPr>
            <w:tcW w:w="0" w:type="auto"/>
          </w:tcPr>
          <w:p w14:paraId="34B714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98C3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on 3 July 1997. Fire evacuation drills are held six-monthly. Civil defence supplies are stored in identified areas and are checked six-monthly. The facility would hire a generator in the event of a power outage. There are gas barbeques to cook on. There is an adequate food supply available for each resident for a minimum of three days. Emergency water supplies provide three litres per person, per day for three days. </w:t>
            </w:r>
          </w:p>
          <w:p w14:paraId="75991C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Emergency management is included in staff orientation and is </w:t>
            </w:r>
            <w:r w:rsidRPr="00BE00C7">
              <w:rPr>
                <w:rFonts w:cs="Arial"/>
                <w:lang w:eastAsia="en-NZ"/>
              </w:rPr>
              <w:lastRenderedPageBreak/>
              <w:t xml:space="preserve">included in the ongoing education plan. A minimum of one person trained in first aid is always available. There are call bells in the residents’ rooms and communal toilets close to the lounge/dining room areas. Call bells are tested as per the maintenance schedule. Staff were observed to be responsive to call bells on the days of the audit. Residents and families/whānau interviewed confirmed that call bells are answered in a timely manner. The facility is secured at night and there is security lighting. </w:t>
            </w:r>
          </w:p>
          <w:p w14:paraId="0DF84543" w14:textId="77777777" w:rsidR="00000000" w:rsidRPr="00BE00C7" w:rsidRDefault="00000000" w:rsidP="00BE00C7">
            <w:pPr>
              <w:pStyle w:val="OutcomeDescription"/>
              <w:spacing w:before="120" w:after="120"/>
              <w:rPr>
                <w:rFonts w:cs="Arial"/>
                <w:lang w:eastAsia="en-NZ"/>
              </w:rPr>
            </w:pPr>
          </w:p>
        </w:tc>
      </w:tr>
      <w:tr w:rsidR="00D2208B" w14:paraId="7AE6AE1A" w14:textId="77777777">
        <w:tc>
          <w:tcPr>
            <w:tcW w:w="0" w:type="auto"/>
          </w:tcPr>
          <w:p w14:paraId="0FBB00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141C12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3EF0255" w14:textId="77777777" w:rsidR="00000000" w:rsidRPr="00BE00C7" w:rsidRDefault="00000000" w:rsidP="00BE00C7">
            <w:pPr>
              <w:pStyle w:val="OutcomeDescription"/>
              <w:spacing w:before="120" w:after="120"/>
              <w:rPr>
                <w:rFonts w:cs="Arial"/>
                <w:lang w:eastAsia="en-NZ"/>
              </w:rPr>
            </w:pPr>
          </w:p>
        </w:tc>
        <w:tc>
          <w:tcPr>
            <w:tcW w:w="0" w:type="auto"/>
          </w:tcPr>
          <w:p w14:paraId="533921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CD45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are integral to the Crossley Court Holiday and Retirement Home &amp; Orewa Beach Home business and quality plan, ensuring an environment that minimises the risk of infection to residents, staff, and visitors. Expertise in infection control and AMS can be accessed through, Public Health, and Health New Zealand. Infection control and AMS resources are accessible. </w:t>
            </w:r>
          </w:p>
          <w:p w14:paraId="4AF90201"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rates are presented and discussed at resident and staff meetings. The data is also benchmarked internally. This information is also displayed on staff noticeboards. Any significant events are managed using a collaborative approach, involving the infection control coordinator, the management team, the general practitioners (GPs) and the public health team. There is a documented process for reporting infection control and AMS issues to the owner/director.</w:t>
            </w:r>
          </w:p>
          <w:p w14:paraId="4DCECF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Infection control is linked into the  quality risk and incident reporting system. </w:t>
            </w:r>
          </w:p>
          <w:p w14:paraId="1208E931" w14:textId="77777777" w:rsidR="00000000" w:rsidRPr="00BE00C7" w:rsidRDefault="00000000" w:rsidP="00BE00C7">
            <w:pPr>
              <w:pStyle w:val="OutcomeDescription"/>
              <w:spacing w:before="120" w:after="120"/>
              <w:rPr>
                <w:rFonts w:cs="Arial"/>
                <w:lang w:eastAsia="en-NZ"/>
              </w:rPr>
            </w:pPr>
          </w:p>
        </w:tc>
      </w:tr>
      <w:tr w:rsidR="00D2208B" w14:paraId="4797879F" w14:textId="77777777">
        <w:tc>
          <w:tcPr>
            <w:tcW w:w="0" w:type="auto"/>
          </w:tcPr>
          <w:p w14:paraId="7EB2093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F1860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Communication about the programme is easy to access and navigate </w:t>
            </w:r>
            <w:r w:rsidRPr="00BE00C7">
              <w:rPr>
                <w:rFonts w:cs="Arial"/>
                <w:lang w:eastAsia="en-NZ"/>
              </w:rPr>
              <w:lastRenderedPageBreak/>
              <w:t>and messages are clear and relevant.</w:t>
            </w:r>
            <w:r w:rsidRPr="00BE00C7">
              <w:rPr>
                <w:rFonts w:cs="Arial"/>
                <w:lang w:eastAsia="en-NZ"/>
              </w:rPr>
              <w:br/>
              <w:t>As service providers: We develop and implement an infection prevention programme that is appropriate to the needs, size, and scope of our services.</w:t>
            </w:r>
          </w:p>
          <w:p w14:paraId="3548EF0E" w14:textId="77777777" w:rsidR="00000000" w:rsidRPr="00BE00C7" w:rsidRDefault="00000000" w:rsidP="00BE00C7">
            <w:pPr>
              <w:pStyle w:val="OutcomeDescription"/>
              <w:spacing w:before="120" w:after="120"/>
              <w:rPr>
                <w:rFonts w:cs="Arial"/>
                <w:lang w:eastAsia="en-NZ"/>
              </w:rPr>
            </w:pPr>
          </w:p>
        </w:tc>
        <w:tc>
          <w:tcPr>
            <w:tcW w:w="0" w:type="auto"/>
          </w:tcPr>
          <w:p w14:paraId="4A07AD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A070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including the definition of roles, responsibilities and oversight; a pandemic and outbreak management plan; responsibilities during construction and refurbishment; training; and staff education. The infection prevention and control programme, policies and procedures are reviewed by management in consultation </w:t>
            </w:r>
            <w:r w:rsidRPr="00BE00C7">
              <w:rPr>
                <w:rFonts w:cs="Arial"/>
                <w:lang w:eastAsia="en-NZ"/>
              </w:rPr>
              <w:lastRenderedPageBreak/>
              <w:t xml:space="preserve">with external consultants. Policies are readily accessible and available to staff as needed. The IPC programme was approved by the management and is linked to the quality improvement programme. The IPC programme is reviewed annually; it was last reviewed in 2025. </w:t>
            </w:r>
          </w:p>
          <w:p w14:paraId="5D0A52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is the infection prevention and control coordinator (IPCC), and the job description outlines the responsibility of the role relating to infection control matters and antimicrobial stewardship (AMS). The IPCC has completed various online training courses in infection prevention and control.</w:t>
            </w:r>
          </w:p>
          <w:p w14:paraId="70030F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response plan is clearly documented to reflect the current expected guidance from Health New Zealand. The IPCC described the pandemic plan and confirmed that the implementation of the plan has proven successful during outbreaks. During the visual inspection of the facility and facility tour, staff were observed to adhere to infection control policies and practices. The internal audit monitors the effectiveness of education and infection control practices.</w:t>
            </w:r>
          </w:p>
          <w:p w14:paraId="407F84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IPCC reported that they work in consultation with Health New Zealand infection control specialists in procurement processes for equipment, devices and consumables. Sufficient infection prevention resources, including personal protective equipment (PPE), were available and these were regularly checked against their expiry dates. The infection control resources were readily accessible to support the pandemic plan if required. Staff members interviewed demonstrated knowledge of the requirements for standard precautions and were able to locate relevant policies and procedures. </w:t>
            </w:r>
          </w:p>
          <w:p w14:paraId="76F7D2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FM and the registered nurses work in partnership with Māori residents and family/whānau for the protection of culturally safe practices in infection prevention, acknowledging the spirit of Te Tiriti. During interviews, staff interviewed understood cultural considerations related to infection control practices. </w:t>
            </w:r>
          </w:p>
          <w:p w14:paraId="1C587A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regarding the use of reusable and single-use equipment. Single-use medical devices are not reused. All shared and reusable equipment is appropriately </w:t>
            </w:r>
            <w:r w:rsidRPr="00BE00C7">
              <w:rPr>
                <w:rFonts w:cs="Arial"/>
                <w:lang w:eastAsia="en-NZ"/>
              </w:rPr>
              <w:lastRenderedPageBreak/>
              <w:t xml:space="preserve">disinfected between use. The procedures to check these are included in the internal audits. </w:t>
            </w:r>
          </w:p>
          <w:p w14:paraId="09605E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There are no plans to extend or alter the building; however, the infection control coordinator would have input into the process if this occurred.</w:t>
            </w:r>
          </w:p>
          <w:p w14:paraId="51230584" w14:textId="77777777" w:rsidR="00000000" w:rsidRPr="00BE00C7" w:rsidRDefault="00000000" w:rsidP="00BE00C7">
            <w:pPr>
              <w:pStyle w:val="OutcomeDescription"/>
              <w:spacing w:before="120" w:after="120"/>
              <w:rPr>
                <w:rFonts w:cs="Arial"/>
                <w:lang w:eastAsia="en-NZ"/>
              </w:rPr>
            </w:pPr>
          </w:p>
        </w:tc>
      </w:tr>
      <w:tr w:rsidR="00D2208B" w14:paraId="614F05AE" w14:textId="77777777">
        <w:tc>
          <w:tcPr>
            <w:tcW w:w="0" w:type="auto"/>
          </w:tcPr>
          <w:p w14:paraId="1B3AC3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8698A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40129EF" w14:textId="77777777" w:rsidR="00000000" w:rsidRPr="00BE00C7" w:rsidRDefault="00000000" w:rsidP="00BE00C7">
            <w:pPr>
              <w:pStyle w:val="OutcomeDescription"/>
              <w:spacing w:before="120" w:after="120"/>
              <w:rPr>
                <w:rFonts w:cs="Arial"/>
                <w:lang w:eastAsia="en-NZ"/>
              </w:rPr>
            </w:pPr>
          </w:p>
        </w:tc>
        <w:tc>
          <w:tcPr>
            <w:tcW w:w="0" w:type="auto"/>
          </w:tcPr>
          <w:p w14:paraId="7BB2940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E4F6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Infection rates are monitored monthly, reported in monthly reports and presented at meetings. The FM collates and analyses the electronic medication management system with pharmacy support. The annual infection control and AMS review and the infection control audit include antibiotic usage, monitoring the quantity of antimicrobial prescribed, effectiveness, isolated pathogens and adverse effects.</w:t>
            </w:r>
          </w:p>
          <w:p w14:paraId="46E1D902" w14:textId="77777777" w:rsidR="00000000" w:rsidRPr="00BE00C7" w:rsidRDefault="00000000" w:rsidP="00BE00C7">
            <w:pPr>
              <w:pStyle w:val="OutcomeDescription"/>
              <w:spacing w:before="120" w:after="120"/>
              <w:rPr>
                <w:rFonts w:cs="Arial"/>
                <w:lang w:eastAsia="en-NZ"/>
              </w:rPr>
            </w:pPr>
          </w:p>
        </w:tc>
      </w:tr>
      <w:tr w:rsidR="00D2208B" w14:paraId="5E457607" w14:textId="77777777">
        <w:tc>
          <w:tcPr>
            <w:tcW w:w="0" w:type="auto"/>
          </w:tcPr>
          <w:p w14:paraId="2F99C9E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9E2F5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methods specified in the infection prevention programme, and with an equity </w:t>
            </w:r>
            <w:r w:rsidRPr="00BE00C7">
              <w:rPr>
                <w:rFonts w:cs="Arial"/>
                <w:lang w:eastAsia="en-NZ"/>
              </w:rPr>
              <w:lastRenderedPageBreak/>
              <w:t>focus.</w:t>
            </w:r>
          </w:p>
          <w:p w14:paraId="5302B8CE" w14:textId="77777777" w:rsidR="00000000" w:rsidRPr="00BE00C7" w:rsidRDefault="00000000" w:rsidP="00BE00C7">
            <w:pPr>
              <w:pStyle w:val="OutcomeDescription"/>
              <w:spacing w:before="120" w:after="120"/>
              <w:rPr>
                <w:rFonts w:cs="Arial"/>
                <w:lang w:eastAsia="en-NZ"/>
              </w:rPr>
            </w:pPr>
          </w:p>
        </w:tc>
        <w:tc>
          <w:tcPr>
            <w:tcW w:w="0" w:type="auto"/>
          </w:tcPr>
          <w:p w14:paraId="2A7899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B49E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which includes ethnicity information, is collated in the electronic record management system and action plans are implemented accordingly. The HAIs being monitored included infections of the skin, eyes, and respiratory. Surveillance tools are used to collect infection data, and standardised surveillance definitions are used.</w:t>
            </w:r>
          </w:p>
          <w:p w14:paraId="7F35BE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Infection prevention and control audits were completed, including cleaning, laundry, personal protective equipment (PPE), and hand hygiene. Relevant corrective actions were implemented where required. Staff reported that they are informed of infection rates and regular audit outcomes at staff meetings, which are documented in meeting minutes. Records of monthly data sighted confirmed minimal numbers of infections, with a comparison to the previous month, the reason for the increase or decrease, and the advised action. Any new infections are discussed during shift handovers for the implementation of early interventions. The FM completes benchmarking by comparing with the previous month's infection data. All infection data is reported monthly to the staff and the owner/director as required.</w:t>
            </w:r>
          </w:p>
          <w:p w14:paraId="4BD0BFE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were advised of any infections identified in a culturally safe manner. This was confirmed in progress notes sampled and verified in interviews with residents and family/whānau.</w:t>
            </w:r>
          </w:p>
          <w:p w14:paraId="225F81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infection outbreaks reported of Covid-19 in November 2024 and a respiratory infection outbreak in June 2025 since the previous audit. These were managed following the pandemic plan and MoH guidelines.</w:t>
            </w:r>
          </w:p>
          <w:p w14:paraId="44F3F687" w14:textId="77777777" w:rsidR="00000000" w:rsidRPr="00BE00C7" w:rsidRDefault="00000000" w:rsidP="00BE00C7">
            <w:pPr>
              <w:pStyle w:val="OutcomeDescription"/>
              <w:spacing w:before="120" w:after="120"/>
              <w:rPr>
                <w:rFonts w:cs="Arial"/>
                <w:lang w:eastAsia="en-NZ"/>
              </w:rPr>
            </w:pPr>
          </w:p>
        </w:tc>
      </w:tr>
      <w:tr w:rsidR="00D2208B" w14:paraId="291A99BC" w14:textId="77777777">
        <w:tc>
          <w:tcPr>
            <w:tcW w:w="0" w:type="auto"/>
          </w:tcPr>
          <w:p w14:paraId="29CDD45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5857F9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2143288" w14:textId="77777777" w:rsidR="00000000" w:rsidRPr="00BE00C7" w:rsidRDefault="00000000" w:rsidP="00BE00C7">
            <w:pPr>
              <w:pStyle w:val="OutcomeDescription"/>
              <w:spacing w:before="120" w:after="120"/>
              <w:rPr>
                <w:rFonts w:cs="Arial"/>
                <w:lang w:eastAsia="en-NZ"/>
              </w:rPr>
            </w:pPr>
          </w:p>
        </w:tc>
        <w:tc>
          <w:tcPr>
            <w:tcW w:w="0" w:type="auto"/>
          </w:tcPr>
          <w:p w14:paraId="1BE35CB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6842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sluice rooms (with sanitisers) and personal protective equipment, including face visors. Staff have completed chemical safety training. A chemical provider monitors the effectiveness of chemicals.</w:t>
            </w:r>
          </w:p>
          <w:p w14:paraId="46C466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Linen and personal clothes are laundered on-site by designated laundry staff seven days a week. There are designated areas for clean and dirty laundry, and a clear flow from dirty to clean was </w:t>
            </w:r>
            <w:r w:rsidRPr="00BE00C7">
              <w:rPr>
                <w:rFonts w:cs="Arial"/>
                <w:lang w:eastAsia="en-NZ"/>
              </w:rPr>
              <w:lastRenderedPageBreak/>
              <w:t xml:space="preserve">evident. Kitchen linen and mop heads are also done on-site. There are sufficient washing machines and dryers. Material safety data sheets are available, and all chemicals are within closed systems. Linen was transported on covered trolleys. The numerous linen cupboards were well stocked with good-quality linen. </w:t>
            </w:r>
          </w:p>
          <w:p w14:paraId="77A8B6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Designated cleaning staff are responsible for cleaning. Cleaners’ trolleys were always attended to and locked away in the cleaners’ cupboard when not in use. All chemicals on the cleaner’s trolley were labelled. Appropriate personal protective clothing was readily available. The washing machines and dryers are regularly checked and serviced. </w:t>
            </w:r>
          </w:p>
          <w:p w14:paraId="1E7947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members interviewed demonstrated a good understanding of cleaning processes, infection prevention, and control requirements. Kitchen and laundry audits were completed, which evidenced compliance and are reviewed by the IPCC. The IPCC provides support to maintain a safe environment during construction, renovation and maintenance activities.</w:t>
            </w:r>
          </w:p>
          <w:p w14:paraId="2DC99309" w14:textId="77777777" w:rsidR="00000000" w:rsidRPr="00BE00C7" w:rsidRDefault="00000000" w:rsidP="00BE00C7">
            <w:pPr>
              <w:pStyle w:val="OutcomeDescription"/>
              <w:spacing w:before="120" w:after="120"/>
              <w:rPr>
                <w:rFonts w:cs="Arial"/>
                <w:lang w:eastAsia="en-NZ"/>
              </w:rPr>
            </w:pPr>
          </w:p>
        </w:tc>
      </w:tr>
      <w:tr w:rsidR="00D2208B" w14:paraId="488535F9" w14:textId="77777777">
        <w:tc>
          <w:tcPr>
            <w:tcW w:w="0" w:type="auto"/>
          </w:tcPr>
          <w:p w14:paraId="7C88967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F0227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0AE8D22" w14:textId="77777777" w:rsidR="00000000" w:rsidRPr="00BE00C7" w:rsidRDefault="00000000" w:rsidP="00BE00C7">
            <w:pPr>
              <w:pStyle w:val="OutcomeDescription"/>
              <w:spacing w:before="120" w:after="120"/>
              <w:rPr>
                <w:rFonts w:cs="Arial"/>
                <w:lang w:eastAsia="en-NZ"/>
              </w:rPr>
            </w:pPr>
          </w:p>
        </w:tc>
        <w:tc>
          <w:tcPr>
            <w:tcW w:w="0" w:type="auto"/>
          </w:tcPr>
          <w:p w14:paraId="33692E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31E2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the use of restraint. The restraint policy confirms that restraint consideration and application must be done in partnership with residents, families/whānau, and the choice of device must be the least restrictive possible. If restraint is considered, the facility would work in partnership with the resident and family/whānau to ensure services are mana-enhancing. </w:t>
            </w:r>
          </w:p>
          <w:p w14:paraId="45C714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designated restraint coordinator is the facility manager. There are currently no restraints.</w:t>
            </w:r>
          </w:p>
          <w:p w14:paraId="015F15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use of restraint is reviewed monthly by the restraint coordinator and reported at staff meetings. The restraint coordinator interviewed described the focus on having a restraint-free environment. Restraint minimisation is included as part of the mandatory training plan and orientation programme. Staff complete competencies at orientation and annually. Education includes de-escalation and challenging behaviour.</w:t>
            </w:r>
          </w:p>
          <w:p w14:paraId="37B8D30C" w14:textId="77777777" w:rsidR="00000000" w:rsidRPr="00BE00C7" w:rsidRDefault="00000000" w:rsidP="00BE00C7">
            <w:pPr>
              <w:pStyle w:val="OutcomeDescription"/>
              <w:spacing w:before="120" w:after="120"/>
              <w:rPr>
                <w:rFonts w:cs="Arial"/>
                <w:lang w:eastAsia="en-NZ"/>
              </w:rPr>
            </w:pPr>
          </w:p>
        </w:tc>
      </w:tr>
    </w:tbl>
    <w:p w14:paraId="397462C1"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0FD6306" w14:textId="77777777" w:rsidR="00000000" w:rsidRDefault="00000000">
      <w:pPr>
        <w:pStyle w:val="Heading1"/>
        <w:rPr>
          <w:rFonts w:cs="Arial"/>
        </w:rPr>
      </w:pPr>
      <w:r>
        <w:rPr>
          <w:rFonts w:cs="Arial"/>
        </w:rPr>
        <w:lastRenderedPageBreak/>
        <w:t>Specific results for criterion where corrective actions are required</w:t>
      </w:r>
    </w:p>
    <w:p w14:paraId="53CCC00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0EEFCF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B6B93A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2208B" w14:paraId="5EA090EE" w14:textId="77777777">
        <w:tc>
          <w:tcPr>
            <w:tcW w:w="0" w:type="auto"/>
          </w:tcPr>
          <w:p w14:paraId="090D4F1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0E4D74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6245A78" w14:textId="77777777" w:rsidR="00000000" w:rsidRDefault="00000000">
      <w:pPr>
        <w:pStyle w:val="Heading1"/>
        <w:rPr>
          <w:rFonts w:cs="Arial"/>
        </w:rPr>
      </w:pPr>
      <w:r>
        <w:rPr>
          <w:rFonts w:cs="Arial"/>
        </w:rPr>
        <w:lastRenderedPageBreak/>
        <w:t>Specific results for criterion where a continuous improvement has been recorded</w:t>
      </w:r>
    </w:p>
    <w:p w14:paraId="6BAFA1F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BE5114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DD5234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2208B" w14:paraId="537C1409" w14:textId="77777777">
        <w:tc>
          <w:tcPr>
            <w:tcW w:w="0" w:type="auto"/>
          </w:tcPr>
          <w:p w14:paraId="64B6CA4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A19873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065430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0310F" w14:textId="77777777" w:rsidR="00F419EA" w:rsidRDefault="00F419EA">
      <w:r>
        <w:separator/>
      </w:r>
    </w:p>
  </w:endnote>
  <w:endnote w:type="continuationSeparator" w:id="0">
    <w:p w14:paraId="3F15E668" w14:textId="77777777" w:rsidR="00F419EA" w:rsidRDefault="00F4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BD14" w14:textId="77777777" w:rsidR="00000000" w:rsidRDefault="00000000">
    <w:pPr>
      <w:pStyle w:val="Footer"/>
    </w:pPr>
  </w:p>
  <w:p w14:paraId="1CD5A386" w14:textId="77777777" w:rsidR="00000000" w:rsidRDefault="00000000"/>
  <w:p w14:paraId="4AEF1DC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988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J A Crossley Holdings Limited - Crossley Court Holiday and Retirement Home &amp; Orewa Beach Home</w:t>
    </w:r>
    <w:bookmarkEnd w:id="59"/>
    <w:r>
      <w:rPr>
        <w:rFonts w:cs="Arial"/>
        <w:sz w:val="16"/>
        <w:szCs w:val="20"/>
      </w:rPr>
      <w:tab/>
      <w:t xml:space="preserve">Date of Audit: </w:t>
    </w:r>
    <w:bookmarkStart w:id="60" w:name="AuditStartDate1"/>
    <w:r>
      <w:rPr>
        <w:rFonts w:cs="Arial"/>
        <w:sz w:val="16"/>
        <w:szCs w:val="20"/>
      </w:rPr>
      <w:t>24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7139A4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735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993CD" w14:textId="77777777" w:rsidR="00F419EA" w:rsidRDefault="00F419EA">
      <w:r>
        <w:separator/>
      </w:r>
    </w:p>
  </w:footnote>
  <w:footnote w:type="continuationSeparator" w:id="0">
    <w:p w14:paraId="485193A0" w14:textId="77777777" w:rsidR="00F419EA" w:rsidRDefault="00F41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79A5" w14:textId="77777777" w:rsidR="00000000" w:rsidRDefault="00000000">
    <w:pPr>
      <w:pStyle w:val="Header"/>
    </w:pPr>
  </w:p>
  <w:p w14:paraId="491B699C"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8763" w14:textId="77777777" w:rsidR="00000000" w:rsidRDefault="00000000">
    <w:pPr>
      <w:pStyle w:val="Header"/>
    </w:pPr>
  </w:p>
  <w:p w14:paraId="0768D32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351B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462A8D4">
      <w:start w:val="1"/>
      <w:numFmt w:val="decimal"/>
      <w:lvlText w:val="%1."/>
      <w:lvlJc w:val="left"/>
      <w:pPr>
        <w:ind w:left="360" w:hanging="360"/>
      </w:pPr>
    </w:lvl>
    <w:lvl w:ilvl="1" w:tplc="491050A6" w:tentative="1">
      <w:start w:val="1"/>
      <w:numFmt w:val="lowerLetter"/>
      <w:lvlText w:val="%2."/>
      <w:lvlJc w:val="left"/>
      <w:pPr>
        <w:ind w:left="1080" w:hanging="360"/>
      </w:pPr>
    </w:lvl>
    <w:lvl w:ilvl="2" w:tplc="4928D660" w:tentative="1">
      <w:start w:val="1"/>
      <w:numFmt w:val="lowerRoman"/>
      <w:lvlText w:val="%3."/>
      <w:lvlJc w:val="right"/>
      <w:pPr>
        <w:ind w:left="1800" w:hanging="180"/>
      </w:pPr>
    </w:lvl>
    <w:lvl w:ilvl="3" w:tplc="B606B9D8" w:tentative="1">
      <w:start w:val="1"/>
      <w:numFmt w:val="decimal"/>
      <w:lvlText w:val="%4."/>
      <w:lvlJc w:val="left"/>
      <w:pPr>
        <w:ind w:left="2520" w:hanging="360"/>
      </w:pPr>
    </w:lvl>
    <w:lvl w:ilvl="4" w:tplc="3F4A62DC" w:tentative="1">
      <w:start w:val="1"/>
      <w:numFmt w:val="lowerLetter"/>
      <w:lvlText w:val="%5."/>
      <w:lvlJc w:val="left"/>
      <w:pPr>
        <w:ind w:left="3240" w:hanging="360"/>
      </w:pPr>
    </w:lvl>
    <w:lvl w:ilvl="5" w:tplc="F1E6ACE8" w:tentative="1">
      <w:start w:val="1"/>
      <w:numFmt w:val="lowerRoman"/>
      <w:lvlText w:val="%6."/>
      <w:lvlJc w:val="right"/>
      <w:pPr>
        <w:ind w:left="3960" w:hanging="180"/>
      </w:pPr>
    </w:lvl>
    <w:lvl w:ilvl="6" w:tplc="B644F59C" w:tentative="1">
      <w:start w:val="1"/>
      <w:numFmt w:val="decimal"/>
      <w:lvlText w:val="%7."/>
      <w:lvlJc w:val="left"/>
      <w:pPr>
        <w:ind w:left="4680" w:hanging="360"/>
      </w:pPr>
    </w:lvl>
    <w:lvl w:ilvl="7" w:tplc="0038E688" w:tentative="1">
      <w:start w:val="1"/>
      <w:numFmt w:val="lowerLetter"/>
      <w:lvlText w:val="%8."/>
      <w:lvlJc w:val="left"/>
      <w:pPr>
        <w:ind w:left="5400" w:hanging="360"/>
      </w:pPr>
    </w:lvl>
    <w:lvl w:ilvl="8" w:tplc="9DF43DD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EB2AF0C">
      <w:start w:val="1"/>
      <w:numFmt w:val="bullet"/>
      <w:lvlText w:val=""/>
      <w:lvlJc w:val="left"/>
      <w:pPr>
        <w:ind w:left="720" w:hanging="360"/>
      </w:pPr>
      <w:rPr>
        <w:rFonts w:ascii="Symbol" w:hAnsi="Symbol" w:hint="default"/>
      </w:rPr>
    </w:lvl>
    <w:lvl w:ilvl="1" w:tplc="D4960466" w:tentative="1">
      <w:start w:val="1"/>
      <w:numFmt w:val="bullet"/>
      <w:lvlText w:val="o"/>
      <w:lvlJc w:val="left"/>
      <w:pPr>
        <w:ind w:left="1440" w:hanging="360"/>
      </w:pPr>
      <w:rPr>
        <w:rFonts w:ascii="Courier New" w:hAnsi="Courier New" w:cs="Courier New" w:hint="default"/>
      </w:rPr>
    </w:lvl>
    <w:lvl w:ilvl="2" w:tplc="1B7603AC" w:tentative="1">
      <w:start w:val="1"/>
      <w:numFmt w:val="bullet"/>
      <w:lvlText w:val=""/>
      <w:lvlJc w:val="left"/>
      <w:pPr>
        <w:ind w:left="2160" w:hanging="360"/>
      </w:pPr>
      <w:rPr>
        <w:rFonts w:ascii="Wingdings" w:hAnsi="Wingdings" w:hint="default"/>
      </w:rPr>
    </w:lvl>
    <w:lvl w:ilvl="3" w:tplc="59660640" w:tentative="1">
      <w:start w:val="1"/>
      <w:numFmt w:val="bullet"/>
      <w:lvlText w:val=""/>
      <w:lvlJc w:val="left"/>
      <w:pPr>
        <w:ind w:left="2880" w:hanging="360"/>
      </w:pPr>
      <w:rPr>
        <w:rFonts w:ascii="Symbol" w:hAnsi="Symbol" w:hint="default"/>
      </w:rPr>
    </w:lvl>
    <w:lvl w:ilvl="4" w:tplc="3DD813DE" w:tentative="1">
      <w:start w:val="1"/>
      <w:numFmt w:val="bullet"/>
      <w:lvlText w:val="o"/>
      <w:lvlJc w:val="left"/>
      <w:pPr>
        <w:ind w:left="3600" w:hanging="360"/>
      </w:pPr>
      <w:rPr>
        <w:rFonts w:ascii="Courier New" w:hAnsi="Courier New" w:cs="Courier New" w:hint="default"/>
      </w:rPr>
    </w:lvl>
    <w:lvl w:ilvl="5" w:tplc="AC920A12" w:tentative="1">
      <w:start w:val="1"/>
      <w:numFmt w:val="bullet"/>
      <w:lvlText w:val=""/>
      <w:lvlJc w:val="left"/>
      <w:pPr>
        <w:ind w:left="4320" w:hanging="360"/>
      </w:pPr>
      <w:rPr>
        <w:rFonts w:ascii="Wingdings" w:hAnsi="Wingdings" w:hint="default"/>
      </w:rPr>
    </w:lvl>
    <w:lvl w:ilvl="6" w:tplc="C0BED450" w:tentative="1">
      <w:start w:val="1"/>
      <w:numFmt w:val="bullet"/>
      <w:lvlText w:val=""/>
      <w:lvlJc w:val="left"/>
      <w:pPr>
        <w:ind w:left="5040" w:hanging="360"/>
      </w:pPr>
      <w:rPr>
        <w:rFonts w:ascii="Symbol" w:hAnsi="Symbol" w:hint="default"/>
      </w:rPr>
    </w:lvl>
    <w:lvl w:ilvl="7" w:tplc="92C29C4C" w:tentative="1">
      <w:start w:val="1"/>
      <w:numFmt w:val="bullet"/>
      <w:lvlText w:val="o"/>
      <w:lvlJc w:val="left"/>
      <w:pPr>
        <w:ind w:left="5760" w:hanging="360"/>
      </w:pPr>
      <w:rPr>
        <w:rFonts w:ascii="Courier New" w:hAnsi="Courier New" w:cs="Courier New" w:hint="default"/>
      </w:rPr>
    </w:lvl>
    <w:lvl w:ilvl="8" w:tplc="B994D384" w:tentative="1">
      <w:start w:val="1"/>
      <w:numFmt w:val="bullet"/>
      <w:lvlText w:val=""/>
      <w:lvlJc w:val="left"/>
      <w:pPr>
        <w:ind w:left="6480" w:hanging="360"/>
      </w:pPr>
      <w:rPr>
        <w:rFonts w:ascii="Wingdings" w:hAnsi="Wingdings" w:hint="default"/>
      </w:rPr>
    </w:lvl>
  </w:abstractNum>
  <w:num w:numId="1" w16cid:durableId="1316377760">
    <w:abstractNumId w:val="1"/>
  </w:num>
  <w:num w:numId="2" w16cid:durableId="40954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8B"/>
    <w:rsid w:val="003D5887"/>
    <w:rsid w:val="00D2208B"/>
    <w:rsid w:val="00F419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4B08"/>
  <w15:docId w15:val="{AB3AAA94-B7AA-4A67-818A-6A468619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12417</Words>
  <Characters>70782</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2025-08-05T02:17:00Z</dcterms:created>
  <dcterms:modified xsi:type="dcterms:W3CDTF">2025-08-05T02:17:00Z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