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A87F" w14:textId="77777777" w:rsidR="00000000" w:rsidRDefault="00000000">
      <w:pPr>
        <w:pStyle w:val="Heading1"/>
        <w:rPr>
          <w:rFonts w:cs="Arial"/>
        </w:rPr>
      </w:pPr>
      <w:bookmarkStart w:id="0" w:name="PRMS_RIName"/>
      <w:r>
        <w:rPr>
          <w:rFonts w:cs="Arial"/>
        </w:rPr>
        <w:t>Keith Park Retirement Village Limited - Keith Park Retirement Village</w:t>
      </w:r>
      <w:bookmarkEnd w:id="0"/>
    </w:p>
    <w:p w14:paraId="1879D6F2" w14:textId="77777777" w:rsidR="00000000" w:rsidRDefault="00000000">
      <w:pPr>
        <w:pStyle w:val="Heading2"/>
        <w:spacing w:after="0"/>
        <w:rPr>
          <w:rFonts w:cs="Arial"/>
        </w:rPr>
      </w:pPr>
      <w:r>
        <w:rPr>
          <w:rFonts w:cs="Arial"/>
        </w:rPr>
        <w:t>Introduction</w:t>
      </w:r>
    </w:p>
    <w:p w14:paraId="1537CE5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8F3C3F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AB089F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AA3A1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A82C737" w14:textId="77777777" w:rsidR="00000000" w:rsidRDefault="00000000">
      <w:pPr>
        <w:spacing w:before="240" w:after="240"/>
        <w:rPr>
          <w:rFonts w:cs="Arial"/>
          <w:lang w:eastAsia="en-NZ"/>
        </w:rPr>
      </w:pPr>
      <w:r>
        <w:rPr>
          <w:rFonts w:cs="Arial"/>
          <w:lang w:eastAsia="en-NZ"/>
        </w:rPr>
        <w:t>The specifics of this audit included:</w:t>
      </w:r>
    </w:p>
    <w:p w14:paraId="46215A6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896F27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Keith Park Retirement Village Limited</w:t>
      </w:r>
      <w:bookmarkEnd w:id="4"/>
    </w:p>
    <w:p w14:paraId="21DFDA0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Keith Park Retirement Village</w:t>
      </w:r>
      <w:bookmarkEnd w:id="5"/>
    </w:p>
    <w:p w14:paraId="23BB22F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D3A40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June 2025</w:t>
      </w:r>
      <w:bookmarkEnd w:id="7"/>
      <w:r w:rsidRPr="009418D4">
        <w:rPr>
          <w:rFonts w:cs="Arial"/>
        </w:rPr>
        <w:tab/>
        <w:t xml:space="preserve">End date: </w:t>
      </w:r>
      <w:bookmarkStart w:id="8" w:name="AuditEndDate"/>
      <w:r>
        <w:rPr>
          <w:rFonts w:cs="Arial"/>
        </w:rPr>
        <w:t>11 June 2025</w:t>
      </w:r>
      <w:bookmarkEnd w:id="8"/>
    </w:p>
    <w:p w14:paraId="1ED563E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663D73" w14:textId="77777777" w:rsidR="00DA0DC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84</w:t>
      </w:r>
      <w:bookmarkEnd w:id="10"/>
    </w:p>
    <w:p w14:paraId="1C506F3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4C89123" w14:textId="77777777" w:rsidR="00000000" w:rsidRDefault="00000000">
      <w:pPr>
        <w:pStyle w:val="Heading1"/>
        <w:rPr>
          <w:rFonts w:cs="Arial"/>
        </w:rPr>
      </w:pPr>
      <w:r>
        <w:rPr>
          <w:rFonts w:cs="Arial"/>
        </w:rPr>
        <w:lastRenderedPageBreak/>
        <w:t>Executive summary of the audit</w:t>
      </w:r>
    </w:p>
    <w:p w14:paraId="2D74CFF8" w14:textId="77777777" w:rsidR="00000000" w:rsidRDefault="00000000">
      <w:pPr>
        <w:pStyle w:val="Heading2"/>
        <w:rPr>
          <w:rFonts w:cs="Arial"/>
        </w:rPr>
      </w:pPr>
      <w:r>
        <w:rPr>
          <w:rFonts w:cs="Arial"/>
        </w:rPr>
        <w:t>Introduction</w:t>
      </w:r>
    </w:p>
    <w:p w14:paraId="755B384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78AFE2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45938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3AA9E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795757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BC8089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3FE185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5F998A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361211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A0DCD" w14:paraId="4DEF9247" w14:textId="77777777">
        <w:trPr>
          <w:cantSplit/>
          <w:tblHeader/>
        </w:trPr>
        <w:tc>
          <w:tcPr>
            <w:tcW w:w="1260" w:type="dxa"/>
            <w:tcBorders>
              <w:bottom w:val="single" w:sz="4" w:space="0" w:color="000000"/>
            </w:tcBorders>
            <w:vAlign w:val="center"/>
          </w:tcPr>
          <w:p w14:paraId="703F6FE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CB5F1F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B10C8AD" w14:textId="77777777" w:rsidR="00000000" w:rsidRDefault="00000000">
            <w:pPr>
              <w:spacing w:before="60" w:after="60"/>
              <w:rPr>
                <w:rFonts w:eastAsia="Calibri"/>
                <w:b/>
                <w:szCs w:val="24"/>
              </w:rPr>
            </w:pPr>
            <w:r>
              <w:rPr>
                <w:rFonts w:eastAsia="Calibri"/>
                <w:b/>
                <w:szCs w:val="24"/>
              </w:rPr>
              <w:t>Definition</w:t>
            </w:r>
          </w:p>
        </w:tc>
      </w:tr>
      <w:tr w:rsidR="00DA0DCD" w14:paraId="176478E2" w14:textId="77777777">
        <w:trPr>
          <w:cantSplit/>
          <w:trHeight w:val="964"/>
        </w:trPr>
        <w:tc>
          <w:tcPr>
            <w:tcW w:w="1260" w:type="dxa"/>
            <w:tcBorders>
              <w:bottom w:val="single" w:sz="4" w:space="0" w:color="000000"/>
            </w:tcBorders>
            <w:shd w:val="clear" w:color="0066FF" w:fill="0000FF"/>
            <w:vAlign w:val="center"/>
          </w:tcPr>
          <w:p w14:paraId="7ACB8A5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869ED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089894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A0DCD" w14:paraId="241EFA1C" w14:textId="77777777">
        <w:trPr>
          <w:cantSplit/>
          <w:trHeight w:val="964"/>
        </w:trPr>
        <w:tc>
          <w:tcPr>
            <w:tcW w:w="1260" w:type="dxa"/>
            <w:shd w:val="clear" w:color="33CC33" w:fill="00FF00"/>
            <w:vAlign w:val="center"/>
          </w:tcPr>
          <w:p w14:paraId="047E34E5" w14:textId="77777777" w:rsidR="00000000" w:rsidRDefault="00000000">
            <w:pPr>
              <w:spacing w:before="60" w:after="60"/>
              <w:rPr>
                <w:rFonts w:eastAsia="Calibri"/>
                <w:szCs w:val="24"/>
              </w:rPr>
            </w:pPr>
          </w:p>
        </w:tc>
        <w:tc>
          <w:tcPr>
            <w:tcW w:w="7095" w:type="dxa"/>
            <w:shd w:val="clear" w:color="auto" w:fill="auto"/>
            <w:vAlign w:val="center"/>
          </w:tcPr>
          <w:p w14:paraId="78BFF0E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89EB9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A0DCD" w14:paraId="6EA99223" w14:textId="77777777">
        <w:trPr>
          <w:cantSplit/>
          <w:trHeight w:val="964"/>
        </w:trPr>
        <w:tc>
          <w:tcPr>
            <w:tcW w:w="1260" w:type="dxa"/>
            <w:tcBorders>
              <w:bottom w:val="single" w:sz="4" w:space="0" w:color="000000"/>
            </w:tcBorders>
            <w:shd w:val="clear" w:color="auto" w:fill="FFFF00"/>
            <w:vAlign w:val="center"/>
          </w:tcPr>
          <w:p w14:paraId="536DD551" w14:textId="77777777" w:rsidR="00000000" w:rsidRDefault="00000000">
            <w:pPr>
              <w:spacing w:before="60" w:after="60"/>
              <w:rPr>
                <w:rFonts w:eastAsia="Calibri"/>
                <w:szCs w:val="24"/>
              </w:rPr>
            </w:pPr>
          </w:p>
        </w:tc>
        <w:tc>
          <w:tcPr>
            <w:tcW w:w="7095" w:type="dxa"/>
            <w:shd w:val="clear" w:color="auto" w:fill="auto"/>
            <w:vAlign w:val="center"/>
          </w:tcPr>
          <w:p w14:paraId="379D79C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F5518E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A0DCD" w14:paraId="01253F56" w14:textId="77777777">
        <w:trPr>
          <w:cantSplit/>
          <w:trHeight w:val="964"/>
        </w:trPr>
        <w:tc>
          <w:tcPr>
            <w:tcW w:w="1260" w:type="dxa"/>
            <w:tcBorders>
              <w:bottom w:val="single" w:sz="4" w:space="0" w:color="000000"/>
            </w:tcBorders>
            <w:shd w:val="clear" w:color="auto" w:fill="FFC800"/>
            <w:vAlign w:val="center"/>
          </w:tcPr>
          <w:p w14:paraId="7A582D5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3D060B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C1AF49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A0DCD" w14:paraId="18DA5931" w14:textId="77777777">
        <w:trPr>
          <w:cantSplit/>
          <w:trHeight w:val="964"/>
        </w:trPr>
        <w:tc>
          <w:tcPr>
            <w:tcW w:w="1260" w:type="dxa"/>
            <w:shd w:val="clear" w:color="auto" w:fill="FF0000"/>
            <w:vAlign w:val="center"/>
          </w:tcPr>
          <w:p w14:paraId="0CFB85DC" w14:textId="77777777" w:rsidR="00000000" w:rsidRDefault="00000000">
            <w:pPr>
              <w:spacing w:before="60" w:after="60"/>
              <w:rPr>
                <w:rFonts w:eastAsia="Calibri"/>
                <w:szCs w:val="24"/>
              </w:rPr>
            </w:pPr>
          </w:p>
        </w:tc>
        <w:tc>
          <w:tcPr>
            <w:tcW w:w="7095" w:type="dxa"/>
            <w:shd w:val="clear" w:color="auto" w:fill="auto"/>
            <w:vAlign w:val="center"/>
          </w:tcPr>
          <w:p w14:paraId="284B049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0FB042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B9C7DE0" w14:textId="77777777" w:rsidR="00000000" w:rsidRDefault="00000000">
      <w:pPr>
        <w:pStyle w:val="Heading2"/>
        <w:spacing w:after="0"/>
        <w:rPr>
          <w:rFonts w:cs="Arial"/>
        </w:rPr>
      </w:pPr>
      <w:r>
        <w:rPr>
          <w:rFonts w:cs="Arial"/>
        </w:rPr>
        <w:t>General overview of the audit</w:t>
      </w:r>
    </w:p>
    <w:p w14:paraId="0D95C262" w14:textId="77777777" w:rsidR="00000000" w:rsidRDefault="00000000">
      <w:pPr>
        <w:spacing w:before="240" w:line="276" w:lineRule="auto"/>
        <w:rPr>
          <w:rFonts w:eastAsia="Calibri"/>
        </w:rPr>
      </w:pPr>
      <w:bookmarkStart w:id="13" w:name="GeneralOverview"/>
      <w:r w:rsidRPr="00A4268A">
        <w:rPr>
          <w:rFonts w:eastAsia="Calibri"/>
        </w:rPr>
        <w:t xml:space="preserve">Keith Park Retirement Village is part of Ryman Healthcare Limited and provides dual purpose beds of rest home, hospital (geriatric and medical); and dementia levels of care for up to 120 residents in the care centre, and up to 30 residents requiring rest home level of care in the serviced apartments (a total of 150 beds for certification). On the days of the audit, there were 84 residents, including one resident receiving rest home level of care in the serviced apartments.  </w:t>
      </w:r>
    </w:p>
    <w:p w14:paraId="454EF26F" w14:textId="77777777" w:rsidR="00DA0DCD"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00B75515" w14:textId="77777777" w:rsidR="00DA0DCD"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a resident services manager, and a team of experienced staff in their different respective roles. There are various groups in the Ryman support office who provide oversight and support to village managers, including a general manager, a regional clinical support manager, and a regional operations manager. </w:t>
      </w:r>
    </w:p>
    <w:p w14:paraId="1447C86B" w14:textId="77777777" w:rsidR="00DA0DCD"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0E076C8" w14:textId="77777777" w:rsidR="00DA0DCD" w:rsidRPr="00A4268A" w:rsidRDefault="00000000">
      <w:pPr>
        <w:spacing w:before="240" w:line="276" w:lineRule="auto"/>
        <w:rPr>
          <w:rFonts w:eastAsia="Calibri"/>
        </w:rPr>
      </w:pPr>
      <w:r w:rsidRPr="00A4268A">
        <w:rPr>
          <w:rFonts w:eastAsia="Calibri"/>
        </w:rPr>
        <w:t xml:space="preserve">There were no shortfalls identified at this certification audit.  </w:t>
      </w:r>
    </w:p>
    <w:bookmarkEnd w:id="13"/>
    <w:p w14:paraId="5E39A7B1" w14:textId="77777777" w:rsidR="00DA0DCD" w:rsidRPr="00A4268A" w:rsidRDefault="00DA0DCD">
      <w:pPr>
        <w:spacing w:before="240" w:line="276" w:lineRule="auto"/>
        <w:rPr>
          <w:rFonts w:eastAsia="Calibri"/>
        </w:rPr>
      </w:pPr>
    </w:p>
    <w:p w14:paraId="64E3090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0DCD" w14:paraId="18681814" w14:textId="77777777" w:rsidTr="00A4268A">
        <w:trPr>
          <w:cantSplit/>
        </w:trPr>
        <w:tc>
          <w:tcPr>
            <w:tcW w:w="10206" w:type="dxa"/>
            <w:vAlign w:val="center"/>
          </w:tcPr>
          <w:p w14:paraId="74DD497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858863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720DA8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26CF10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C706C03" w14:textId="77777777" w:rsidR="00000000" w:rsidRDefault="00000000">
      <w:pPr>
        <w:spacing w:before="240" w:line="276" w:lineRule="auto"/>
        <w:rPr>
          <w:rFonts w:eastAsia="Calibri"/>
        </w:rPr>
      </w:pPr>
      <w:bookmarkStart w:id="16" w:name="ConsumerRights"/>
      <w:r w:rsidRPr="00A4268A">
        <w:rPr>
          <w:rFonts w:eastAsia="Calibri"/>
        </w:rPr>
        <w:t xml:space="preserve">Keith Park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Residents receive services in a manner that considers their dignity, privacy, and independence. The service provides services and support to people in a way that is inclusive and respects their identity and their experiences. </w:t>
      </w:r>
    </w:p>
    <w:p w14:paraId="2FECAA80" w14:textId="77777777" w:rsidR="00DA0DCD" w:rsidRPr="00A4268A" w:rsidRDefault="00000000">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2555AA46" w14:textId="77777777" w:rsidR="00DA0DCD" w:rsidRPr="00A4268A" w:rsidRDefault="00DA0DCD">
      <w:pPr>
        <w:spacing w:before="240" w:line="276" w:lineRule="auto"/>
        <w:rPr>
          <w:rFonts w:eastAsia="Calibri"/>
        </w:rPr>
      </w:pPr>
    </w:p>
    <w:p w14:paraId="6271F4A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0DCD" w14:paraId="018A4FAC" w14:textId="77777777" w:rsidTr="00A4268A">
        <w:trPr>
          <w:cantSplit/>
        </w:trPr>
        <w:tc>
          <w:tcPr>
            <w:tcW w:w="10206" w:type="dxa"/>
            <w:vAlign w:val="center"/>
          </w:tcPr>
          <w:p w14:paraId="48C29C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D0D108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3F6ECC"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21F1882"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operational objectives </w:t>
      </w:r>
      <w:r w:rsidRPr="00A4268A">
        <w:rPr>
          <w:rFonts w:eastAsia="Calibri"/>
        </w:rPr>
        <w:lastRenderedPageBreak/>
        <w:t xml:space="preserve">which are reviewed on a regular basis. Keith Park Retirement Village has an established quality and risk management system that is directed by Ryman Christchurch. Quality and risk performance is reported across the various facility meetings and to the organisation's management team. Keith Park Retirement Village provides clinical indicator data for the three service types being provided. There are human resources policies including recruitment, selection, orientation, and staff training and development. The service has an induction programme in place that provides new staff with relevant information for safe work practice. </w:t>
      </w:r>
    </w:p>
    <w:p w14:paraId="6DFBEE58" w14:textId="77777777" w:rsidR="00DA0DCD" w:rsidRPr="00A4268A" w:rsidRDefault="00000000">
      <w:pPr>
        <w:spacing w:before="240" w:line="276" w:lineRule="auto"/>
        <w:rPr>
          <w:rFonts w:eastAsia="Calibri"/>
        </w:rPr>
      </w:pPr>
      <w:r w:rsidRPr="00A4268A">
        <w:rPr>
          <w:rFonts w:eastAsia="Calibri"/>
        </w:rPr>
        <w:t>There is an in-service education/training programme covering relevant aspects of care and support and external training is supported. The organisational staffing policy aligns with contractual requirements and includes skill mixes. Residents and families/whānau reported staffing levels are adequate to meet the needs of the residents. The service ensures the collection, storage, and use of personal and health information of residents is secure, accessible, and confidential.</w:t>
      </w:r>
    </w:p>
    <w:bookmarkEnd w:id="19"/>
    <w:p w14:paraId="74F3975F" w14:textId="77777777" w:rsidR="00DA0DCD" w:rsidRPr="00A4268A" w:rsidRDefault="00DA0DCD">
      <w:pPr>
        <w:spacing w:before="240" w:line="276" w:lineRule="auto"/>
        <w:rPr>
          <w:rFonts w:eastAsia="Calibri"/>
        </w:rPr>
      </w:pPr>
    </w:p>
    <w:p w14:paraId="4003013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0DCD" w14:paraId="5A9539AE" w14:textId="77777777" w:rsidTr="00A4268A">
        <w:trPr>
          <w:cantSplit/>
        </w:trPr>
        <w:tc>
          <w:tcPr>
            <w:tcW w:w="10206" w:type="dxa"/>
            <w:vAlign w:val="center"/>
          </w:tcPr>
          <w:p w14:paraId="4E53400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ACC0F3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171173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9D29CB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were individualised and based on the residents’ assessed needs. Interventions were appropriate and evaluated.</w:t>
      </w:r>
    </w:p>
    <w:p w14:paraId="0FD38794" w14:textId="77777777" w:rsidR="00DA0DCD" w:rsidRPr="00A4268A" w:rsidRDefault="00000000" w:rsidP="00621629">
      <w:pPr>
        <w:spacing w:before="240" w:line="276" w:lineRule="auto"/>
        <w:rPr>
          <w:rFonts w:eastAsia="Calibri"/>
        </w:rPr>
      </w:pPr>
      <w:r w:rsidRPr="00A4268A">
        <w:rPr>
          <w:rFonts w:eastAsia="Calibri"/>
        </w:rPr>
        <w:t xml:space="preserve">Activities are planned to address the needs and interests of the residents as individuals and in group settings. Activity plans are completed in consultation with family/whānau, residents, and staff. Activities developed cover a twenty-four-hour period for residents in the special care unit.  Residents and family/whānau expressed satisfaction with the activity programme in place. </w:t>
      </w:r>
    </w:p>
    <w:p w14:paraId="410503D8" w14:textId="77777777" w:rsidR="00DA0DCD" w:rsidRPr="00A4268A" w:rsidRDefault="00000000" w:rsidP="00621629">
      <w:pPr>
        <w:spacing w:before="240" w:line="276" w:lineRule="auto"/>
        <w:rPr>
          <w:rFonts w:eastAsia="Calibri"/>
        </w:rPr>
      </w:pPr>
      <w:r w:rsidRPr="00A4268A">
        <w:rPr>
          <w:rFonts w:eastAsia="Calibri"/>
        </w:rPr>
        <w:lastRenderedPageBreak/>
        <w:t>There is a medicine management system in place. The organisation uses an electronic system to prescribe and administer medications. The general practitioners are responsible for all medication reviews. Staff involved in medication administration are assessed as competent to do so.</w:t>
      </w:r>
    </w:p>
    <w:p w14:paraId="78714F74" w14:textId="77777777" w:rsidR="00DA0DCD"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2E021B1D" w14:textId="77777777" w:rsidR="00DA0DC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21D6F8AF" w14:textId="77777777" w:rsidR="00DA0DCD" w:rsidRPr="00A4268A" w:rsidRDefault="00DA0DCD" w:rsidP="00621629">
      <w:pPr>
        <w:spacing w:before="240" w:line="276" w:lineRule="auto"/>
        <w:rPr>
          <w:rFonts w:eastAsia="Calibri"/>
        </w:rPr>
      </w:pPr>
    </w:p>
    <w:p w14:paraId="4F0F208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0DCD" w14:paraId="175469BC" w14:textId="77777777" w:rsidTr="00A4268A">
        <w:trPr>
          <w:cantSplit/>
        </w:trPr>
        <w:tc>
          <w:tcPr>
            <w:tcW w:w="10206" w:type="dxa"/>
            <w:vAlign w:val="center"/>
          </w:tcPr>
          <w:p w14:paraId="126085E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BFEEAF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D88774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C6918B5" w14:textId="77777777" w:rsidR="00000000" w:rsidRDefault="00000000">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certificate of public use is in place. Clinical equipment has been tested as required. External areas are accessible and safe, provide shade and seating, and meet the needs of people with disabilities. The facility vehicle has a current registration and a warrant of fitness.</w:t>
      </w:r>
    </w:p>
    <w:p w14:paraId="06E58F34" w14:textId="77777777" w:rsidR="00DA0DCD" w:rsidRPr="00A4268A" w:rsidRDefault="00000000">
      <w:pPr>
        <w:spacing w:before="240" w:line="276" w:lineRule="auto"/>
        <w:rPr>
          <w:rFonts w:eastAsia="Calibri"/>
        </w:rPr>
      </w:pPr>
      <w:r w:rsidRPr="00A4268A">
        <w:rPr>
          <w:rFonts w:eastAsia="Calibri"/>
        </w:rPr>
        <w:t>Appropriate emergency equipment and supplies are available.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reported a timely staff response to call bells. Security is maintained.</w:t>
      </w:r>
    </w:p>
    <w:bookmarkEnd w:id="25"/>
    <w:p w14:paraId="2FB38141" w14:textId="77777777" w:rsidR="00DA0DCD" w:rsidRPr="00A4268A" w:rsidRDefault="00DA0DCD">
      <w:pPr>
        <w:spacing w:before="240" w:line="276" w:lineRule="auto"/>
        <w:rPr>
          <w:rFonts w:eastAsia="Calibri"/>
        </w:rPr>
      </w:pPr>
    </w:p>
    <w:p w14:paraId="1472596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0DCD" w14:paraId="2E507030" w14:textId="77777777" w:rsidTr="00A4268A">
        <w:trPr>
          <w:cantSplit/>
        </w:trPr>
        <w:tc>
          <w:tcPr>
            <w:tcW w:w="10206" w:type="dxa"/>
            <w:vAlign w:val="center"/>
          </w:tcPr>
          <w:p w14:paraId="01DCA68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EC4D6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C6308A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EECB787"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best practice guidelines.</w:t>
      </w:r>
    </w:p>
    <w:p w14:paraId="3A49AAEF" w14:textId="77777777" w:rsidR="00DA0DCD"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372F5416" w14:textId="77777777" w:rsidR="00DA0DCD" w:rsidRPr="00A4268A" w:rsidRDefault="00000000">
      <w:pPr>
        <w:spacing w:before="240" w:line="276" w:lineRule="auto"/>
        <w:rPr>
          <w:rFonts w:eastAsia="Calibri"/>
        </w:rPr>
      </w:pPr>
      <w:r w:rsidRPr="00A4268A">
        <w:rPr>
          <w:rFonts w:eastAsia="Calibri"/>
        </w:rPr>
        <w:t xml:space="preserve">The service has a robust pandemic and outbreak management plan in place. Pandemic and outbreak response procedures are included to ensure screening of residents and sufficient supply of protective equipment. The internal audit system monitors for a safe environment. Covid -19 and gastrointestinal outbreaks reported in 2024 were managed effectively. </w:t>
      </w:r>
    </w:p>
    <w:p w14:paraId="2DB9B1DA" w14:textId="77777777" w:rsidR="00DA0DCD"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47E8B436" w14:textId="77777777" w:rsidR="00DA0DCD" w:rsidRPr="00A4268A" w:rsidRDefault="00DA0DCD">
      <w:pPr>
        <w:spacing w:before="240" w:line="276" w:lineRule="auto"/>
        <w:rPr>
          <w:rFonts w:eastAsia="Calibri"/>
        </w:rPr>
      </w:pPr>
    </w:p>
    <w:p w14:paraId="4556686A"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0DCD" w14:paraId="6646FE92" w14:textId="77777777" w:rsidTr="00A4268A">
        <w:trPr>
          <w:cantSplit/>
        </w:trPr>
        <w:tc>
          <w:tcPr>
            <w:tcW w:w="10206" w:type="dxa"/>
            <w:vAlign w:val="center"/>
          </w:tcPr>
          <w:p w14:paraId="1EF07A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A96AD1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17A922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CA11DA6"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unit coordinator who is a registered nurse.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5BFB57BF" w14:textId="77777777" w:rsidR="00DA0DCD" w:rsidRPr="00A4268A" w:rsidRDefault="00DA0DCD">
      <w:pPr>
        <w:spacing w:before="240" w:line="276" w:lineRule="auto"/>
        <w:rPr>
          <w:rFonts w:eastAsia="Calibri"/>
        </w:rPr>
      </w:pPr>
    </w:p>
    <w:p w14:paraId="5462308C" w14:textId="77777777" w:rsidR="00000000" w:rsidRDefault="00000000" w:rsidP="000E6E02">
      <w:pPr>
        <w:pStyle w:val="Heading2"/>
        <w:spacing w:before="0"/>
        <w:rPr>
          <w:rFonts w:cs="Arial"/>
        </w:rPr>
      </w:pPr>
      <w:r>
        <w:rPr>
          <w:rFonts w:cs="Arial"/>
        </w:rPr>
        <w:t>Summary of attainment</w:t>
      </w:r>
    </w:p>
    <w:p w14:paraId="55ED55D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A0DCD" w14:paraId="2BE7FAD3" w14:textId="77777777">
        <w:tc>
          <w:tcPr>
            <w:tcW w:w="1384" w:type="dxa"/>
            <w:vAlign w:val="center"/>
          </w:tcPr>
          <w:p w14:paraId="0D039B1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615D61" w14:textId="77777777" w:rsidR="00000000" w:rsidRDefault="00000000">
            <w:pPr>
              <w:keepNext/>
              <w:spacing w:before="60" w:after="60"/>
              <w:jc w:val="center"/>
              <w:rPr>
                <w:rFonts w:cs="Arial"/>
                <w:b/>
                <w:sz w:val="20"/>
                <w:szCs w:val="20"/>
              </w:rPr>
            </w:pPr>
            <w:r>
              <w:rPr>
                <w:rFonts w:cs="Arial"/>
                <w:b/>
                <w:sz w:val="20"/>
                <w:szCs w:val="20"/>
              </w:rPr>
              <w:t>Continuous Improvement</w:t>
            </w:r>
          </w:p>
          <w:p w14:paraId="5848298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36E1155" w14:textId="77777777" w:rsidR="00000000" w:rsidRDefault="00000000">
            <w:pPr>
              <w:keepNext/>
              <w:spacing w:before="60" w:after="60"/>
              <w:jc w:val="center"/>
              <w:rPr>
                <w:rFonts w:cs="Arial"/>
                <w:b/>
                <w:sz w:val="20"/>
                <w:szCs w:val="20"/>
              </w:rPr>
            </w:pPr>
            <w:r>
              <w:rPr>
                <w:rFonts w:cs="Arial"/>
                <w:b/>
                <w:sz w:val="20"/>
                <w:szCs w:val="20"/>
              </w:rPr>
              <w:t>Fully Attained</w:t>
            </w:r>
          </w:p>
          <w:p w14:paraId="109BDC4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5F111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81FBC7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48E90B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C5210F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360FFA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B3CD80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838520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3AF5C9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980C1D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B99F210" w14:textId="77777777" w:rsidR="00000000" w:rsidRDefault="00000000">
            <w:pPr>
              <w:keepNext/>
              <w:spacing w:before="60" w:after="60"/>
              <w:jc w:val="center"/>
              <w:rPr>
                <w:rFonts w:cs="Arial"/>
                <w:b/>
                <w:sz w:val="20"/>
                <w:szCs w:val="20"/>
              </w:rPr>
            </w:pPr>
            <w:r>
              <w:rPr>
                <w:rFonts w:cs="Arial"/>
                <w:b/>
                <w:sz w:val="20"/>
                <w:szCs w:val="20"/>
              </w:rPr>
              <w:t>(PA Critical)</w:t>
            </w:r>
          </w:p>
        </w:tc>
      </w:tr>
      <w:tr w:rsidR="00DA0DCD" w14:paraId="22049E17" w14:textId="77777777">
        <w:tc>
          <w:tcPr>
            <w:tcW w:w="1384" w:type="dxa"/>
            <w:vAlign w:val="center"/>
          </w:tcPr>
          <w:p w14:paraId="7D8E2E2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28E065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95B52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352B36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B9D01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170A90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A10F42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773D6C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A0DCD" w14:paraId="2CD68B1B" w14:textId="77777777">
        <w:tc>
          <w:tcPr>
            <w:tcW w:w="1384" w:type="dxa"/>
            <w:vAlign w:val="center"/>
          </w:tcPr>
          <w:p w14:paraId="2631987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7B4063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05E7FA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453510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B5857F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33006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AA29A3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B0368C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DA3603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A0DCD" w14:paraId="7D407172" w14:textId="77777777">
        <w:tc>
          <w:tcPr>
            <w:tcW w:w="1384" w:type="dxa"/>
            <w:vAlign w:val="center"/>
          </w:tcPr>
          <w:p w14:paraId="3FAF6D9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0CB9A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B3B66E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0E6A174" w14:textId="77777777" w:rsidR="00000000" w:rsidRDefault="00000000">
            <w:pPr>
              <w:keepNext/>
              <w:spacing w:before="60" w:after="60"/>
              <w:jc w:val="center"/>
              <w:rPr>
                <w:rFonts w:cs="Arial"/>
                <w:b/>
                <w:sz w:val="20"/>
                <w:szCs w:val="20"/>
              </w:rPr>
            </w:pPr>
            <w:r>
              <w:rPr>
                <w:rFonts w:cs="Arial"/>
                <w:b/>
                <w:sz w:val="20"/>
                <w:szCs w:val="20"/>
              </w:rPr>
              <w:t>Unattained Low Risk</w:t>
            </w:r>
          </w:p>
          <w:p w14:paraId="4ACC9F3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7047358" w14:textId="77777777" w:rsidR="00000000" w:rsidRDefault="00000000">
            <w:pPr>
              <w:keepNext/>
              <w:spacing w:before="60" w:after="60"/>
              <w:jc w:val="center"/>
              <w:rPr>
                <w:rFonts w:cs="Arial"/>
                <w:b/>
                <w:sz w:val="20"/>
                <w:szCs w:val="20"/>
              </w:rPr>
            </w:pPr>
            <w:r>
              <w:rPr>
                <w:rFonts w:cs="Arial"/>
                <w:b/>
                <w:sz w:val="20"/>
                <w:szCs w:val="20"/>
              </w:rPr>
              <w:t>Unattained Moderate Risk</w:t>
            </w:r>
          </w:p>
          <w:p w14:paraId="70C9CE8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9062AC1" w14:textId="77777777" w:rsidR="00000000" w:rsidRDefault="00000000">
            <w:pPr>
              <w:keepNext/>
              <w:spacing w:before="60" w:after="60"/>
              <w:jc w:val="center"/>
              <w:rPr>
                <w:rFonts w:cs="Arial"/>
                <w:b/>
                <w:sz w:val="20"/>
                <w:szCs w:val="20"/>
              </w:rPr>
            </w:pPr>
            <w:r>
              <w:rPr>
                <w:rFonts w:cs="Arial"/>
                <w:b/>
                <w:sz w:val="20"/>
                <w:szCs w:val="20"/>
              </w:rPr>
              <w:t>Unattained High Risk</w:t>
            </w:r>
          </w:p>
          <w:p w14:paraId="4CA2E9A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0EBA190" w14:textId="77777777" w:rsidR="00000000" w:rsidRDefault="00000000">
            <w:pPr>
              <w:keepNext/>
              <w:spacing w:before="60" w:after="60"/>
              <w:jc w:val="center"/>
              <w:rPr>
                <w:rFonts w:cs="Arial"/>
                <w:b/>
                <w:sz w:val="20"/>
                <w:szCs w:val="20"/>
              </w:rPr>
            </w:pPr>
            <w:r>
              <w:rPr>
                <w:rFonts w:cs="Arial"/>
                <w:b/>
                <w:sz w:val="20"/>
                <w:szCs w:val="20"/>
              </w:rPr>
              <w:t>Unattained Critical Risk</w:t>
            </w:r>
          </w:p>
          <w:p w14:paraId="0AA1D3A1" w14:textId="77777777" w:rsidR="00000000" w:rsidRDefault="00000000">
            <w:pPr>
              <w:keepNext/>
              <w:spacing w:before="60" w:after="60"/>
              <w:jc w:val="center"/>
              <w:rPr>
                <w:rFonts w:cs="Arial"/>
                <w:b/>
                <w:sz w:val="20"/>
                <w:szCs w:val="20"/>
              </w:rPr>
            </w:pPr>
            <w:r>
              <w:rPr>
                <w:rFonts w:cs="Arial"/>
                <w:b/>
                <w:sz w:val="20"/>
                <w:szCs w:val="20"/>
              </w:rPr>
              <w:t>(UA Critical)</w:t>
            </w:r>
          </w:p>
        </w:tc>
      </w:tr>
      <w:tr w:rsidR="00DA0DCD" w14:paraId="0A95401B" w14:textId="77777777">
        <w:tc>
          <w:tcPr>
            <w:tcW w:w="1384" w:type="dxa"/>
            <w:vAlign w:val="center"/>
          </w:tcPr>
          <w:p w14:paraId="2C4D17D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497EBC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3CB08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A4DA56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CE4ED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B31E1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A0DCD" w14:paraId="51E83EF6" w14:textId="77777777">
        <w:tc>
          <w:tcPr>
            <w:tcW w:w="1384" w:type="dxa"/>
            <w:vAlign w:val="center"/>
          </w:tcPr>
          <w:p w14:paraId="1AC8FBB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B6C6B6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961076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A67364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9AB69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E5B5C1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C4391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CED3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082FC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C1D9A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DA0DCD" w14:paraId="690E66FB" w14:textId="77777777">
        <w:tc>
          <w:tcPr>
            <w:tcW w:w="0" w:type="auto"/>
          </w:tcPr>
          <w:p w14:paraId="66BC54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2092B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CBC9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A0DCD" w14:paraId="5B54973F" w14:textId="77777777">
        <w:tc>
          <w:tcPr>
            <w:tcW w:w="0" w:type="auto"/>
          </w:tcPr>
          <w:p w14:paraId="68919B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15C16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A9953D" w14:textId="77777777" w:rsidR="00000000" w:rsidRPr="00BE00C7" w:rsidRDefault="00000000" w:rsidP="00BE00C7">
            <w:pPr>
              <w:pStyle w:val="OutcomeDescription"/>
              <w:spacing w:before="120" w:after="120"/>
              <w:rPr>
                <w:rFonts w:cs="Arial"/>
                <w:lang w:eastAsia="en-NZ"/>
              </w:rPr>
            </w:pPr>
          </w:p>
        </w:tc>
        <w:tc>
          <w:tcPr>
            <w:tcW w:w="0" w:type="auto"/>
          </w:tcPr>
          <w:p w14:paraId="6ACF12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07EA24"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recognises the importance of tāngata whenua (and Māori cultural heritage) and the possibility of unspoken and unconscious fears that can occur in residents and their whānau. The Hauora Māori Plan Partnership and Te Tiriti o Waitangi policy is documented to guide practice and service provided to residents at Keith Park Retirement Village. The appointment of the Ryman Taha Māori navigator recognises the importance Ryman places on tikanga Māori and Te Tiriti partnership with mana whenua.</w:t>
            </w:r>
          </w:p>
          <w:p w14:paraId="3BAE3A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Māori, and there are staff employed who identify as Māori, for whom the onboarding process evidenced documentation of iwi and tribal affiliations. All staff are encouraged to participate in the education programme and to gain qualifications in relation to their role. </w:t>
            </w:r>
          </w:p>
          <w:p w14:paraId="25F4D4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that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health plan. The document is based around implementing the principles of Te Whare Tapa Whā, which will ensure </w:t>
            </w:r>
            <w:r w:rsidRPr="00BE00C7">
              <w:rPr>
                <w:rFonts w:cs="Arial"/>
                <w:lang w:eastAsia="en-NZ"/>
              </w:rPr>
              <w:lastRenderedPageBreak/>
              <w:t xml:space="preserve">the wellbeing of the resident and their whānau are enabled. Residents and whānau are involved in providing input into the residents’ care planning, their activities, and their dietary needs. </w:t>
            </w:r>
          </w:p>
          <w:p w14:paraId="3C99F6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managers (village manager, clinical manager, resident services manager, general manager, and regional clinical lead) and eighteen staff (two registered nurses, three unit coordinators, six caregivers, three activities and lifestyle coordinators, one lead chef and one regional lead chef, one maintenance lead and one housekeeping/laundry staff) described examples of providing culturally safe services in relation to their role. </w:t>
            </w:r>
          </w:p>
          <w:p w14:paraId="7990458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contents include recognition of east versus west cultural perceptions, the four stages of the hui process, and ways in which the hui process can support culturally safe care and services.</w:t>
            </w:r>
          </w:p>
          <w:p w14:paraId="2EC8759B" w14:textId="77777777" w:rsidR="00000000" w:rsidRPr="00BE00C7" w:rsidRDefault="00000000" w:rsidP="00BE00C7">
            <w:pPr>
              <w:pStyle w:val="OutcomeDescription"/>
              <w:spacing w:before="120" w:after="120"/>
              <w:rPr>
                <w:rFonts w:cs="Arial"/>
                <w:lang w:eastAsia="en-NZ"/>
              </w:rPr>
            </w:pPr>
          </w:p>
        </w:tc>
      </w:tr>
      <w:tr w:rsidR="00DA0DCD" w14:paraId="146C7F70" w14:textId="77777777">
        <w:tc>
          <w:tcPr>
            <w:tcW w:w="0" w:type="auto"/>
          </w:tcPr>
          <w:p w14:paraId="573B20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2684A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6049B05" w14:textId="77777777" w:rsidR="00000000" w:rsidRPr="00BE00C7" w:rsidRDefault="00000000" w:rsidP="00BE00C7">
            <w:pPr>
              <w:pStyle w:val="OutcomeDescription"/>
              <w:spacing w:before="120" w:after="120"/>
              <w:rPr>
                <w:rFonts w:cs="Arial"/>
                <w:lang w:eastAsia="en-NZ"/>
              </w:rPr>
            </w:pPr>
          </w:p>
        </w:tc>
        <w:tc>
          <w:tcPr>
            <w:tcW w:w="0" w:type="auto"/>
          </w:tcPr>
          <w:p w14:paraId="39BBEB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3542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have health plans for Pacific residents. The Providing Services for Pacific Elders and Other Ethnicities policy is documented. The service has Pacific linkages through their own staff with community activities, cultural celebrations, leaders, and church groups, where relevant to residents’ preferences and needs. </w:t>
            </w:r>
          </w:p>
          <w:p w14:paraId="0B477D49"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who identified as Pasifika. On admission, all residents state their ethnicity, and this is recorded in their individual files. The unit coordinators and registered nurses advised that family members of Pacific residents are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509E0D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any staff that identify as Pasifika through the employment process. Applicants who apply for </w:t>
            </w:r>
            <w:r w:rsidRPr="00BE00C7">
              <w:rPr>
                <w:rFonts w:cs="Arial"/>
                <w:lang w:eastAsia="en-NZ"/>
              </w:rPr>
              <w:lastRenderedPageBreak/>
              <w:t>positions are always provided with an opportunity to be interviewed. At the time of the audit there were staff who identified as Pasifika. Pacific staff interviewed confirmed management are supportive and use their skills within the team to connect with residents.</w:t>
            </w:r>
          </w:p>
          <w:p w14:paraId="5A76A388" w14:textId="77777777" w:rsidR="00000000" w:rsidRPr="00BE00C7" w:rsidRDefault="00000000" w:rsidP="00BE00C7">
            <w:pPr>
              <w:pStyle w:val="OutcomeDescription"/>
              <w:spacing w:before="120" w:after="120"/>
              <w:rPr>
                <w:rFonts w:cs="Arial"/>
                <w:lang w:eastAsia="en-NZ"/>
              </w:rPr>
            </w:pPr>
          </w:p>
        </w:tc>
      </w:tr>
      <w:tr w:rsidR="00DA0DCD" w14:paraId="7F4524C1" w14:textId="77777777">
        <w:tc>
          <w:tcPr>
            <w:tcW w:w="0" w:type="auto"/>
          </w:tcPr>
          <w:p w14:paraId="216195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7BC9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7F0D284" w14:textId="77777777" w:rsidR="00000000" w:rsidRPr="00BE00C7" w:rsidRDefault="00000000" w:rsidP="00BE00C7">
            <w:pPr>
              <w:pStyle w:val="OutcomeDescription"/>
              <w:spacing w:before="120" w:after="120"/>
              <w:rPr>
                <w:rFonts w:cs="Arial"/>
                <w:lang w:eastAsia="en-NZ"/>
              </w:rPr>
            </w:pPr>
          </w:p>
        </w:tc>
        <w:tc>
          <w:tcPr>
            <w:tcW w:w="0" w:type="auto"/>
          </w:tcPr>
          <w:p w14:paraId="4CC8FE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C7FC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Information about the Nationwide Health and Disability Advocacy is available to residents on the noticeboard and in their information pack. Resident and family/whānau meetings provide a forum for residents to discuss any concerns. </w:t>
            </w:r>
          </w:p>
          <w:p w14:paraId="743C7B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4F5DE0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families/whānau (one rest home, four hospital, three dementia) and seven residents (five rest home including one in a serviced apartment, and two hospital) interviewed stated they felt their rights are upheld and they are treated with dignity, respect, and kindness. The residents and families/whānau expressed they are encouraged to make their own choices. Interactions observed between staff and residents were respectful. Caregivers and registered nurses interviewed described how they support residents to choose what they want to do and be as independent as they can be. </w:t>
            </w:r>
          </w:p>
          <w:p w14:paraId="50F9191C" w14:textId="7324259A"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through the development of a Māori-specific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w:t>
            </w:r>
          </w:p>
        </w:tc>
      </w:tr>
      <w:tr w:rsidR="00DA0DCD" w14:paraId="15231061" w14:textId="77777777">
        <w:tc>
          <w:tcPr>
            <w:tcW w:w="0" w:type="auto"/>
          </w:tcPr>
          <w:p w14:paraId="1A9FFB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6785D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2B1E2CC" w14:textId="77777777" w:rsidR="00000000" w:rsidRPr="00BE00C7" w:rsidRDefault="00000000" w:rsidP="00BE00C7">
            <w:pPr>
              <w:pStyle w:val="OutcomeDescription"/>
              <w:spacing w:before="120" w:after="120"/>
              <w:rPr>
                <w:rFonts w:cs="Arial"/>
                <w:lang w:eastAsia="en-NZ"/>
              </w:rPr>
            </w:pPr>
          </w:p>
        </w:tc>
        <w:tc>
          <w:tcPr>
            <w:tcW w:w="0" w:type="auto"/>
          </w:tcPr>
          <w:p w14:paraId="0D5687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9CCA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shifts to ensure they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the interview. There is a range of cultural safety policies in place, including access to services for kaumātua, tikanga Māori (Māori Culture) best practice, services to kaumātua, and providing services for Pacific elders and other ethnic groups. </w:t>
            </w:r>
          </w:p>
          <w:p w14:paraId="590239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delivers training that is responsive to the diverse needs of people accessing services and training provided in 2024 and in the current year includes cultural diversity; informed consent; the Code; abuse and neglect; advocacy; spirituality; and tikanga Māori best practice. Matariki and Māori language week are celebrated throughout the village. The spirituality, counselling and chaplaincy policy is in place and is understood by care staff. Staff described how they implement a rights-based model of service provision through their focus on delivering a person-centred model of care. </w:t>
            </w:r>
          </w:p>
          <w:p w14:paraId="455B95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the policy. Spiritual needs are identified, and church services are held. It was observed that residents are treated with dignity and respect. Staff were observed to use person-centred and respectful language with residents. Residents and families/whānau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 the concepts of personal privacy and dignity. </w:t>
            </w:r>
          </w:p>
          <w:p w14:paraId="658EF1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resident-focused with resident and family/whānau input. During the development of the resident’s care plan on admission, residents’ values, beliefs, and identity are captured in initial assessments, resident life experiences and identity map. This information forms the foundation of the resident’s care plan. Cultural assessments were evident in the files reviewed. Electronic myRyman care plans identified residents’ preferred names. MyRyman cultural </w:t>
            </w:r>
            <w:r w:rsidRPr="00BE00C7">
              <w:rPr>
                <w:rFonts w:cs="Arial"/>
                <w:lang w:eastAsia="en-NZ"/>
              </w:rPr>
              <w:lastRenderedPageBreak/>
              <w:t>assessment information naturally weaves through care planning. The service responds to tāngata whaikaha needs and enables their participation in te ao Māori. The service promotes service delivery that is holistic and collective in nature through educating staff about te ao Māori and listening to tāngata whaikaha when planning or changing services.</w:t>
            </w:r>
          </w:p>
          <w:p w14:paraId="37C82AE9" w14:textId="77777777" w:rsidR="00000000" w:rsidRPr="00BE00C7" w:rsidRDefault="00000000" w:rsidP="00BE00C7">
            <w:pPr>
              <w:pStyle w:val="OutcomeDescription"/>
              <w:spacing w:before="120" w:after="120"/>
              <w:rPr>
                <w:rFonts w:cs="Arial"/>
                <w:lang w:eastAsia="en-NZ"/>
              </w:rPr>
            </w:pPr>
          </w:p>
        </w:tc>
      </w:tr>
      <w:tr w:rsidR="00DA0DCD" w14:paraId="04D04E23" w14:textId="77777777">
        <w:tc>
          <w:tcPr>
            <w:tcW w:w="0" w:type="auto"/>
          </w:tcPr>
          <w:p w14:paraId="7D3803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8F0C9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87A96DC" w14:textId="77777777" w:rsidR="00000000" w:rsidRPr="00BE00C7" w:rsidRDefault="00000000" w:rsidP="00BE00C7">
            <w:pPr>
              <w:pStyle w:val="OutcomeDescription"/>
              <w:spacing w:before="120" w:after="120"/>
              <w:rPr>
                <w:rFonts w:cs="Arial"/>
                <w:lang w:eastAsia="en-NZ"/>
              </w:rPr>
            </w:pPr>
          </w:p>
        </w:tc>
        <w:tc>
          <w:tcPr>
            <w:tcW w:w="0" w:type="auto"/>
          </w:tcPr>
          <w:p w14:paraId="11FA6A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D4EF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has a zero-tolerance approach to racism and discrimination. The service also aligns with the Ryman Code of Residents' Rights and follows the Code of Health and Disability Services, which supports the consumer to be treated fairly and with respect, free from discrimination, harassment, and exploitation. Policies reflect acceptable and unacceptable behaviours. Training around bullying and harassment was completed in August 2024. Police checks are completed as part of the employment process. A staff code of conduct/house rules is discussed during the new employee’s induction to the service and is signed by the new employee. </w:t>
            </w:r>
          </w:p>
          <w:p w14:paraId="59EECE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the signs and symptoms of abuse they may witness and were aware of how to escalate their concerns. Residents have enduring power of attorney for finance and wellbeing documented in their files (sighted). Residents have their property documented and signed for on entry to the service. Residents and family/whānau have written information on residents’ possessions and accountability management of residents’ possessions within the resident’s signed service level agreement. </w:t>
            </w:r>
          </w:p>
          <w:p w14:paraId="3985FA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w:t>
            </w:r>
            <w:r w:rsidRPr="00BE00C7">
              <w:rPr>
                <w:rFonts w:cs="Arial"/>
                <w:lang w:eastAsia="en-NZ"/>
              </w:rPr>
              <w:lastRenderedPageBreak/>
              <w:t>complete education on orientation, and further training was completed in August 2024 on how to identify abuse and neglect. Staff are educated on how to value the older person, showing them respect and dignity. All residents interviewed confirmed that the staff are very caring, supportive, and respectful. Families/whānau interviewed confirmed that the care provided to their family members is of a high standard.</w:t>
            </w:r>
          </w:p>
          <w:p w14:paraId="63F338A0" w14:textId="77777777" w:rsidR="00000000" w:rsidRPr="00BE00C7" w:rsidRDefault="00000000" w:rsidP="00BE00C7">
            <w:pPr>
              <w:pStyle w:val="OutcomeDescription"/>
              <w:spacing w:before="120" w:after="120"/>
              <w:rPr>
                <w:rFonts w:cs="Arial"/>
                <w:lang w:eastAsia="en-NZ"/>
              </w:rPr>
            </w:pPr>
          </w:p>
        </w:tc>
      </w:tr>
      <w:tr w:rsidR="00DA0DCD" w14:paraId="5D3FAD11" w14:textId="77777777">
        <w:tc>
          <w:tcPr>
            <w:tcW w:w="0" w:type="auto"/>
          </w:tcPr>
          <w:p w14:paraId="465239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B720A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11AEBE3" w14:textId="77777777" w:rsidR="00000000" w:rsidRPr="00BE00C7" w:rsidRDefault="00000000" w:rsidP="00BE00C7">
            <w:pPr>
              <w:pStyle w:val="OutcomeDescription"/>
              <w:spacing w:before="120" w:after="120"/>
              <w:rPr>
                <w:rFonts w:cs="Arial"/>
                <w:lang w:eastAsia="en-NZ"/>
              </w:rPr>
            </w:pPr>
          </w:p>
        </w:tc>
        <w:tc>
          <w:tcPr>
            <w:tcW w:w="0" w:type="auto"/>
          </w:tcPr>
          <w:p w14:paraId="40D834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673A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Six-monthly resident and six-monthly family/whānau meetings identify feedback from residents and family/whānau and consequent follow up by the service. Policies and procedures relating to accident/incidents, complaints, and open disclosure policy alert staff to their responsibility to notify family/next of kin of any accident/incident that occurs. Electronic accident/incident forms have a section to indicate if the next of kin has been informed (or not). This is also documented in the progress notes. The accident/incident forms reviewed identified that family/whānau are kept informed; this was confirmed through the interviews with family/whānau. </w:t>
            </w:r>
          </w:p>
          <w:p w14:paraId="302949CD"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During the audit, there were no residents who were unable to communicate in English. Staff interviewed confirmed the use of staff as interpreters, family/whānau, picture charts and online translation tools, if there were residents who could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3B0106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dietitian, speech and language therapist, and wound nurse specialist). The delivery of care includes a multidisciplinary team review. Residents and family/whānau provide consent and are communicated with regarding services involved. The unit coordinators </w:t>
            </w:r>
            <w:r w:rsidRPr="00BE00C7">
              <w:rPr>
                <w:rFonts w:cs="Arial"/>
                <w:lang w:eastAsia="en-NZ"/>
              </w:rPr>
              <w:lastRenderedPageBreak/>
              <w:t>and registered nurses described an implemented process around providing residents with time for discussion around care, time to consider decisions, and opportunity for further discussion, if required. Family/whānau members interviewed stated they receive appropriate and timely notification to attend.</w:t>
            </w:r>
          </w:p>
          <w:p w14:paraId="31672693" w14:textId="77777777" w:rsidR="00000000" w:rsidRPr="00BE00C7" w:rsidRDefault="00000000" w:rsidP="00BE00C7">
            <w:pPr>
              <w:pStyle w:val="OutcomeDescription"/>
              <w:spacing w:before="120" w:after="120"/>
              <w:rPr>
                <w:rFonts w:cs="Arial"/>
                <w:lang w:eastAsia="en-NZ"/>
              </w:rPr>
            </w:pPr>
          </w:p>
        </w:tc>
      </w:tr>
      <w:tr w:rsidR="00DA0DCD" w14:paraId="6942AC2B" w14:textId="77777777">
        <w:tc>
          <w:tcPr>
            <w:tcW w:w="0" w:type="auto"/>
          </w:tcPr>
          <w:p w14:paraId="6EDF52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87DEB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1C901EE" w14:textId="77777777" w:rsidR="00000000" w:rsidRPr="00BE00C7" w:rsidRDefault="00000000" w:rsidP="00BE00C7">
            <w:pPr>
              <w:pStyle w:val="OutcomeDescription"/>
              <w:spacing w:before="120" w:after="120"/>
              <w:rPr>
                <w:rFonts w:cs="Arial"/>
                <w:lang w:eastAsia="en-NZ"/>
              </w:rPr>
            </w:pPr>
          </w:p>
        </w:tc>
        <w:tc>
          <w:tcPr>
            <w:tcW w:w="0" w:type="auto"/>
          </w:tcPr>
          <w:p w14:paraId="775BEC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9125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Ten resident files reviewed included informed consent forms signed by either the resident or a power of attorney/welfare guardian. Consent forms for vaccinations were also on file where appropriate. Residents and relatives interviewed could describe what informed consent was and their rights around choice. </w:t>
            </w:r>
          </w:p>
          <w:p w14:paraId="0749C0E6"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family/whānau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10 files reviewed. Copies of enduring power of attorney (EPOA) or welfare guardianship were in resident files where available and had been activated where necessary. All residents admitted to the dementia units, referred to as the special care unit (SCU), have activated EPOAs in place.</w:t>
            </w:r>
          </w:p>
          <w:p w14:paraId="3379F898" w14:textId="77777777" w:rsidR="00000000" w:rsidRPr="00BE00C7" w:rsidRDefault="00000000" w:rsidP="00BE00C7">
            <w:pPr>
              <w:pStyle w:val="OutcomeDescription"/>
              <w:spacing w:before="120" w:after="120"/>
              <w:rPr>
                <w:rFonts w:cs="Arial"/>
                <w:lang w:eastAsia="en-NZ"/>
              </w:rPr>
            </w:pPr>
          </w:p>
        </w:tc>
      </w:tr>
      <w:tr w:rsidR="00DA0DCD" w14:paraId="2FCB373B" w14:textId="77777777">
        <w:tc>
          <w:tcPr>
            <w:tcW w:w="0" w:type="auto"/>
          </w:tcPr>
          <w:p w14:paraId="3DD3DC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3B9C7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925AE05" w14:textId="77777777" w:rsidR="00000000" w:rsidRPr="00BE00C7" w:rsidRDefault="00000000" w:rsidP="00BE00C7">
            <w:pPr>
              <w:pStyle w:val="OutcomeDescription"/>
              <w:spacing w:before="120" w:after="120"/>
              <w:rPr>
                <w:rFonts w:cs="Arial"/>
                <w:lang w:eastAsia="en-NZ"/>
              </w:rPr>
            </w:pPr>
          </w:p>
        </w:tc>
        <w:tc>
          <w:tcPr>
            <w:tcW w:w="0" w:type="auto"/>
          </w:tcPr>
          <w:p w14:paraId="0591B9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8557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village manager has overall responsibility for ensuring all complaints (verbal and written) are fully documented and investigated within timeframes determined by the Health and Disability Commissioner (HDC) Code of Health and Disability Services Consumers’ Rights (the Code). The village manager maintains an up-to-date complaints’ register. Concerns and complaints are discussed at relevant meetings. </w:t>
            </w:r>
          </w:p>
          <w:p w14:paraId="108D30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complaints have been made since the facility opened. The complaints reviewed evidenced acknowledgement of the lodged complaint, an investigation, communication with the complainants on </w:t>
            </w:r>
            <w:r w:rsidRPr="00BE00C7">
              <w:rPr>
                <w:rFonts w:cs="Arial"/>
                <w:lang w:eastAsia="en-NZ"/>
              </w:rPr>
              <w:lastRenderedPageBreak/>
              <w:t xml:space="preserve">the findings of the investigation and corrective actions taken, and documented resolution. All complaints reviewed were of a minor nature, and no trends were identified. Staff interviewed reported that complaints and corrective actions as a result, are discussed at meetings. There have been no external complaints received.  </w:t>
            </w:r>
          </w:p>
          <w:p w14:paraId="137CCDD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w:t>
            </w:r>
          </w:p>
          <w:p w14:paraId="35F269A2" w14:textId="77777777" w:rsidR="00000000" w:rsidRPr="00BE00C7" w:rsidRDefault="00000000" w:rsidP="00BE00C7">
            <w:pPr>
              <w:pStyle w:val="OutcomeDescription"/>
              <w:spacing w:before="120" w:after="120"/>
              <w:rPr>
                <w:rFonts w:cs="Arial"/>
                <w:lang w:eastAsia="en-NZ"/>
              </w:rPr>
            </w:pPr>
          </w:p>
        </w:tc>
      </w:tr>
      <w:tr w:rsidR="00DA0DCD" w14:paraId="6E6D5850" w14:textId="77777777">
        <w:tc>
          <w:tcPr>
            <w:tcW w:w="0" w:type="auto"/>
          </w:tcPr>
          <w:p w14:paraId="2212A1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FDB1C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3F268EC" w14:textId="77777777" w:rsidR="00000000" w:rsidRPr="00BE00C7" w:rsidRDefault="00000000" w:rsidP="00BE00C7">
            <w:pPr>
              <w:pStyle w:val="OutcomeDescription"/>
              <w:spacing w:before="120" w:after="120"/>
              <w:rPr>
                <w:rFonts w:cs="Arial"/>
                <w:lang w:eastAsia="en-NZ"/>
              </w:rPr>
            </w:pPr>
          </w:p>
        </w:tc>
        <w:tc>
          <w:tcPr>
            <w:tcW w:w="0" w:type="auto"/>
          </w:tcPr>
          <w:p w14:paraId="15B00C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EF04ED" w14:textId="77777777" w:rsidR="00000000" w:rsidRPr="00BE00C7" w:rsidRDefault="00000000" w:rsidP="00BE00C7">
            <w:pPr>
              <w:pStyle w:val="OutcomeDescription"/>
              <w:spacing w:before="120" w:after="120"/>
              <w:rPr>
                <w:rFonts w:cs="Arial"/>
                <w:lang w:eastAsia="en-NZ"/>
              </w:rPr>
            </w:pPr>
            <w:r w:rsidRPr="00BE00C7">
              <w:rPr>
                <w:rFonts w:cs="Arial"/>
                <w:lang w:eastAsia="en-NZ"/>
              </w:rPr>
              <w:t>Keith Park Retirement Village provides care for up to 120 residents at hospital, rest home and dementia level care in the care centre, and up to 30 residents at rest home level care in the serviced apartments. All rooms in the rest home and hospital units are dual-purpose.</w:t>
            </w:r>
          </w:p>
          <w:p w14:paraId="759CC8B8"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84 residents in total. There were 25 rest home level residents in the care centre (including one funded for respite care, and one in a serviced apartment). There were 36 hospital-level residents (including one funded for respite care, and one Young Person with Disability who is funded by Taikura Trust). The special care units (SCUs) provide care for up to 40 residents across two units; there were 22 residents on the day of the audit. One resident is privately paying (rest home level of care). All residents other than those specified, are under the aged residential care contract (ARRC).</w:t>
            </w:r>
          </w:p>
          <w:p w14:paraId="1ACD25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general managers, who report to the senior executive team. The senior executive team report to the chief executive officer, who reports to the Board. Board members include a Māori advisor and the previous chair of Ngāi Tahu. A range of reports are available to managers through electronic systems to include all clinical, health and safety, and human resources. Reports are sent from the village managers to the regional managers on a weekly basis. Dashboards on the electronic </w:t>
            </w:r>
            <w:r w:rsidRPr="00BE00C7">
              <w:rPr>
                <w:rFonts w:cs="Arial"/>
                <w:lang w:eastAsia="en-NZ"/>
              </w:rPr>
              <w:lastRenderedPageBreak/>
              <w:t xml:space="preserve">systems provide a quick overview of performance around measuring key performance indicators (KPIs). </w:t>
            </w:r>
          </w:p>
          <w:p w14:paraId="4B2EB1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oversees all operations from construction to village operations. From this, there is a clinical governance committee whose focus is the clinical aspects of operations and includes members from the Board. Board members are given an orientation to their role and to the company operations. All Board members are already skilled and trained in their role as Board member. The clinical council is held by Ryman Christchurch, which is made up of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59692C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has terms of reference and Taha Māori Kaitiaki (cultural navigator), along with a Māori cultural advisor ensure policy and procedure within the company, and the governance body represents Te Tiriti partnership and equality. The cultural navigator consults with and reports on any barriers to the senior executive members and the Board to ensure these can be addressed. Ryman has commenced consultation with residents and whānau input into reviewing of care plans and assessment content to meet residents’ cultural values and needs. Resident feedback/suggestions for satisfaction and improvements for the service are captured in satisfaction surveys, through feedback forms and through meetings. These avenues provide tāngata whaikaha the opportunity to provide feedback around how Ryman Keith Park can deliver a service to improve outcomes and achieve equity for tāngata whaikaha.</w:t>
            </w:r>
          </w:p>
          <w:p w14:paraId="32D233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approve the Ryman organisational business plan. From this, the regional teams develop objectives, and the individual villages develop their own operational objectives. The Ryman business plan is based around Ryman values, including (but not limited to) excellence, teamwork, and communication. These align with the village objectives. Keith Park Retirement Village's objectives for 2025 include: reducing red clinical indicators such as falls, urinary tract infections and pressure injuries as </w:t>
            </w:r>
            <w:r w:rsidRPr="00BE00C7">
              <w:rPr>
                <w:rFonts w:cs="Arial"/>
                <w:lang w:eastAsia="en-NZ"/>
              </w:rPr>
              <w:lastRenderedPageBreak/>
              <w:t xml:space="preserve">examples; maintaining a positive resident experience; growing occupancy; managing the roster and additional hours; increasing care suite sales; and managing operational costs. Organisational goals relate to the overall satisfaction of the service. </w:t>
            </w:r>
          </w:p>
          <w:p w14:paraId="4500BA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objectives are reviewed quarterly, with progression towards completion and ongoing work documented at each review. Ryman's key business goals are embedded through all processes from the Board, down to the village and construction sites. Policy, procedure, and training/education resources ensure that these are embedded in all practices and day-to-day operations. The organisation has completed reviewing all policies to ensure they align with the Ngā Paerewa Standard. </w:t>
            </w:r>
          </w:p>
          <w:p w14:paraId="480F0D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 and reviewed from the Board level down to the village level, with corrective action being filtered through all committees at all levels. Ryman invites local communities to be involved in their villages around the country. The Ryman organisation and Keith Park Retirement Village continue to strengthen relationships with local Māori and Pacific health providers. </w:t>
            </w:r>
          </w:p>
          <w:p w14:paraId="0474A3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 Keith Park Retirement Village has been in the village manager role since 2021. They are supported by a resident services manager, and a clinical manager, who is a registered nurse with experience in dementia and as a unit coordinator from 2021, until they became the clinical manager at Keith Park in June 2024. The management team is supported by a regional clinical lead, general manager operations and Ryman Christchurch (head office). </w:t>
            </w:r>
          </w:p>
          <w:p w14:paraId="09AFA3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attends management development sessions through Ryman. The management team are supported to advance in the Ryman Leadership programme (LEAP- Lead Energise and Perform) and leadership development online course (eight hours).</w:t>
            </w:r>
          </w:p>
          <w:p w14:paraId="321BC550" w14:textId="77777777" w:rsidR="00000000" w:rsidRPr="00BE00C7" w:rsidRDefault="00000000" w:rsidP="00BE00C7">
            <w:pPr>
              <w:pStyle w:val="OutcomeDescription"/>
              <w:spacing w:before="120" w:after="120"/>
              <w:rPr>
                <w:rFonts w:cs="Arial"/>
                <w:lang w:eastAsia="en-NZ"/>
              </w:rPr>
            </w:pPr>
          </w:p>
        </w:tc>
      </w:tr>
      <w:tr w:rsidR="00DA0DCD" w14:paraId="415FB1FA" w14:textId="77777777">
        <w:tc>
          <w:tcPr>
            <w:tcW w:w="0" w:type="auto"/>
          </w:tcPr>
          <w:p w14:paraId="73E1F5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E93A3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0E650C1" w14:textId="77777777" w:rsidR="00000000" w:rsidRPr="00BE00C7" w:rsidRDefault="00000000" w:rsidP="00BE00C7">
            <w:pPr>
              <w:pStyle w:val="OutcomeDescription"/>
              <w:spacing w:before="120" w:after="120"/>
              <w:rPr>
                <w:rFonts w:cs="Arial"/>
                <w:lang w:eastAsia="en-NZ"/>
              </w:rPr>
            </w:pPr>
          </w:p>
        </w:tc>
        <w:tc>
          <w:tcPr>
            <w:tcW w:w="0" w:type="auto"/>
          </w:tcPr>
          <w:p w14:paraId="5EB4CA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BD77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Keith Park Retirement Village is implementing a quality and risk management programme. A strengths, weaknesses, opportunities, and </w:t>
            </w:r>
            <w:r w:rsidRPr="00BE00C7">
              <w:rPr>
                <w:rFonts w:cs="Arial"/>
                <w:lang w:eastAsia="en-NZ"/>
              </w:rPr>
              <w:lastRenderedPageBreak/>
              <w:t xml:space="preserve">threats (SWOT) analysis is included as part of the business plan. Quality goals for 2025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quality initiatives. </w:t>
            </w:r>
          </w:p>
          <w:p w14:paraId="77A2B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cultural navigator/Kaitiaki role commenced in July 2022. This person ensures that organisational practices from the Board, down to village operations, improve health equity for Māori. </w:t>
            </w:r>
          </w:p>
          <w:p w14:paraId="392AD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registered nurse, activities and lifestyle coordinator, gardening and maintenance, and laundry/housekeeping meetings. There are monthly Team Ryman (quality) meetings and weekly manager meetings. Discussions include (but are not limited to): quality data; health and safety; infection control/pandemic strategies; complaints and feedback received;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in the staff room. The corrective action log is discussed at quality meetings to ensure any outstanding matters are addressed with sign-off when completed. Data is benchmarked and analysed within the organisation and at a national level. </w:t>
            </w:r>
          </w:p>
          <w:p w14:paraId="3BE812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a wide range of culturally diverse training, including cultural sensitivity awareness, with resources made available on the intranet, to ensure a high-quality service is provided for Māori and other residents with diverse ethnicities. The 2025 resident and family/whānau satisfaction surveys were completed in April 2025 and demonstrate a net promoter score (NPS) of 4.39 out of 5. Corrective actions were initiated related to the activities programme because of survey comments. Results of the survey were communicated to staff, residents and families/whānau at the respective meetings.</w:t>
            </w:r>
          </w:p>
          <w:p w14:paraId="51090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w:t>
            </w:r>
            <w:r w:rsidRPr="00BE00C7">
              <w:rPr>
                <w:rFonts w:cs="Arial"/>
                <w:lang w:eastAsia="en-NZ"/>
              </w:rPr>
              <w:lastRenderedPageBreak/>
              <w:t>facility is meeting accepted good practice and adhering to relevant standards. A document control system is in place. New policies or changes to policy are communicated to staff.</w:t>
            </w:r>
          </w:p>
          <w:p w14:paraId="63A2BE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the health and safety and contractor management on site. Hazard identification forms and an up-to-date electronic hazard register were sighted. A risk register is placed in all areas. Health and safety policies are implemented and monitored monthly at the health and safety committee meeting. There are regular moving and handling training sessions for staff. In the event of a staff accident or incident, a debrief process would be documented on the accident/incident form. Ryman has implemented the Donesafe health and safety electronic system, which assists in capturing and reporting near misses and hazards. Reminders are set to ensure the timely completion of the investigation, and reporting occurs. This system also includes meeting minutes. The internal audit schedule includes health and safety, maintenance, and environmental audits. </w:t>
            </w:r>
          </w:p>
          <w:p w14:paraId="757B4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are collated monthly and analysed. Results are discussed in the quality and staff meetings and at handover. Each event involving a resident reflected a clinical assessment and follow up by a registered nurse. </w:t>
            </w:r>
          </w:p>
          <w:p w14:paraId="15C71BF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There have been Section 31 notifications and three Severity Assessment Code (SAC) reports to the Health Quality and Safety Commission. There has been one outbreak of gastrointestinal infection and one outbreak of Covid-19. Both of which were well managed.</w:t>
            </w:r>
          </w:p>
          <w:p w14:paraId="12898929" w14:textId="77777777" w:rsidR="00000000" w:rsidRPr="00BE00C7" w:rsidRDefault="00000000" w:rsidP="00BE00C7">
            <w:pPr>
              <w:pStyle w:val="OutcomeDescription"/>
              <w:spacing w:before="120" w:after="120"/>
              <w:rPr>
                <w:rFonts w:cs="Arial"/>
                <w:lang w:eastAsia="en-NZ"/>
              </w:rPr>
            </w:pPr>
          </w:p>
        </w:tc>
      </w:tr>
      <w:tr w:rsidR="00DA0DCD" w14:paraId="53378373" w14:textId="77777777">
        <w:tc>
          <w:tcPr>
            <w:tcW w:w="0" w:type="auto"/>
          </w:tcPr>
          <w:p w14:paraId="0F3B93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9AFF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44AE38" w14:textId="77777777" w:rsidR="00000000" w:rsidRPr="00BE00C7" w:rsidRDefault="00000000" w:rsidP="00BE00C7">
            <w:pPr>
              <w:pStyle w:val="OutcomeDescription"/>
              <w:spacing w:before="120" w:after="120"/>
              <w:rPr>
                <w:rFonts w:cs="Arial"/>
                <w:lang w:eastAsia="en-NZ"/>
              </w:rPr>
            </w:pPr>
          </w:p>
        </w:tc>
        <w:tc>
          <w:tcPr>
            <w:tcW w:w="0" w:type="auto"/>
          </w:tcPr>
          <w:p w14:paraId="59DC5C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E129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w:t>
            </w:r>
            <w:r w:rsidRPr="00BE00C7">
              <w:rPr>
                <w:rFonts w:cs="Arial"/>
                <w:lang w:eastAsia="en-NZ"/>
              </w:rPr>
              <w:lastRenderedPageBreak/>
              <w:t xml:space="preserve">defines staffing ratios for residents. Rosters implement the staffing rationale. The village manager works Monday to Friday. The clinical manager ensures there is seven-day-per-week clinical management on site. The clinical manager and the unit coordinators share on call after hours for all clinical matters. The lead maintenance person is available for maintenance and property-related calls. </w:t>
            </w:r>
          </w:p>
          <w:p w14:paraId="59F26AE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w:t>
            </w:r>
          </w:p>
          <w:p w14:paraId="43FB79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‘cover-pool’ of staff are additional staff that are added to the roster to cover staff absences. Review of the rosters shows absences are covered by casual staff and regular staff picking up extra shifts. Residents and family members interviewed reported that there are adequate staff numbers. </w:t>
            </w:r>
          </w:p>
          <w:p w14:paraId="216A7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registered nurses have current medication competencies. </w:t>
            </w:r>
          </w:p>
          <w:p w14:paraId="0C5CE79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the New Zealand Qualification Authority (NZQA) through Careerforce. There are 63 caregivers in total, 14 of whom work in the special care unit. Of the fourteen in the special care unit, seven have completed the dementia standards, and the other seven are due to enrol in the near future (within the eighteen-month time limit).</w:t>
            </w:r>
          </w:p>
          <w:p w14:paraId="632DB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registered nurses and caregivers related to specialised procedures or treatments, including (but not limited to), infection control, wound management, medication, and insulin competencies. At the time of the audit, there were 14 registered nurses, in addition to the clinical manager and unit coordinators employed. Twelve have completed interRAI training </w:t>
            </w:r>
            <w:r w:rsidRPr="00BE00C7">
              <w:rPr>
                <w:rFonts w:cs="Arial"/>
                <w:lang w:eastAsia="en-NZ"/>
              </w:rPr>
              <w:lastRenderedPageBreak/>
              <w:t xml:space="preserve">(including the clinical manager and unit coordinators). Staff have completed online training that covers Māori health development, cultural diversity and cultural awareness, and safety and spirituality training that support the principles of Te Tiriti o Waitangi. Learning opportunities are created that encourage the collection and sharing of high-quality Māori health information. </w:t>
            </w:r>
          </w:p>
          <w:p w14:paraId="6AE64D9F" w14:textId="77777777" w:rsidR="00000000" w:rsidRPr="00BE00C7" w:rsidRDefault="00000000" w:rsidP="00BE00C7">
            <w:pPr>
              <w:pStyle w:val="OutcomeDescription"/>
              <w:spacing w:before="120" w:after="120"/>
              <w:rPr>
                <w:rFonts w:cs="Arial"/>
                <w:lang w:eastAsia="en-NZ"/>
              </w:rPr>
            </w:pPr>
            <w:r w:rsidRPr="00BE00C7">
              <w:rPr>
                <w:rFonts w:cs="Arial"/>
                <w:lang w:eastAsia="en-NZ"/>
              </w:rPr>
              <w:t>Existing staff support systems, including peer support, wellbeing month, ChattR online communication application, and provision of education, promote health care and staff wellbeing. Staff interviewed report a positive work environment. Ryman, as an organisation, has several initiatives implemented around staff wellness, including the monthly kindness award and staff appreciation award.</w:t>
            </w:r>
          </w:p>
          <w:p w14:paraId="203CAFF8" w14:textId="77777777" w:rsidR="00000000" w:rsidRPr="00BE00C7" w:rsidRDefault="00000000" w:rsidP="00BE00C7">
            <w:pPr>
              <w:pStyle w:val="OutcomeDescription"/>
              <w:spacing w:before="120" w:after="120"/>
              <w:rPr>
                <w:rFonts w:cs="Arial"/>
                <w:lang w:eastAsia="en-NZ"/>
              </w:rPr>
            </w:pPr>
          </w:p>
        </w:tc>
      </w:tr>
      <w:tr w:rsidR="00DA0DCD" w14:paraId="42094E11" w14:textId="77777777">
        <w:tc>
          <w:tcPr>
            <w:tcW w:w="0" w:type="auto"/>
          </w:tcPr>
          <w:p w14:paraId="13BAC2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EB5F5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5A9718D" w14:textId="77777777" w:rsidR="00000000" w:rsidRPr="00BE00C7" w:rsidRDefault="00000000" w:rsidP="00BE00C7">
            <w:pPr>
              <w:pStyle w:val="OutcomeDescription"/>
              <w:spacing w:before="120" w:after="120"/>
              <w:rPr>
                <w:rFonts w:cs="Arial"/>
                <w:lang w:eastAsia="en-NZ"/>
              </w:rPr>
            </w:pPr>
          </w:p>
        </w:tc>
        <w:tc>
          <w:tcPr>
            <w:tcW w:w="0" w:type="auto"/>
          </w:tcPr>
          <w:p w14:paraId="7075F4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4040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Twelve staff files (three registered nurses, three caregivers, one activities and lifestyle coordinator, one chef, one laundry assistant, two housekeepers, and one maintenance person) reviewed included a signed employment contract, job description, police check, induction paperwork relevant to the role the staff member is in, application form and reference checks. All files reviewed of employees who have worked for six months, have a record of a performance appraisal. A register of registered nurses’ practising certificates is maintained within the facility. Practising certificates for other health practitioners are also retained to provide evidence of their registration. </w:t>
            </w:r>
          </w:p>
          <w:p w14:paraId="53FACD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w:t>
            </w:r>
          </w:p>
          <w:p w14:paraId="57AD6F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Wellbeing support is provided to staff and is a focus of the health and safety team. Staff wellbeing is acknowledged through regular social events. Employee assistance </w:t>
            </w:r>
            <w:r w:rsidRPr="00BE00C7">
              <w:rPr>
                <w:rFonts w:cs="Arial"/>
                <w:lang w:eastAsia="en-NZ"/>
              </w:rPr>
              <w:lastRenderedPageBreak/>
              <w:t>programmes are made available through the occupational counselling programme.</w:t>
            </w:r>
          </w:p>
          <w:p w14:paraId="33A7A8F3" w14:textId="77777777" w:rsidR="00000000" w:rsidRPr="00BE00C7" w:rsidRDefault="00000000" w:rsidP="00BE00C7">
            <w:pPr>
              <w:pStyle w:val="OutcomeDescription"/>
              <w:spacing w:before="120" w:after="120"/>
              <w:rPr>
                <w:rFonts w:cs="Arial"/>
                <w:lang w:eastAsia="en-NZ"/>
              </w:rPr>
            </w:pPr>
          </w:p>
        </w:tc>
      </w:tr>
      <w:tr w:rsidR="00DA0DCD" w14:paraId="28608CF1" w14:textId="77777777">
        <w:tc>
          <w:tcPr>
            <w:tcW w:w="0" w:type="auto"/>
          </w:tcPr>
          <w:p w14:paraId="7A04A9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FDC37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E4D4D88" w14:textId="77777777" w:rsidR="00000000" w:rsidRPr="00BE00C7" w:rsidRDefault="00000000" w:rsidP="00BE00C7">
            <w:pPr>
              <w:pStyle w:val="OutcomeDescription"/>
              <w:spacing w:before="120" w:after="120"/>
              <w:rPr>
                <w:rFonts w:cs="Arial"/>
                <w:lang w:eastAsia="en-NZ"/>
              </w:rPr>
            </w:pPr>
          </w:p>
        </w:tc>
        <w:tc>
          <w:tcPr>
            <w:tcW w:w="0" w:type="auto"/>
          </w:tcPr>
          <w:p w14:paraId="56A444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EAAA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registered nurse, including designation. Any paper-based documents are kept in a locked cupboard in the nurses’ station. Resident files are archived and remain on site for two years, then are transferred to an off-site secured location to be archived for ten years. </w:t>
            </w:r>
          </w:p>
          <w:p w14:paraId="2391AB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2669153D" w14:textId="77777777" w:rsidR="00000000" w:rsidRPr="00BE00C7" w:rsidRDefault="00000000" w:rsidP="00BE00C7">
            <w:pPr>
              <w:pStyle w:val="OutcomeDescription"/>
              <w:spacing w:before="120" w:after="120"/>
              <w:rPr>
                <w:rFonts w:cs="Arial"/>
                <w:lang w:eastAsia="en-NZ"/>
              </w:rPr>
            </w:pPr>
          </w:p>
        </w:tc>
      </w:tr>
      <w:tr w:rsidR="00DA0DCD" w14:paraId="18B900E4" w14:textId="77777777">
        <w:tc>
          <w:tcPr>
            <w:tcW w:w="0" w:type="auto"/>
          </w:tcPr>
          <w:p w14:paraId="1B0BD3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FCAB4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E70D5BD" w14:textId="77777777" w:rsidR="00000000" w:rsidRPr="00BE00C7" w:rsidRDefault="00000000" w:rsidP="00BE00C7">
            <w:pPr>
              <w:pStyle w:val="OutcomeDescription"/>
              <w:spacing w:before="120" w:after="120"/>
              <w:rPr>
                <w:rFonts w:cs="Arial"/>
                <w:lang w:eastAsia="en-NZ"/>
              </w:rPr>
            </w:pPr>
          </w:p>
        </w:tc>
        <w:tc>
          <w:tcPr>
            <w:tcW w:w="0" w:type="auto"/>
          </w:tcPr>
          <w:p w14:paraId="19C45D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4E2B8E"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Keith Park Retirement Village has a policy for managing inquiries, and entry to the service is in place. The admission pack contains all the information about entry to the service. Assessments and entry screening processes were documented and communicated to the enduring power of attorney (EPOA)/whānau/family of choice, and where appropriate, local communities, and referral agencies. Completed Needs Assessment and Service Coordination (NASC) agency authorisation forms for residents assessed as requiring rest home, hospital, respite, and dementia level of care, were in place.  Residents in the SCU were admitted with consent from EPOAs, and documents sighted verified that EPOAs consented to referral and specialist services. Evidence of specialist referral to the service was sighted.</w:t>
            </w:r>
          </w:p>
          <w:p w14:paraId="5AE9AA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records reviewed confirmed that admission requirements were conducted within the required timeframes and signed on entry. Exclusions from the service are included in the admission agreement. Family/whānau and residents were updated where there was a delay in </w:t>
            </w:r>
            <w:r w:rsidRPr="00BE00C7">
              <w:rPr>
                <w:rFonts w:cs="Arial"/>
                <w:lang w:eastAsia="en-NZ"/>
              </w:rPr>
              <w:lastRenderedPageBreak/>
              <w:t>entry to the service. This was observed during the audit and in the inquiry records sampled. Family/whānau and EPOAs interviewed stated they were satisfied with the admission process and the information that was made available to them on admission.</w:t>
            </w:r>
          </w:p>
          <w:p w14:paraId="512C6D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(CM), unit coordinators (UCs), and registered nurses (RNs) reported that all potential residents who are declined entry are recorded. When an entry is declined, family/whānau and residents are informed of the reason for this, with other options or alternative services discussed. The resident and family/whānau are referred to the referral agency to ensure the person will be admitted to the appropriate service provider.</w:t>
            </w:r>
          </w:p>
          <w:p w14:paraId="30826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is implemented through the Power BI system to show entry and decline rates, including specific data for entry and decline rates for Māori.</w:t>
            </w:r>
          </w:p>
          <w:p w14:paraId="16C879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traditional Māori healers, and organisations to support Māori individuals and family/whānau. The CM, UCs, RNs and the general practitioner (GP) stated that Māori health practitioners and traditional Māori healers for residents and family/whānau who may benefit from these interventions, are consulted when required.</w:t>
            </w:r>
          </w:p>
          <w:p w14:paraId="23DAB75C" w14:textId="77777777" w:rsidR="00000000" w:rsidRPr="00BE00C7" w:rsidRDefault="00000000" w:rsidP="00BE00C7">
            <w:pPr>
              <w:pStyle w:val="OutcomeDescription"/>
              <w:spacing w:before="120" w:after="120"/>
              <w:rPr>
                <w:rFonts w:cs="Arial"/>
                <w:lang w:eastAsia="en-NZ"/>
              </w:rPr>
            </w:pPr>
          </w:p>
        </w:tc>
      </w:tr>
      <w:tr w:rsidR="00DA0DCD" w14:paraId="47D219B3" w14:textId="77777777">
        <w:tc>
          <w:tcPr>
            <w:tcW w:w="0" w:type="auto"/>
          </w:tcPr>
          <w:p w14:paraId="0C63F4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1AFA1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CD5B6C" w14:textId="77777777" w:rsidR="00000000" w:rsidRPr="00BE00C7" w:rsidRDefault="00000000" w:rsidP="00BE00C7">
            <w:pPr>
              <w:pStyle w:val="OutcomeDescription"/>
              <w:spacing w:before="120" w:after="120"/>
              <w:rPr>
                <w:rFonts w:cs="Arial"/>
                <w:lang w:eastAsia="en-NZ"/>
              </w:rPr>
            </w:pPr>
          </w:p>
        </w:tc>
        <w:tc>
          <w:tcPr>
            <w:tcW w:w="0" w:type="auto"/>
          </w:tcPr>
          <w:p w14:paraId="56392F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E9B9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resident files were reviewed. These included three rest home level of care, including one resident on respite care and one resident in the serviced apartments; four hospital level of care; and three residents requiring dementia (SCU) level of care. The nursing team completed all assessments, and these inform the development of resident care plans. Initial assessments and interRAI assessments were all completed within the required timeframes. Initial care plans were developed, and long-term care plans (My Ryman) were all linked to interRAI assessments, with all triggered outcomes scores identified. These were reviewed at least six-monthly or when there was a significant change in condition. There was evidence of resident and family/whānau involvement in the interRAI assessments and long-term </w:t>
            </w:r>
            <w:r w:rsidRPr="00BE00C7">
              <w:rPr>
                <w:rFonts w:cs="Arial"/>
                <w:lang w:eastAsia="en-NZ"/>
              </w:rPr>
              <w:lastRenderedPageBreak/>
              <w:t xml:space="preserve">care plans reviewed, and this was documented in progress notes and family/whānau contact forms. </w:t>
            </w:r>
          </w:p>
          <w:p w14:paraId="2389101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assessment tools included consideration of residents lived experiences, cultural needs, values, and beliefs. The CM, UCs, and RNs reported that the service develops goal-oriented long-term care plans (My Ryman). The care plans document the activities of daily living, support required, and residents’ health issues. All residents had identified activities of choice and were actively supported to engage with help from staff.</w:t>
            </w:r>
          </w:p>
          <w:p w14:paraId="5C3BF6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verified that residents and family/whānau were included and informed of all changes where required, as evidenced in the residents’ files reviewed. The family/whānau and residents reiterated their involvement in evaluating progress and any resulting changes. Staff interviewed were able to describe in detail interventions provided that contributed to the residents achieving their goals, and in addition, were able to describe interventions provided that contributed to the overall health and well-being of the residents. Behaviour management plans were completed for residents in the special care unit, including other residents with behaviours that challenge. Triggers were identified, and strategies to manage these were documented. Behaviours that challenge were monitored and recorded on the behaviour monitoring charts. The CM reported that all referrals for residents who need behavioural support are sought from other agencies as required. </w:t>
            </w:r>
          </w:p>
          <w:p w14:paraId="035C8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two GPs who visit twice weekly and are available 24/7 when required. Three-monthly reviews were completed promptly or, where required. Where progress was different from expected, the service, in collaboration with residents or family/whānau, responded by initiating changes to the care plans. Residents’ care was evaluated on each shift and reported in the progress notes. Short-term care plans were completed for acute conditions, and these were reviewed regularly and closed off when the acute conditions resolved. The goals sampled in the care plans reflected identified residents’ strengths, goals, and aspirations that aligned with their values and beliefs. The evaluations included the degree of progress towards achieving their agreed goals. There were detailed documented strategies to maintain and promote residents’ independent wellbeing. </w:t>
            </w:r>
          </w:p>
          <w:p w14:paraId="0F3774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Allied health interventions were documented and integrated into care plans. A podiatrist visits six-weekly, and a dietitian, speech language therapist, local hospice, mental health services for older people (MHSOP) and wound care specialist nurse are available as required through the local Health New Zealand service. The physiotherapist is contracted to attend to residents for four hours each day, five days a week. The GP expressed satisfaction with the care provided.</w:t>
            </w:r>
          </w:p>
          <w:p w14:paraId="5D70E6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Handovers are conducted on all three respective floors. Interviewed staff stated that they were updated daily regarding each resident’s condition. A multidisciplinary approach promotes continuity in service delivery, including the GP, registered nurses, physiotherapists, activities staff, kitchen staff, care staff and other allied health team members, residents, and family/whānau. Any change in condition is reported to the CM, UCs, RNs, and GP, as evidenced in the records sampled.</w:t>
            </w:r>
          </w:p>
          <w:p w14:paraId="4F3CE68F"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weight monitoring; blood glucose monitoring; behaviour monitoring charts; bowel charts; and food intake and output charts. Neurological observations are completed for unwitnessed falls or head injuries. All incident reports were reviewed and evidenced by timely nursing follow up.</w:t>
            </w:r>
          </w:p>
          <w:p w14:paraId="6E65CB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dressing supplies were sighted in treatment rooms. Wound management policies and procedures are in place. There were 61 active wounds, including 17 pressure injuries. Eleven of the pressure injuries were present on admission and six facility-acquired (two-stage IV pressure injuries: six-stage III, four-stage II, three-stage I, one suspected deep tissue and one unstageable pressure injury). There were also 12 chronic wounds and 32 minor wounds. The electronic wound care plan documents assessments, wound management plans and evaluations, with supporting photographs and wound </w:t>
            </w:r>
            <w:r w:rsidRPr="00BE00C7">
              <w:rPr>
                <w:rFonts w:cs="Arial"/>
                <w:lang w:eastAsia="en-NZ"/>
              </w:rPr>
              <w:lastRenderedPageBreak/>
              <w:t>assessments. The Health New Zealand wound nurse specialist, and the GP have input into chronic wound management. Registered nurses and care staff interviewed stated that adequate clinical supplies and equipment are provided, including continence, wound care supplies, and pressure injury prevention resources. A continence specialist can be accessed as required.</w:t>
            </w:r>
          </w:p>
          <w:p w14:paraId="02A32514" w14:textId="6CDF96E1" w:rsidR="00000000" w:rsidRPr="00BE00C7" w:rsidRDefault="00000000" w:rsidP="00FD06B4">
            <w:pPr>
              <w:pStyle w:val="OutcomeDescription"/>
              <w:spacing w:before="120" w:after="120"/>
              <w:rPr>
                <w:rFonts w:cs="Arial"/>
                <w:lang w:eastAsia="en-NZ"/>
              </w:rPr>
            </w:pPr>
            <w:r w:rsidRPr="00BE00C7">
              <w:rPr>
                <w:rFonts w:cs="Arial"/>
                <w:lang w:eastAsia="en-NZ"/>
              </w:rPr>
              <w:t>The Māori health care plan in place supports residents and family/whānau, as applicable, to identify their own pae ora outcomes in their care and support wellbeing. Tikanga principles are included within the Māori health care plan. The CM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Residents at the service of Māori descent have chosen not to practice their culture, as indicated in their care plans and reported by staff. The cultural safety assessment process validates Māori healing methodologies, such as karakia, rongoā and spiritual assistance. Cultural assessments are completed by staff who have completed cultural safety training.</w:t>
            </w:r>
          </w:p>
        </w:tc>
      </w:tr>
      <w:tr w:rsidR="00DA0DCD" w14:paraId="21DC54A0" w14:textId="77777777">
        <w:tc>
          <w:tcPr>
            <w:tcW w:w="0" w:type="auto"/>
          </w:tcPr>
          <w:p w14:paraId="6230D3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61C8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04EDB71" w14:textId="77777777" w:rsidR="00000000" w:rsidRPr="00BE00C7" w:rsidRDefault="00000000" w:rsidP="00BE00C7">
            <w:pPr>
              <w:pStyle w:val="OutcomeDescription"/>
              <w:spacing w:before="120" w:after="120"/>
              <w:rPr>
                <w:rFonts w:cs="Arial"/>
                <w:lang w:eastAsia="en-NZ"/>
              </w:rPr>
            </w:pPr>
          </w:p>
        </w:tc>
        <w:tc>
          <w:tcPr>
            <w:tcW w:w="0" w:type="auto"/>
          </w:tcPr>
          <w:p w14:paraId="3C452F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47BC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team of four activity and lifestyle coordinators. The activity and lifestyle coordinators implement the activities programme in each unit, which reflects the physical and cognitive abilities of the resident groups. The programme is overseen by a group diversional therapist (DT) at Ryman's head office. Residents’ activity needs, interests, abilities, and social requirements are assessed on admission, with input from residents, whānau and EPOAs. These were completed within two to three weeks of admission. The service has a contracted physiotherapist who is supported by an assistant. </w:t>
            </w:r>
          </w:p>
          <w:p w14:paraId="6C1E97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plan was posted on noticeboards, and each resident received a copy of the activities calendar. Daily activities were written on the whiteboard. Residents are invited to activities on the schedule daily. Interested family/whānau are also given a copy of the activities calendar, so that they can join as desired. The activities are varied and appropriate for people assessed as requiring rest-home, hospital, dementia and respite level of care. </w:t>
            </w:r>
          </w:p>
          <w:p w14:paraId="6CA276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planned activities and community connections were suitable for the residents. The activity and lifestyle coordinators reported that activities are provided separately in the three respective wings. The activities on the programme included: walks; exercises to music; pet therapy; happy hour; church services; news and views; community library visits; bingo; floor games; table games; walks; triple-A functional; cluster activities; memory lane; hand massage; van outings; music; waiata; cooking; movies; art; and craft. There are regular outings and drives once a week for each level of care (as appropriate). Monthly resident meetings provide a forum for feedback relating to activities. Activity participation registers were completed daily. Residents were observed participating in a variety of activities on the audit days. Residents are assessed by the GP for approval for fitness to use the swimming pool.</w:t>
            </w:r>
          </w:p>
          <w:p w14:paraId="2FABB581" w14:textId="77777777" w:rsidR="00000000" w:rsidRPr="00BE00C7" w:rsidRDefault="00000000" w:rsidP="00BE00C7">
            <w:pPr>
              <w:pStyle w:val="OutcomeDescription"/>
              <w:spacing w:before="120" w:after="120"/>
              <w:rPr>
                <w:rFonts w:cs="Arial"/>
                <w:lang w:eastAsia="en-NZ"/>
              </w:rPr>
            </w:pPr>
            <w:r w:rsidRPr="00BE00C7">
              <w:rPr>
                <w:rFonts w:cs="Arial"/>
                <w:lang w:eastAsia="en-NZ"/>
              </w:rPr>
              <w:t>Engagement activities for residents in the special care unit are tailored to meet the needs of the residents. There were 24-hour activity care plans, which included strategies for distraction and de-escalation, completed for residents in the special care unit. Activities are offered at times when residents are most physically active and/or restless. Each resident has a resident life experience detailing the past and present activities, career, and family/whānau. Some of the activities in the SCU include (but are not limited to): cards; gardening; knitting; embroidery; croquet, bowls; winter sensory kits; men’s club; outings; mind benders; royals quiz; and tabletop games.</w:t>
            </w:r>
          </w:p>
          <w:p w14:paraId="695ED0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and lifestyle coordinators reported that opportunities for Māori and whānau to participate in te ao Māori are facilitated through community engagements with the community Kapa haka group, and by celebrating national cultural events, Matariki, Waitangi and Māori language week.</w:t>
            </w:r>
          </w:p>
          <w:p w14:paraId="756194A3" w14:textId="77777777" w:rsidR="00000000" w:rsidRPr="00BE00C7" w:rsidRDefault="00000000" w:rsidP="00BE00C7">
            <w:pPr>
              <w:pStyle w:val="OutcomeDescription"/>
              <w:spacing w:before="120" w:after="120"/>
              <w:rPr>
                <w:rFonts w:cs="Arial"/>
                <w:lang w:eastAsia="en-NZ"/>
              </w:rPr>
            </w:pPr>
            <w:r w:rsidRPr="00BE00C7">
              <w:rPr>
                <w:rFonts w:cs="Arial"/>
                <w:lang w:eastAsia="en-NZ"/>
              </w:rPr>
              <w:t>EPOAs, family/whānau and residents reported satisfaction with the level and variety of activities provided.</w:t>
            </w:r>
          </w:p>
          <w:p w14:paraId="3B901758" w14:textId="77777777" w:rsidR="00000000" w:rsidRPr="00BE00C7" w:rsidRDefault="00000000" w:rsidP="00BE00C7">
            <w:pPr>
              <w:pStyle w:val="OutcomeDescription"/>
              <w:spacing w:before="120" w:after="120"/>
              <w:rPr>
                <w:rFonts w:cs="Arial"/>
                <w:lang w:eastAsia="en-NZ"/>
              </w:rPr>
            </w:pPr>
          </w:p>
        </w:tc>
      </w:tr>
      <w:tr w:rsidR="00DA0DCD" w14:paraId="344E076A" w14:textId="77777777">
        <w:tc>
          <w:tcPr>
            <w:tcW w:w="0" w:type="auto"/>
          </w:tcPr>
          <w:p w14:paraId="1CA746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8542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763FD9" w14:textId="77777777" w:rsidR="00000000" w:rsidRPr="00BE00C7" w:rsidRDefault="00000000" w:rsidP="00BE00C7">
            <w:pPr>
              <w:pStyle w:val="OutcomeDescription"/>
              <w:spacing w:before="120" w:after="120"/>
              <w:rPr>
                <w:rFonts w:cs="Arial"/>
                <w:lang w:eastAsia="en-NZ"/>
              </w:rPr>
            </w:pPr>
          </w:p>
        </w:tc>
        <w:tc>
          <w:tcPr>
            <w:tcW w:w="0" w:type="auto"/>
          </w:tcPr>
          <w:p w14:paraId="437C2C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D6D8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medication prescribing, dispensing, administration, review, </w:t>
            </w:r>
            <w:r w:rsidRPr="00BE00C7">
              <w:rPr>
                <w:rFonts w:cs="Arial"/>
                <w:lang w:eastAsia="en-NZ"/>
              </w:rPr>
              <w:lastRenderedPageBreak/>
              <w:t>and reconciliation. Administration records were maintained. Medications were supplied to the facility from a contracted pharmacy. The GPs completed three-monthly medication reviews. A total of 18 electronic medicine charts and two paper medicine charts for respite residents were reviewed. These comprised six rest home, including one respite, eight hospital-level care, and six for residents in the special care unit, respectively. Indications for use were noted for pro re nata (PRN) medications, including over-the-counter medications and supplements, on the medication charts. Allergies were indicated, and all photos uploaded on the electronic medication management system were current. Eye drops were dated on opening. The effectiveness of PRN medications was consistently documented in the electronic medication management system and progress notes.</w:t>
            </w:r>
          </w:p>
          <w:p w14:paraId="0649EF1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Medication incidents were completed in the event of a drug error, and corrective actions were taken. A sample of these were reviewed during the audit. There were no expired or unwanted medicines. Expired medicines were being returned to the pharmacy promptly. Monitoring medicine fridges and medication room temperatures was conducted regularly, and deviations from normal ranges were reported and attended to promptly. Records were sighted.</w:t>
            </w:r>
          </w:p>
          <w:p w14:paraId="5D666B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in the hospital wing was observed administering medications safely and correctly. Medications were stored safely and securely in the trollies, locked treatment rooms, and cupboards on all floors. There were residents self-administering medications.  Appropriate processes were in place to ensure that residents who were self-administering medicines did it safely. A self-medication policy was in place when required. There were no standing orders in use.</w:t>
            </w:r>
          </w:p>
          <w:p w14:paraId="3D49EE4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GP stated that when requested by Māori, appropriate support and advice would be provided.</w:t>
            </w:r>
          </w:p>
          <w:p w14:paraId="5846EF0F" w14:textId="77777777" w:rsidR="00000000" w:rsidRPr="00BE00C7" w:rsidRDefault="00000000" w:rsidP="00BE00C7">
            <w:pPr>
              <w:pStyle w:val="OutcomeDescription"/>
              <w:spacing w:before="120" w:after="120"/>
              <w:rPr>
                <w:rFonts w:cs="Arial"/>
                <w:lang w:eastAsia="en-NZ"/>
              </w:rPr>
            </w:pPr>
          </w:p>
        </w:tc>
      </w:tr>
      <w:tr w:rsidR="00DA0DCD" w14:paraId="5233C8A8" w14:textId="77777777">
        <w:tc>
          <w:tcPr>
            <w:tcW w:w="0" w:type="auto"/>
          </w:tcPr>
          <w:p w14:paraId="307F35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B3D71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341273" w14:textId="77777777" w:rsidR="00000000" w:rsidRPr="00BE00C7" w:rsidRDefault="00000000" w:rsidP="00BE00C7">
            <w:pPr>
              <w:pStyle w:val="OutcomeDescription"/>
              <w:spacing w:before="120" w:after="120"/>
              <w:rPr>
                <w:rFonts w:cs="Arial"/>
                <w:lang w:eastAsia="en-NZ"/>
              </w:rPr>
            </w:pPr>
          </w:p>
        </w:tc>
        <w:tc>
          <w:tcPr>
            <w:tcW w:w="0" w:type="auto"/>
          </w:tcPr>
          <w:p w14:paraId="2BB488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ECA9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It is managed by the lead chef, who is supported by two other chefs, two cooking assistants, three kitchen assistants, and two baristas. All have recognised food safety qualifications and relevant experience working in a kitchen environment. The lead chef reported that all food and baking are prepared and cooked on site. Food is prepared in line with recognised nutritional guidelines for older people.</w:t>
            </w:r>
          </w:p>
          <w:p w14:paraId="5D34F3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expires on 9 May 2026. A registered dietitian, whom the organisation employs, reviewed the menu on 23 March 2025, and it was current. Kitchen staff have current food handling certificates.</w:t>
            </w:r>
          </w:p>
          <w:p w14:paraId="5369EBA4"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has confirmed awareness of the residents' dietary needs. Residents have a nutrition profile developed on admission, identifying nutritional requirements, likes, and dislikes. All alternatives are catered for as required. There are specialised utensils available if required. The residents’ weights were monitored regularly, and supplements provided to residents with identified weight loss issues. Snacks and drinks are available for residents throughout the day and at night when required.</w:t>
            </w:r>
          </w:p>
          <w:p w14:paraId="2181C1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clean, tidy, and well-stocked. Regular cleaning is undertaken, and all services comply with current legislation and guidelines. Labels and dates were on all containers. Thermometer calibrations were completed every three months. Records of temperature monitoring of food, chiller, fridges, and freezers are maintained. All food is delivered to the respective wings in scan boxes.  All decanted food had records of use-by dates recorded on the containers, and no expired items were sighted. Family/whānau and residents interviewed indicated satisfaction with the food service. </w:t>
            </w:r>
          </w:p>
          <w:p w14:paraId="09F3C8E9" w14:textId="77777777" w:rsidR="00000000" w:rsidRPr="00BE00C7" w:rsidRDefault="00000000" w:rsidP="00BE00C7">
            <w:pPr>
              <w:pStyle w:val="OutcomeDescription"/>
              <w:spacing w:before="120" w:after="120"/>
              <w:rPr>
                <w:rFonts w:cs="Arial"/>
                <w:lang w:eastAsia="en-NZ"/>
              </w:rPr>
            </w:pPr>
            <w:r w:rsidRPr="00BE00C7">
              <w:rPr>
                <w:rFonts w:cs="Arial"/>
                <w:lang w:eastAsia="en-NZ"/>
              </w:rPr>
              <w:t>Meal times were observed during the audit. Residents received the support they needed and were given enough time to eat their meals in an unhurried fashion.</w:t>
            </w:r>
          </w:p>
          <w:p w14:paraId="686F4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senior lead chef reported that the service prepares food that is culturally specific to different cultures. This includes menu options that are culturally specific to te ao Māori. Also, ' boil-ups’, hāngi, Māori </w:t>
            </w:r>
            <w:r w:rsidRPr="00BE00C7">
              <w:rPr>
                <w:rFonts w:cs="Arial"/>
                <w:lang w:eastAsia="en-NZ"/>
              </w:rPr>
              <w:lastRenderedPageBreak/>
              <w:t xml:space="preserve">bread, and pork were included on the menu, and these are offered to residents who identify as Māori when required.  </w:t>
            </w:r>
          </w:p>
          <w:p w14:paraId="114654E6" w14:textId="77777777" w:rsidR="00000000" w:rsidRPr="00BE00C7" w:rsidRDefault="00000000" w:rsidP="00BE00C7">
            <w:pPr>
              <w:pStyle w:val="OutcomeDescription"/>
              <w:spacing w:before="120" w:after="120"/>
              <w:rPr>
                <w:rFonts w:cs="Arial"/>
                <w:lang w:eastAsia="en-NZ"/>
              </w:rPr>
            </w:pPr>
          </w:p>
        </w:tc>
      </w:tr>
      <w:tr w:rsidR="00DA0DCD" w14:paraId="7C4875E9" w14:textId="77777777">
        <w:tc>
          <w:tcPr>
            <w:tcW w:w="0" w:type="auto"/>
          </w:tcPr>
          <w:p w14:paraId="27A5AB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9AB58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D790C1A" w14:textId="77777777" w:rsidR="00000000" w:rsidRPr="00BE00C7" w:rsidRDefault="00000000" w:rsidP="00BE00C7">
            <w:pPr>
              <w:pStyle w:val="OutcomeDescription"/>
              <w:spacing w:before="120" w:after="120"/>
              <w:rPr>
                <w:rFonts w:cs="Arial"/>
                <w:lang w:eastAsia="en-NZ"/>
              </w:rPr>
            </w:pPr>
          </w:p>
        </w:tc>
        <w:tc>
          <w:tcPr>
            <w:tcW w:w="0" w:type="auto"/>
          </w:tcPr>
          <w:p w14:paraId="07D224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CC41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CM reported that discharges normally go into similar facilities. The nursing team oversees discharges and manages the process until exit. All this is conducted in consultation with the resident, family/whānau, and other external agencies. Risks are identified and managed as required. </w:t>
            </w:r>
          </w:p>
          <w:p w14:paraId="6DF654D9"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in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Upon discharge, current and old notes are collated and scanned into the resident’s electronic management system. If a subsequent GP require a resident’s information, a written request is required to transfer the file.</w:t>
            </w:r>
          </w:p>
          <w:p w14:paraId="1E2204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exits or discharges to and from the service, and there was sufficient evidence in the residents’ records to confirm this.</w:t>
            </w:r>
          </w:p>
          <w:p w14:paraId="1A1D9777" w14:textId="77777777" w:rsidR="00000000" w:rsidRPr="00BE00C7" w:rsidRDefault="00000000" w:rsidP="00BE00C7">
            <w:pPr>
              <w:pStyle w:val="OutcomeDescription"/>
              <w:spacing w:before="120" w:after="120"/>
              <w:rPr>
                <w:rFonts w:cs="Arial"/>
                <w:lang w:eastAsia="en-NZ"/>
              </w:rPr>
            </w:pPr>
          </w:p>
        </w:tc>
      </w:tr>
      <w:tr w:rsidR="00DA0DCD" w14:paraId="04214374" w14:textId="77777777">
        <w:tc>
          <w:tcPr>
            <w:tcW w:w="0" w:type="auto"/>
          </w:tcPr>
          <w:p w14:paraId="02E069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628FA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1D1E9748" w14:textId="77777777" w:rsidR="00000000" w:rsidRPr="00BE00C7" w:rsidRDefault="00000000" w:rsidP="00BE00C7">
            <w:pPr>
              <w:pStyle w:val="OutcomeDescription"/>
              <w:spacing w:before="120" w:after="120"/>
              <w:rPr>
                <w:rFonts w:cs="Arial"/>
                <w:lang w:eastAsia="en-NZ"/>
              </w:rPr>
            </w:pPr>
          </w:p>
        </w:tc>
        <w:tc>
          <w:tcPr>
            <w:tcW w:w="0" w:type="auto"/>
          </w:tcPr>
          <w:p w14:paraId="399E78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725A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certificate of public use (CPU) that expires on 2 August 2025. The physical environment supports the independence of the residents. Corridors have safety rails and promote safe mobility using mobility aids. Residents were observed moving freely in their respective wings with mobility aids. There are comfortable-looking lounges for communal gatherings and activities at the facility. Quiet spaces for residents and their family/whānau to utilise are available inside and outside on the deck open area. The warrant of </w:t>
            </w:r>
            <w:r w:rsidRPr="00BE00C7">
              <w:rPr>
                <w:rFonts w:cs="Arial"/>
                <w:lang w:eastAsia="en-NZ"/>
              </w:rPr>
              <w:lastRenderedPageBreak/>
              <w:t>fitness for the facility van used to transport residents for outings is current.</w:t>
            </w:r>
          </w:p>
          <w:p w14:paraId="30FB78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electrical testing and tagging of electrical equipment, resident equipment checks, and calibrations of the weighing scales and clinical equipment. The scales were checked annually. Hot water temperatures were monitored monthly, and the reviewed records were within the recommended ranges. Certified tradespeople carry out reactive maintenance where required.</w:t>
            </w:r>
          </w:p>
          <w:p w14:paraId="3A3D1B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on three levels, with the rest home and hospital beds located on levels two and three (dual purpose beds). The ensuites are spacious and safely accessible with a hoist, as observed on the audit day. All ensuites have external windows to provide natural light and have appropriate ventilation and central heating. Each floor has lounges, dining rooms and nurses’ stations in the middle, with resident rooms on either side. There is a kitchenette in each dining room where residents can help themselves to drinks. There is a library and a quiet room on each floor. There are balconies off the lounges with 1.5 metre fencing in place. The furnishings and seating are appropriate for the resident group. Activities take place in the activities lounge area on each floor. Residents’ rooms are personalised according to their preferences. No residents shared a room. Rooms, shower rooms, and toilets are a suitable size to accommodate mobility equipment. All rooms have external windows to provide natural light, appropriate ventilation, and heating. The environmental temperature is monitored, and processes are implemented to manage significant temperature changes.</w:t>
            </w:r>
          </w:p>
          <w:p w14:paraId="55652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 floor of the building includes two secure special care units (dementia level), with the units divided into two, with the nurse’s station in the middle. Both have 20 beds, with each having access to its own dining area/lounge, and outdoor area. Entry to the special care units is by keypad door code or swipe. The dining rooms have small kitchenettes where residents may obtain snacks and drinks. There is also a quiet room in each of the 20-bed SCUs. Resident rooms have different coloured doors. There is ample room for residents to walk freely and safely. The two units are separated by a door. Each unit has </w:t>
            </w:r>
            <w:r w:rsidRPr="00BE00C7">
              <w:rPr>
                <w:rFonts w:cs="Arial"/>
                <w:lang w:eastAsia="en-NZ"/>
              </w:rPr>
              <w:lastRenderedPageBreak/>
              <w:t>an outdoor area with a circular path, where residents can walk freely. The outdoor areas have seating and shade.</w:t>
            </w:r>
          </w:p>
          <w:p w14:paraId="25ECB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floor level of care has a small kitchen that staff and residents can use to make drinks for residents. There are also nurses' stations, large dining and lounge areas. All communal toilets and shower facilities have a system indicating whether they are engaged or vacant. All the washing areas have free-flowing soap and paper towels in the toilet areas. </w:t>
            </w:r>
          </w:p>
          <w:p w14:paraId="068290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are well maintained. External areas are independently accessible to residents. All outdoor areas have seating and shade. Safe access is provided to all communal areas. No residents smoked on the audit days.</w:t>
            </w:r>
          </w:p>
          <w:p w14:paraId="59FF24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lead maintenance reported that when there is a planned development for new buildings, there shall be consultation and co-design of the environments to ensure that they reflect the aspirations and identity of Māori. Residents and family/whānau interviewed expressed a high level of satisfaction with the environment.</w:t>
            </w:r>
          </w:p>
          <w:p w14:paraId="2C243566" w14:textId="77777777" w:rsidR="00000000" w:rsidRPr="00BE00C7" w:rsidRDefault="00000000" w:rsidP="00BE00C7">
            <w:pPr>
              <w:pStyle w:val="OutcomeDescription"/>
              <w:spacing w:before="120" w:after="120"/>
              <w:rPr>
                <w:rFonts w:cs="Arial"/>
                <w:lang w:eastAsia="en-NZ"/>
              </w:rPr>
            </w:pPr>
          </w:p>
        </w:tc>
      </w:tr>
      <w:tr w:rsidR="00DA0DCD" w14:paraId="131D8841" w14:textId="77777777">
        <w:tc>
          <w:tcPr>
            <w:tcW w:w="0" w:type="auto"/>
          </w:tcPr>
          <w:p w14:paraId="0B2571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68DF2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8A6F45" w14:textId="77777777" w:rsidR="00000000" w:rsidRPr="00BE00C7" w:rsidRDefault="00000000" w:rsidP="00BE00C7">
            <w:pPr>
              <w:pStyle w:val="OutcomeDescription"/>
              <w:spacing w:before="120" w:after="120"/>
              <w:rPr>
                <w:rFonts w:cs="Arial"/>
                <w:lang w:eastAsia="en-NZ"/>
              </w:rPr>
            </w:pPr>
          </w:p>
        </w:tc>
        <w:tc>
          <w:tcPr>
            <w:tcW w:w="0" w:type="auto"/>
          </w:tcPr>
          <w:p w14:paraId="1FDBB8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5071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to staff. Civil defence planning guides the facility in preparing for disasters and describes the procedures to be followed in a fire or other emergency. The Fire and Emergency New Zealand approved a fire evacuation plan that was in place and is currently in effect. A trial evacuation drill was performed on 17 April 2025. The drills are conducted every six months and added to the annual training programme. The staff orientation programme includes fire and security training.</w:t>
            </w:r>
          </w:p>
          <w:p w14:paraId="68259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fire exit doors, and the main car park area is the designated assembly point. An external contractor checks all fire equipment within the required timeframes. A civil defence plan was in place. There were adequate supplies in the event of a civil defence emergency, including food, water, candles, torches, a generator, and three gas BBQs to meet the requirements for 84 residents and rostered staff. The amount of emergency water available met the National Emergency Management Agency recommendations for the region. </w:t>
            </w:r>
            <w:r w:rsidRPr="00BE00C7">
              <w:rPr>
                <w:rFonts w:cs="Arial"/>
                <w:lang w:eastAsia="en-NZ"/>
              </w:rPr>
              <w:lastRenderedPageBreak/>
              <w:t>Emergency lighting is available and is regularly tested. Registered nurses, senior caregivers, caregivers, activities and lifestyle staff, and van drivers have current first aid certificates. An automatic external defibrillator was in the reception area. The staff interviewed confirmed their awareness of the emergency procedures.</w:t>
            </w:r>
          </w:p>
          <w:p w14:paraId="050A62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used by the residents, family/whānau, and staff members to summon assistance. All residents have access to a call bell, which the maintenance officers check monthly. Call bell audits were completed as per the audit schedule. Residents and family/whānau confirmed that staff respond to calls promptly.</w:t>
            </w:r>
          </w:p>
          <w:p w14:paraId="7A68C163"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An external provider provided 24-hour security. Doors are locked at predetermined times in the evenings, and family/whānau and residents know how to alert staff when they need access to the facility after hours.</w:t>
            </w:r>
          </w:p>
          <w:p w14:paraId="1FCFE861" w14:textId="77777777" w:rsidR="00000000" w:rsidRPr="00BE00C7" w:rsidRDefault="00000000" w:rsidP="00BE00C7">
            <w:pPr>
              <w:pStyle w:val="OutcomeDescription"/>
              <w:spacing w:before="120" w:after="120"/>
              <w:rPr>
                <w:rFonts w:cs="Arial"/>
                <w:lang w:eastAsia="en-NZ"/>
              </w:rPr>
            </w:pPr>
            <w:r w:rsidRPr="00BE00C7">
              <w:rPr>
                <w:rFonts w:cs="Arial"/>
                <w:lang w:eastAsia="en-NZ"/>
              </w:rPr>
              <w:t>A visitors' policy and guidelines are available to ensure that residents’ safety and wellbeing are not compromised by visitors to the service. Visitors and contractors are required to sign in and out of visitors’ registers. A closed-circuit television and video (CCTV) system monitors the entrance, garden, and communal areas. CCTV signage was displayed around the facility.</w:t>
            </w:r>
          </w:p>
          <w:p w14:paraId="06129CFF" w14:textId="77777777" w:rsidR="00000000" w:rsidRPr="00BE00C7" w:rsidRDefault="00000000" w:rsidP="00BE00C7">
            <w:pPr>
              <w:pStyle w:val="OutcomeDescription"/>
              <w:spacing w:before="120" w:after="120"/>
              <w:rPr>
                <w:rFonts w:cs="Arial"/>
                <w:lang w:eastAsia="en-NZ"/>
              </w:rPr>
            </w:pPr>
          </w:p>
        </w:tc>
      </w:tr>
      <w:tr w:rsidR="00DA0DCD" w14:paraId="02419411" w14:textId="77777777">
        <w:tc>
          <w:tcPr>
            <w:tcW w:w="0" w:type="auto"/>
          </w:tcPr>
          <w:p w14:paraId="6F00E0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FA34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6C8DCA9" w14:textId="77777777" w:rsidR="00000000" w:rsidRPr="00BE00C7" w:rsidRDefault="00000000" w:rsidP="00BE00C7">
            <w:pPr>
              <w:pStyle w:val="OutcomeDescription"/>
              <w:spacing w:before="120" w:after="120"/>
              <w:rPr>
                <w:rFonts w:cs="Arial"/>
                <w:lang w:eastAsia="en-NZ"/>
              </w:rPr>
            </w:pPr>
          </w:p>
        </w:tc>
        <w:tc>
          <w:tcPr>
            <w:tcW w:w="0" w:type="auto"/>
          </w:tcPr>
          <w:p w14:paraId="62C5E4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CCE02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is an integral part of the organisation’s business and quality plan to ensure an environment that minimises the risk of infection to residents, staff, and visitors. Expertise in infection control and AMS can be accessed through the infection prevention lead at the head office, Public Health, and Health New Zealand. Infection control and AMS resources are accessible. There is a documented pathway for reporting infection control and AMS issues to the governance body. This was confirmed in an interview with the management team.</w:t>
            </w:r>
          </w:p>
          <w:p w14:paraId="3AC064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committee meetings are held every two months. Infection rates are presented and discussed at infection control and staff meetings. The infection prevention lead at the head office has access to the facility’s infection data. Any significant events are </w:t>
            </w:r>
            <w:r w:rsidRPr="00BE00C7">
              <w:rPr>
                <w:rFonts w:cs="Arial"/>
                <w:lang w:eastAsia="en-NZ"/>
              </w:rPr>
              <w:lastRenderedPageBreak/>
              <w:t>managed using a collaborative approach and involve the infection prevention control lead, the senior management team and general practitioner. There is a documented pathway for reporting infection prevention and control and AMS concerns to the governance body. Outbreaks are escalated in a timely manner.</w:t>
            </w:r>
          </w:p>
          <w:p w14:paraId="01DC7A04" w14:textId="77777777" w:rsidR="00000000" w:rsidRPr="00BE00C7" w:rsidRDefault="00000000" w:rsidP="00BE00C7">
            <w:pPr>
              <w:pStyle w:val="OutcomeDescription"/>
              <w:spacing w:before="120" w:after="120"/>
              <w:rPr>
                <w:rFonts w:cs="Arial"/>
                <w:lang w:eastAsia="en-NZ"/>
              </w:rPr>
            </w:pPr>
          </w:p>
        </w:tc>
      </w:tr>
      <w:tr w:rsidR="00DA0DCD" w14:paraId="3523C96D" w14:textId="77777777">
        <w:tc>
          <w:tcPr>
            <w:tcW w:w="0" w:type="auto"/>
          </w:tcPr>
          <w:p w14:paraId="28DA14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16028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1022323" w14:textId="77777777" w:rsidR="00000000" w:rsidRPr="00BE00C7" w:rsidRDefault="00000000" w:rsidP="00BE00C7">
            <w:pPr>
              <w:pStyle w:val="OutcomeDescription"/>
              <w:spacing w:before="120" w:after="120"/>
              <w:rPr>
                <w:rFonts w:cs="Arial"/>
                <w:lang w:eastAsia="en-NZ"/>
              </w:rPr>
            </w:pPr>
          </w:p>
        </w:tc>
        <w:tc>
          <w:tcPr>
            <w:tcW w:w="0" w:type="auto"/>
          </w:tcPr>
          <w:p w14:paraId="7A0AE0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4D2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its content and detail, is appropriate for the size, complexity and degree of risk associated with the service. The infection prevention programme is linked to the electronic quality risk and incident reporting system. The infection prevention programme and AMS are reviewed annually by the infection prevention lead at Ryman's head office. </w:t>
            </w:r>
          </w:p>
          <w:p w14:paraId="421EE0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Ryman's head office in consultation with the infection prevention lead. Policies are available to staff. The facility infection prevention and control lead job description outlines the responsibility of the role relating to infection prevention and control matters and AMS. The clinical manager is the infection prevention and control lead at Keith Park Retirement Village, and they have completed internal infection prevention education specific to the role. The service has access to a national infection prevention and control lead at the head office and the regional clinical manager.</w:t>
            </w:r>
          </w:p>
          <w:p w14:paraId="35A3B0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lead described the outbreak management plans used to manage previous, and any possible future outbreaks within the facility. This includes reviewing each outbreak and identifying where improvements can be made in future. The infection prevention and control lead audit and monitors the effectiveness of education and infection control practices.</w:t>
            </w:r>
          </w:p>
          <w:p w14:paraId="63B91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lead has input in the procurement of infection prevention consumables and personal protective equipment (PPE). Sufficient infection prevention resources, including PPE, were </w:t>
            </w:r>
            <w:r w:rsidRPr="00BE00C7">
              <w:rPr>
                <w:rFonts w:cs="Arial"/>
                <w:lang w:eastAsia="en-NZ"/>
              </w:rPr>
              <w:lastRenderedPageBreak/>
              <w:t xml:space="preserve">sighted, and these are regularly checked against expiry dates. The infection prevention resources are readily accessible to support the pandemic plan and outbreak management plan. Staff interviewed demonstrated knowledge of the requirements of standard precautions and were able to locate policies and procedures. </w:t>
            </w:r>
          </w:p>
          <w:p w14:paraId="4DB61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clinical team works in partnership with Māori residents and family/whānau for the protection of culturally safe practices in infection prevention and acknowledging the spirit of Te Tiriti O Waitangi. In interviews, staff interviewed understood cultural considerations related to infection control practices. </w:t>
            </w:r>
          </w:p>
          <w:p w14:paraId="5D79E9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single-use equipment. Single-use medical devices are not reused. All shared and reusable equipment is appropriately disinfected between uses. The procedures to check these are included in the internal audit system.  </w:t>
            </w:r>
          </w:p>
          <w:p w14:paraId="29125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3FC29C85"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27FB7A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strategically placed around the facility, and handbasins all have flowing soap.</w:t>
            </w:r>
          </w:p>
          <w:p w14:paraId="758CC9BA" w14:textId="77777777" w:rsidR="00000000" w:rsidRPr="00BE00C7" w:rsidRDefault="00000000" w:rsidP="00BE00C7">
            <w:pPr>
              <w:pStyle w:val="OutcomeDescription"/>
              <w:spacing w:before="120" w:after="120"/>
              <w:rPr>
                <w:rFonts w:cs="Arial"/>
                <w:lang w:eastAsia="en-NZ"/>
              </w:rPr>
            </w:pPr>
          </w:p>
        </w:tc>
      </w:tr>
      <w:tr w:rsidR="00DA0DCD" w14:paraId="7F266A95" w14:textId="77777777">
        <w:tc>
          <w:tcPr>
            <w:tcW w:w="0" w:type="auto"/>
          </w:tcPr>
          <w:p w14:paraId="38F320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2441F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6A8BDD3D" w14:textId="77777777" w:rsidR="00000000" w:rsidRPr="00BE00C7" w:rsidRDefault="00000000" w:rsidP="00BE00C7">
            <w:pPr>
              <w:pStyle w:val="OutcomeDescription"/>
              <w:spacing w:before="120" w:after="120"/>
              <w:rPr>
                <w:rFonts w:cs="Arial"/>
                <w:lang w:eastAsia="en-NZ"/>
              </w:rPr>
            </w:pPr>
          </w:p>
        </w:tc>
        <w:tc>
          <w:tcPr>
            <w:tcW w:w="0" w:type="auto"/>
          </w:tcPr>
          <w:p w14:paraId="12B34D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A07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prescribing guidance and expertise. The AMS programme was approved by the clinical governance team at Ryman head office. The programme aims to promote optimal management of antimicrobials to maximise the effectiveness of treatment and minimise potential for harm. Responsible use of antimicrobials is promoted. The clinical team work in collaboration with the general practitioner and the pharmacist </w:t>
            </w:r>
            <w:r w:rsidRPr="00BE00C7">
              <w:rPr>
                <w:rFonts w:cs="Arial"/>
                <w:lang w:eastAsia="en-NZ"/>
              </w:rPr>
              <w:lastRenderedPageBreak/>
              <w:t xml:space="preserve">to monitor the use of antibiotics. Quantity of antibiotic usage is monitored two-monthly. Staff and residents and families/whānau have received education on antibiotic usage. </w:t>
            </w:r>
          </w:p>
          <w:p w14:paraId="3D49CD0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records of infections and prescribed antibiotic treatment are maintained. The effects of the prescribed antimicrobials are monitored, and the infection prevention control lead reported that any adverse effects will be reported to the general practitioner. The AMS programme is evaluated annually.</w:t>
            </w:r>
          </w:p>
          <w:p w14:paraId="534AFF06" w14:textId="77777777" w:rsidR="00000000" w:rsidRPr="00BE00C7" w:rsidRDefault="00000000" w:rsidP="00BE00C7">
            <w:pPr>
              <w:pStyle w:val="OutcomeDescription"/>
              <w:spacing w:before="120" w:after="120"/>
              <w:rPr>
                <w:rFonts w:cs="Arial"/>
                <w:lang w:eastAsia="en-NZ"/>
              </w:rPr>
            </w:pPr>
          </w:p>
        </w:tc>
      </w:tr>
      <w:tr w:rsidR="00DA0DCD" w14:paraId="3A8716C8" w14:textId="77777777">
        <w:tc>
          <w:tcPr>
            <w:tcW w:w="0" w:type="auto"/>
          </w:tcPr>
          <w:p w14:paraId="7FD3DB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D95C3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586971F" w14:textId="77777777" w:rsidR="00000000" w:rsidRPr="00BE00C7" w:rsidRDefault="00000000" w:rsidP="00BE00C7">
            <w:pPr>
              <w:pStyle w:val="OutcomeDescription"/>
              <w:spacing w:before="120" w:after="120"/>
              <w:rPr>
                <w:rFonts w:cs="Arial"/>
                <w:lang w:eastAsia="en-NZ"/>
              </w:rPr>
            </w:pPr>
          </w:p>
        </w:tc>
        <w:tc>
          <w:tcPr>
            <w:tcW w:w="0" w:type="auto"/>
          </w:tcPr>
          <w:p w14:paraId="47606A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F14C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are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Infection control surveillance is discussed at two monthly infection control committee meetings and staff meetings. Infection surveillance data is reported to the governance body through clinical indicators reports. The service incorporates ethnicity data into surveillance data. Meeting minutes were available for staff. Action plans were completed as required. Internal infection control audits are completed, with corrective actions for areas of improvement. Clear communication pathways are documented to ensure clear communication to staff and residents who develop or experience a HAI.</w:t>
            </w:r>
          </w:p>
          <w:p w14:paraId="3C0604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outbreak of gastrointestinal infection in September/October 2024 and an outbreak of Covid-19 in December 2024. Both were appropriately reported and managed and staff were debriefed following the outbreaks.</w:t>
            </w:r>
          </w:p>
          <w:p w14:paraId="4DEDE56B" w14:textId="77777777" w:rsidR="00000000" w:rsidRPr="00BE00C7" w:rsidRDefault="00000000" w:rsidP="00BE00C7">
            <w:pPr>
              <w:pStyle w:val="OutcomeDescription"/>
              <w:spacing w:before="120" w:after="120"/>
              <w:rPr>
                <w:rFonts w:cs="Arial"/>
                <w:lang w:eastAsia="en-NZ"/>
              </w:rPr>
            </w:pPr>
          </w:p>
        </w:tc>
      </w:tr>
      <w:tr w:rsidR="00DA0DCD" w14:paraId="19DC8754" w14:textId="77777777">
        <w:tc>
          <w:tcPr>
            <w:tcW w:w="0" w:type="auto"/>
          </w:tcPr>
          <w:p w14:paraId="6B81D9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F815A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t>
            </w:r>
            <w:r w:rsidRPr="00BE00C7">
              <w:rPr>
                <w:rFonts w:cs="Arial"/>
                <w:lang w:eastAsia="en-NZ"/>
              </w:rPr>
              <w:lastRenderedPageBreak/>
              <w:t>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071A69E" w14:textId="77777777" w:rsidR="00000000" w:rsidRPr="00BE00C7" w:rsidRDefault="00000000" w:rsidP="00BE00C7">
            <w:pPr>
              <w:pStyle w:val="OutcomeDescription"/>
              <w:spacing w:before="120" w:after="120"/>
              <w:rPr>
                <w:rFonts w:cs="Arial"/>
                <w:lang w:eastAsia="en-NZ"/>
              </w:rPr>
            </w:pPr>
          </w:p>
        </w:tc>
        <w:tc>
          <w:tcPr>
            <w:tcW w:w="0" w:type="auto"/>
          </w:tcPr>
          <w:p w14:paraId="3311DE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8747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clearly labelled with manufacturer’s labels and stored in locked areas. </w:t>
            </w:r>
            <w:r w:rsidRPr="00BE00C7">
              <w:rPr>
                <w:rFonts w:cs="Arial"/>
                <w:lang w:eastAsia="en-NZ"/>
              </w:rPr>
              <w:lastRenderedPageBreak/>
              <w:t>The trolleys are kept in locked cleaner’s rooms on each floor when not in use. Safety data sheets and product sheets are available. Sharps containers are available and meet the hazardous substances regulations for containers. Gloves, aprons, and masks were available for staff, and they were observed to be wearing these as they carried out their duties on the days of audit. There are two sluice rooms on each floor that have sanitisers, with stainless steel bench and separate handwashing facilities. Eye protection wear and other personal protective equipment (PPE) are available. Staff have completed chemical safety training. Laundry and cleaning processes are monitored for effectiveness through internal audits and resident and family/whānau feedback.</w:t>
            </w:r>
          </w:p>
          <w:p w14:paraId="13C7A5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Cleaning and laundry services are monitored through the internal auditing system. The washing machines and dryers are checked and serviced regularly. </w:t>
            </w:r>
          </w:p>
          <w:p w14:paraId="6D2AA6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lead oversees the implementation of the cleaning and laundry audits.</w:t>
            </w:r>
          </w:p>
          <w:p w14:paraId="1833E4C8" w14:textId="77777777" w:rsidR="00000000" w:rsidRPr="00BE00C7" w:rsidRDefault="00000000" w:rsidP="00BE00C7">
            <w:pPr>
              <w:pStyle w:val="OutcomeDescription"/>
              <w:spacing w:before="120" w:after="120"/>
              <w:rPr>
                <w:rFonts w:cs="Arial"/>
                <w:lang w:eastAsia="en-NZ"/>
              </w:rPr>
            </w:pPr>
          </w:p>
        </w:tc>
      </w:tr>
      <w:tr w:rsidR="00DA0DCD" w14:paraId="5A3FC2EA" w14:textId="77777777">
        <w:tc>
          <w:tcPr>
            <w:tcW w:w="0" w:type="auto"/>
          </w:tcPr>
          <w:p w14:paraId="3C405D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C53F7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3A5FBC" w14:textId="77777777" w:rsidR="00000000" w:rsidRPr="00BE00C7" w:rsidRDefault="00000000" w:rsidP="00BE00C7">
            <w:pPr>
              <w:pStyle w:val="OutcomeDescription"/>
              <w:spacing w:before="120" w:after="120"/>
              <w:rPr>
                <w:rFonts w:cs="Arial"/>
                <w:lang w:eastAsia="en-NZ"/>
              </w:rPr>
            </w:pPr>
          </w:p>
        </w:tc>
        <w:tc>
          <w:tcPr>
            <w:tcW w:w="0" w:type="auto"/>
          </w:tcPr>
          <w:p w14:paraId="36775B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0CA381"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operations and governance demonstrate a commitment toward eliminating restraint, as evidenced in the documentation reviewed. The restraint policy confirms that any consideration of the use of restraint and application must be done in partnership with family/whānau. The choice of device must be the least restrictive possible. At any time if restraint were to be considered, the facility will work in partnership with Māori, to promote and ensure services are mana-enhancing. At the time of the audit, the facility was restraint free.</w:t>
            </w:r>
          </w:p>
          <w:p w14:paraId="2BE93A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unit coordinator is the restraint coordinator and confirmed that the service is committed to providing services to residents without the use of restraint. The use of restraint (if any) would be reported in the clinical, quality meetings and in a monthly restraint summary, which is </w:t>
            </w:r>
            <w:r w:rsidRPr="00BE00C7">
              <w:rPr>
                <w:rFonts w:cs="Arial"/>
                <w:lang w:eastAsia="en-NZ"/>
              </w:rPr>
              <w:lastRenderedPageBreak/>
              <w:t>shared with Ryman head office. A restraint approval committee meets every six months to review falls, unsettled residents, use of antipsychotic medications, and if appropriate, strategies are in place for residents and staff education needs.</w:t>
            </w:r>
          </w:p>
          <w:p w14:paraId="2D7206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and managing distressed behaviour and associated risks is included as part of the mandatory training plan and orientation programme. </w:t>
            </w:r>
          </w:p>
          <w:p w14:paraId="0A7C3667" w14:textId="77777777" w:rsidR="00000000" w:rsidRPr="00BE00C7" w:rsidRDefault="00000000" w:rsidP="00BE00C7">
            <w:pPr>
              <w:pStyle w:val="OutcomeDescription"/>
              <w:spacing w:before="120" w:after="120"/>
              <w:rPr>
                <w:rFonts w:cs="Arial"/>
                <w:lang w:eastAsia="en-NZ"/>
              </w:rPr>
            </w:pPr>
          </w:p>
        </w:tc>
      </w:tr>
    </w:tbl>
    <w:p w14:paraId="5B257F5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8943CB9" w14:textId="77777777" w:rsidR="00000000" w:rsidRDefault="00000000">
      <w:pPr>
        <w:pStyle w:val="Heading1"/>
        <w:rPr>
          <w:rFonts w:cs="Arial"/>
        </w:rPr>
      </w:pPr>
      <w:r>
        <w:rPr>
          <w:rFonts w:cs="Arial"/>
        </w:rPr>
        <w:lastRenderedPageBreak/>
        <w:t>Specific results for criterion where corrective actions are required</w:t>
      </w:r>
    </w:p>
    <w:p w14:paraId="79EA5D8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F13A39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F78C3A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0DCD" w14:paraId="5465BBE5" w14:textId="77777777">
        <w:tc>
          <w:tcPr>
            <w:tcW w:w="0" w:type="auto"/>
          </w:tcPr>
          <w:p w14:paraId="76F5F28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DE6297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1D19BEF" w14:textId="77777777" w:rsidR="00000000" w:rsidRDefault="00000000">
      <w:pPr>
        <w:pStyle w:val="Heading1"/>
        <w:rPr>
          <w:rFonts w:cs="Arial"/>
        </w:rPr>
      </w:pPr>
      <w:r>
        <w:rPr>
          <w:rFonts w:cs="Arial"/>
        </w:rPr>
        <w:lastRenderedPageBreak/>
        <w:t>Specific results for criterion where a continuous improvement has been recorded</w:t>
      </w:r>
    </w:p>
    <w:p w14:paraId="41581AA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C02878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16153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0DCD" w14:paraId="3D4F92B7" w14:textId="77777777">
        <w:tc>
          <w:tcPr>
            <w:tcW w:w="0" w:type="auto"/>
          </w:tcPr>
          <w:p w14:paraId="4239C53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0BC581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48D1E0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D381" w14:textId="77777777" w:rsidR="00482A5C" w:rsidRDefault="00482A5C">
      <w:r>
        <w:separator/>
      </w:r>
    </w:p>
  </w:endnote>
  <w:endnote w:type="continuationSeparator" w:id="0">
    <w:p w14:paraId="5CA81656" w14:textId="77777777" w:rsidR="00482A5C" w:rsidRDefault="0048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B92C" w14:textId="77777777" w:rsidR="00000000" w:rsidRDefault="00000000">
    <w:pPr>
      <w:pStyle w:val="Footer"/>
    </w:pPr>
  </w:p>
  <w:p w14:paraId="5B85B535" w14:textId="77777777" w:rsidR="00000000" w:rsidRDefault="00000000"/>
  <w:p w14:paraId="3385A57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7CA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Keith Park Retirement Village Limited - Keith Park Retirement Village</w:t>
    </w:r>
    <w:bookmarkEnd w:id="59"/>
    <w:r>
      <w:rPr>
        <w:rFonts w:cs="Arial"/>
        <w:sz w:val="16"/>
        <w:szCs w:val="20"/>
      </w:rPr>
      <w:tab/>
      <w:t xml:space="preserve">Date of Audit: </w:t>
    </w:r>
    <w:bookmarkStart w:id="60" w:name="AuditStartDate1"/>
    <w:r>
      <w:rPr>
        <w:rFonts w:cs="Arial"/>
        <w:sz w:val="16"/>
        <w:szCs w:val="20"/>
      </w:rPr>
      <w:t>10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311ECC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275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E13F" w14:textId="77777777" w:rsidR="00482A5C" w:rsidRDefault="00482A5C">
      <w:r>
        <w:separator/>
      </w:r>
    </w:p>
  </w:footnote>
  <w:footnote w:type="continuationSeparator" w:id="0">
    <w:p w14:paraId="2187BCD1" w14:textId="77777777" w:rsidR="00482A5C" w:rsidRDefault="0048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B367" w14:textId="77777777" w:rsidR="00000000" w:rsidRDefault="00000000">
    <w:pPr>
      <w:pStyle w:val="Header"/>
    </w:pPr>
  </w:p>
  <w:p w14:paraId="3D1B6AA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E435" w14:textId="77777777" w:rsidR="00000000" w:rsidRDefault="00000000">
    <w:pPr>
      <w:pStyle w:val="Header"/>
    </w:pPr>
  </w:p>
  <w:p w14:paraId="25BDA44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E08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1789C94">
      <w:start w:val="1"/>
      <w:numFmt w:val="decimal"/>
      <w:lvlText w:val="%1."/>
      <w:lvlJc w:val="left"/>
      <w:pPr>
        <w:ind w:left="360" w:hanging="360"/>
      </w:pPr>
    </w:lvl>
    <w:lvl w:ilvl="1" w:tplc="5ED0DF14" w:tentative="1">
      <w:start w:val="1"/>
      <w:numFmt w:val="lowerLetter"/>
      <w:lvlText w:val="%2."/>
      <w:lvlJc w:val="left"/>
      <w:pPr>
        <w:ind w:left="1080" w:hanging="360"/>
      </w:pPr>
    </w:lvl>
    <w:lvl w:ilvl="2" w:tplc="C56C3208" w:tentative="1">
      <w:start w:val="1"/>
      <w:numFmt w:val="lowerRoman"/>
      <w:lvlText w:val="%3."/>
      <w:lvlJc w:val="right"/>
      <w:pPr>
        <w:ind w:left="1800" w:hanging="180"/>
      </w:pPr>
    </w:lvl>
    <w:lvl w:ilvl="3" w:tplc="BD341048" w:tentative="1">
      <w:start w:val="1"/>
      <w:numFmt w:val="decimal"/>
      <w:lvlText w:val="%4."/>
      <w:lvlJc w:val="left"/>
      <w:pPr>
        <w:ind w:left="2520" w:hanging="360"/>
      </w:pPr>
    </w:lvl>
    <w:lvl w:ilvl="4" w:tplc="106672B2" w:tentative="1">
      <w:start w:val="1"/>
      <w:numFmt w:val="lowerLetter"/>
      <w:lvlText w:val="%5."/>
      <w:lvlJc w:val="left"/>
      <w:pPr>
        <w:ind w:left="3240" w:hanging="360"/>
      </w:pPr>
    </w:lvl>
    <w:lvl w:ilvl="5" w:tplc="87961A7C" w:tentative="1">
      <w:start w:val="1"/>
      <w:numFmt w:val="lowerRoman"/>
      <w:lvlText w:val="%6."/>
      <w:lvlJc w:val="right"/>
      <w:pPr>
        <w:ind w:left="3960" w:hanging="180"/>
      </w:pPr>
    </w:lvl>
    <w:lvl w:ilvl="6" w:tplc="69FC64DA" w:tentative="1">
      <w:start w:val="1"/>
      <w:numFmt w:val="decimal"/>
      <w:lvlText w:val="%7."/>
      <w:lvlJc w:val="left"/>
      <w:pPr>
        <w:ind w:left="4680" w:hanging="360"/>
      </w:pPr>
    </w:lvl>
    <w:lvl w:ilvl="7" w:tplc="55A064F8" w:tentative="1">
      <w:start w:val="1"/>
      <w:numFmt w:val="lowerLetter"/>
      <w:lvlText w:val="%8."/>
      <w:lvlJc w:val="left"/>
      <w:pPr>
        <w:ind w:left="5400" w:hanging="360"/>
      </w:pPr>
    </w:lvl>
    <w:lvl w:ilvl="8" w:tplc="0F22DE1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0A6D9F4">
      <w:start w:val="1"/>
      <w:numFmt w:val="bullet"/>
      <w:lvlText w:val=""/>
      <w:lvlJc w:val="left"/>
      <w:pPr>
        <w:ind w:left="720" w:hanging="360"/>
      </w:pPr>
      <w:rPr>
        <w:rFonts w:ascii="Symbol" w:hAnsi="Symbol" w:hint="default"/>
      </w:rPr>
    </w:lvl>
    <w:lvl w:ilvl="1" w:tplc="0BE47D6C" w:tentative="1">
      <w:start w:val="1"/>
      <w:numFmt w:val="bullet"/>
      <w:lvlText w:val="o"/>
      <w:lvlJc w:val="left"/>
      <w:pPr>
        <w:ind w:left="1440" w:hanging="360"/>
      </w:pPr>
      <w:rPr>
        <w:rFonts w:ascii="Courier New" w:hAnsi="Courier New" w:cs="Courier New" w:hint="default"/>
      </w:rPr>
    </w:lvl>
    <w:lvl w:ilvl="2" w:tplc="2772C162" w:tentative="1">
      <w:start w:val="1"/>
      <w:numFmt w:val="bullet"/>
      <w:lvlText w:val=""/>
      <w:lvlJc w:val="left"/>
      <w:pPr>
        <w:ind w:left="2160" w:hanging="360"/>
      </w:pPr>
      <w:rPr>
        <w:rFonts w:ascii="Wingdings" w:hAnsi="Wingdings" w:hint="default"/>
      </w:rPr>
    </w:lvl>
    <w:lvl w:ilvl="3" w:tplc="43FED19C" w:tentative="1">
      <w:start w:val="1"/>
      <w:numFmt w:val="bullet"/>
      <w:lvlText w:val=""/>
      <w:lvlJc w:val="left"/>
      <w:pPr>
        <w:ind w:left="2880" w:hanging="360"/>
      </w:pPr>
      <w:rPr>
        <w:rFonts w:ascii="Symbol" w:hAnsi="Symbol" w:hint="default"/>
      </w:rPr>
    </w:lvl>
    <w:lvl w:ilvl="4" w:tplc="03E23C90" w:tentative="1">
      <w:start w:val="1"/>
      <w:numFmt w:val="bullet"/>
      <w:lvlText w:val="o"/>
      <w:lvlJc w:val="left"/>
      <w:pPr>
        <w:ind w:left="3600" w:hanging="360"/>
      </w:pPr>
      <w:rPr>
        <w:rFonts w:ascii="Courier New" w:hAnsi="Courier New" w:cs="Courier New" w:hint="default"/>
      </w:rPr>
    </w:lvl>
    <w:lvl w:ilvl="5" w:tplc="BAF002C6" w:tentative="1">
      <w:start w:val="1"/>
      <w:numFmt w:val="bullet"/>
      <w:lvlText w:val=""/>
      <w:lvlJc w:val="left"/>
      <w:pPr>
        <w:ind w:left="4320" w:hanging="360"/>
      </w:pPr>
      <w:rPr>
        <w:rFonts w:ascii="Wingdings" w:hAnsi="Wingdings" w:hint="default"/>
      </w:rPr>
    </w:lvl>
    <w:lvl w:ilvl="6" w:tplc="9E7200FE" w:tentative="1">
      <w:start w:val="1"/>
      <w:numFmt w:val="bullet"/>
      <w:lvlText w:val=""/>
      <w:lvlJc w:val="left"/>
      <w:pPr>
        <w:ind w:left="5040" w:hanging="360"/>
      </w:pPr>
      <w:rPr>
        <w:rFonts w:ascii="Symbol" w:hAnsi="Symbol" w:hint="default"/>
      </w:rPr>
    </w:lvl>
    <w:lvl w:ilvl="7" w:tplc="58F8A9D0" w:tentative="1">
      <w:start w:val="1"/>
      <w:numFmt w:val="bullet"/>
      <w:lvlText w:val="o"/>
      <w:lvlJc w:val="left"/>
      <w:pPr>
        <w:ind w:left="5760" w:hanging="360"/>
      </w:pPr>
      <w:rPr>
        <w:rFonts w:ascii="Courier New" w:hAnsi="Courier New" w:cs="Courier New" w:hint="default"/>
      </w:rPr>
    </w:lvl>
    <w:lvl w:ilvl="8" w:tplc="29168B32" w:tentative="1">
      <w:start w:val="1"/>
      <w:numFmt w:val="bullet"/>
      <w:lvlText w:val=""/>
      <w:lvlJc w:val="left"/>
      <w:pPr>
        <w:ind w:left="6480" w:hanging="360"/>
      </w:pPr>
      <w:rPr>
        <w:rFonts w:ascii="Wingdings" w:hAnsi="Wingdings" w:hint="default"/>
      </w:rPr>
    </w:lvl>
  </w:abstractNum>
  <w:num w:numId="1" w16cid:durableId="938954167">
    <w:abstractNumId w:val="1"/>
  </w:num>
  <w:num w:numId="2" w16cid:durableId="68335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CD"/>
    <w:rsid w:val="00482A5C"/>
    <w:rsid w:val="009C136A"/>
    <w:rsid w:val="00DA0DCD"/>
    <w:rsid w:val="00FD06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0FA7"/>
  <w15:docId w15:val="{697F54FD-CF5A-4395-AEE3-32A38E7B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14431</Words>
  <Characters>82261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2025-08-05T19:31:00Z</dcterms:created>
  <dcterms:modified xsi:type="dcterms:W3CDTF">2025-08-05T19:32:00Z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