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DF7C" w14:textId="77777777" w:rsidR="00000000" w:rsidRDefault="00000000">
      <w:pPr>
        <w:pStyle w:val="Heading1"/>
        <w:rPr>
          <w:rFonts w:cs="Arial"/>
        </w:rPr>
      </w:pPr>
      <w:bookmarkStart w:id="0" w:name="PRMS_RIName"/>
      <w:r>
        <w:rPr>
          <w:rFonts w:cs="Arial"/>
        </w:rPr>
        <w:t>The Kawerau Social Services Trust Board - Mountain View Home &amp; Hospital</w:t>
      </w:r>
      <w:bookmarkEnd w:id="0"/>
    </w:p>
    <w:p w14:paraId="0A2563F4" w14:textId="77777777" w:rsidR="00000000" w:rsidRDefault="00000000">
      <w:pPr>
        <w:pStyle w:val="Heading2"/>
        <w:spacing w:after="0"/>
        <w:rPr>
          <w:rFonts w:cs="Arial"/>
        </w:rPr>
      </w:pPr>
      <w:r>
        <w:rPr>
          <w:rFonts w:cs="Arial"/>
        </w:rPr>
        <w:t>Introduction</w:t>
      </w:r>
    </w:p>
    <w:p w14:paraId="57783B3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A839F7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688875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EBC236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A67B8F" w14:textId="77777777" w:rsidR="00000000" w:rsidRDefault="00000000">
      <w:pPr>
        <w:spacing w:before="240" w:after="240"/>
        <w:rPr>
          <w:rFonts w:cs="Arial"/>
          <w:lang w:eastAsia="en-NZ"/>
        </w:rPr>
      </w:pPr>
      <w:r>
        <w:rPr>
          <w:rFonts w:cs="Arial"/>
          <w:lang w:eastAsia="en-NZ"/>
        </w:rPr>
        <w:t>The specifics of this audit included:</w:t>
      </w:r>
    </w:p>
    <w:p w14:paraId="37DEFAA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043EE5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Kawerau Social Services Trust Board</w:t>
      </w:r>
      <w:bookmarkEnd w:id="4"/>
    </w:p>
    <w:p w14:paraId="491AF5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Mountain View Home &amp; Hospital</w:t>
      </w:r>
      <w:bookmarkEnd w:id="5"/>
    </w:p>
    <w:p w14:paraId="2A5428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992DD2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June 2025</w:t>
      </w:r>
      <w:bookmarkEnd w:id="7"/>
      <w:r w:rsidRPr="009418D4">
        <w:rPr>
          <w:rFonts w:cs="Arial"/>
        </w:rPr>
        <w:tab/>
        <w:t xml:space="preserve">End date: </w:t>
      </w:r>
      <w:bookmarkStart w:id="8" w:name="AuditEndDate"/>
      <w:r>
        <w:rPr>
          <w:rFonts w:cs="Arial"/>
        </w:rPr>
        <w:t>17 June 2025</w:t>
      </w:r>
      <w:bookmarkEnd w:id="8"/>
    </w:p>
    <w:p w14:paraId="123C445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D15B52A" w14:textId="77777777" w:rsidR="00B705C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34D3C8A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BC57194" w14:textId="77777777" w:rsidR="00000000" w:rsidRDefault="00000000">
      <w:pPr>
        <w:pStyle w:val="Heading1"/>
        <w:rPr>
          <w:rFonts w:cs="Arial"/>
        </w:rPr>
      </w:pPr>
      <w:r>
        <w:rPr>
          <w:rFonts w:cs="Arial"/>
        </w:rPr>
        <w:lastRenderedPageBreak/>
        <w:t>Executive summary of the audit</w:t>
      </w:r>
    </w:p>
    <w:p w14:paraId="20A31C79" w14:textId="77777777" w:rsidR="00000000" w:rsidRDefault="00000000">
      <w:pPr>
        <w:pStyle w:val="Heading2"/>
        <w:rPr>
          <w:rFonts w:cs="Arial"/>
        </w:rPr>
      </w:pPr>
      <w:r>
        <w:rPr>
          <w:rFonts w:cs="Arial"/>
        </w:rPr>
        <w:t>Introduction</w:t>
      </w:r>
    </w:p>
    <w:p w14:paraId="2C88226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9C981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839FE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9AD41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5C62D9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ED1155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2D5A2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E7EA5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15446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705C0" w14:paraId="449592CC" w14:textId="77777777">
        <w:trPr>
          <w:cantSplit/>
          <w:tblHeader/>
        </w:trPr>
        <w:tc>
          <w:tcPr>
            <w:tcW w:w="1260" w:type="dxa"/>
            <w:tcBorders>
              <w:bottom w:val="single" w:sz="4" w:space="0" w:color="000000"/>
            </w:tcBorders>
            <w:vAlign w:val="center"/>
          </w:tcPr>
          <w:p w14:paraId="5AEECE0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661F65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348315" w14:textId="77777777" w:rsidR="00000000" w:rsidRDefault="00000000">
            <w:pPr>
              <w:spacing w:before="60" w:after="60"/>
              <w:rPr>
                <w:rFonts w:eastAsia="Calibri"/>
                <w:b/>
                <w:szCs w:val="24"/>
              </w:rPr>
            </w:pPr>
            <w:r>
              <w:rPr>
                <w:rFonts w:eastAsia="Calibri"/>
                <w:b/>
                <w:szCs w:val="24"/>
              </w:rPr>
              <w:t>Definition</w:t>
            </w:r>
          </w:p>
        </w:tc>
      </w:tr>
      <w:tr w:rsidR="00B705C0" w14:paraId="54353596" w14:textId="77777777">
        <w:trPr>
          <w:cantSplit/>
          <w:trHeight w:val="964"/>
        </w:trPr>
        <w:tc>
          <w:tcPr>
            <w:tcW w:w="1260" w:type="dxa"/>
            <w:tcBorders>
              <w:bottom w:val="single" w:sz="4" w:space="0" w:color="000000"/>
            </w:tcBorders>
            <w:shd w:val="clear" w:color="0066FF" w:fill="0000FF"/>
            <w:vAlign w:val="center"/>
          </w:tcPr>
          <w:p w14:paraId="392D71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6C047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F3920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705C0" w14:paraId="7503A9CC" w14:textId="77777777">
        <w:trPr>
          <w:cantSplit/>
          <w:trHeight w:val="964"/>
        </w:trPr>
        <w:tc>
          <w:tcPr>
            <w:tcW w:w="1260" w:type="dxa"/>
            <w:shd w:val="clear" w:color="33CC33" w:fill="00FF00"/>
            <w:vAlign w:val="center"/>
          </w:tcPr>
          <w:p w14:paraId="185593AF" w14:textId="77777777" w:rsidR="00000000" w:rsidRDefault="00000000">
            <w:pPr>
              <w:spacing w:before="60" w:after="60"/>
              <w:rPr>
                <w:rFonts w:eastAsia="Calibri"/>
                <w:szCs w:val="24"/>
              </w:rPr>
            </w:pPr>
          </w:p>
        </w:tc>
        <w:tc>
          <w:tcPr>
            <w:tcW w:w="7095" w:type="dxa"/>
            <w:shd w:val="clear" w:color="auto" w:fill="auto"/>
            <w:vAlign w:val="center"/>
          </w:tcPr>
          <w:p w14:paraId="260F726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A4740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705C0" w14:paraId="047835F7" w14:textId="77777777">
        <w:trPr>
          <w:cantSplit/>
          <w:trHeight w:val="964"/>
        </w:trPr>
        <w:tc>
          <w:tcPr>
            <w:tcW w:w="1260" w:type="dxa"/>
            <w:tcBorders>
              <w:bottom w:val="single" w:sz="4" w:space="0" w:color="000000"/>
            </w:tcBorders>
            <w:shd w:val="clear" w:color="auto" w:fill="FFFF00"/>
            <w:vAlign w:val="center"/>
          </w:tcPr>
          <w:p w14:paraId="2895E9FA" w14:textId="77777777" w:rsidR="00000000" w:rsidRDefault="00000000">
            <w:pPr>
              <w:spacing w:before="60" w:after="60"/>
              <w:rPr>
                <w:rFonts w:eastAsia="Calibri"/>
                <w:szCs w:val="24"/>
              </w:rPr>
            </w:pPr>
          </w:p>
        </w:tc>
        <w:tc>
          <w:tcPr>
            <w:tcW w:w="7095" w:type="dxa"/>
            <w:shd w:val="clear" w:color="auto" w:fill="auto"/>
            <w:vAlign w:val="center"/>
          </w:tcPr>
          <w:p w14:paraId="1A3DE0D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2E70A0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705C0" w14:paraId="37BDAAD0" w14:textId="77777777">
        <w:trPr>
          <w:cantSplit/>
          <w:trHeight w:val="964"/>
        </w:trPr>
        <w:tc>
          <w:tcPr>
            <w:tcW w:w="1260" w:type="dxa"/>
            <w:tcBorders>
              <w:bottom w:val="single" w:sz="4" w:space="0" w:color="000000"/>
            </w:tcBorders>
            <w:shd w:val="clear" w:color="auto" w:fill="FFC800"/>
            <w:vAlign w:val="center"/>
          </w:tcPr>
          <w:p w14:paraId="12BAF78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9B6FC1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F1D67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705C0" w14:paraId="0D1E37A8" w14:textId="77777777">
        <w:trPr>
          <w:cantSplit/>
          <w:trHeight w:val="964"/>
        </w:trPr>
        <w:tc>
          <w:tcPr>
            <w:tcW w:w="1260" w:type="dxa"/>
            <w:shd w:val="clear" w:color="auto" w:fill="FF0000"/>
            <w:vAlign w:val="center"/>
          </w:tcPr>
          <w:p w14:paraId="024EB2BA" w14:textId="77777777" w:rsidR="00000000" w:rsidRDefault="00000000">
            <w:pPr>
              <w:spacing w:before="60" w:after="60"/>
              <w:rPr>
                <w:rFonts w:eastAsia="Calibri"/>
                <w:szCs w:val="24"/>
              </w:rPr>
            </w:pPr>
          </w:p>
        </w:tc>
        <w:tc>
          <w:tcPr>
            <w:tcW w:w="7095" w:type="dxa"/>
            <w:shd w:val="clear" w:color="auto" w:fill="auto"/>
            <w:vAlign w:val="center"/>
          </w:tcPr>
          <w:p w14:paraId="202B2FC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D4FDE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B49D13E" w14:textId="77777777" w:rsidR="00000000" w:rsidRDefault="00000000">
      <w:pPr>
        <w:pStyle w:val="Heading2"/>
        <w:spacing w:after="0"/>
        <w:rPr>
          <w:rFonts w:cs="Arial"/>
        </w:rPr>
      </w:pPr>
      <w:r>
        <w:rPr>
          <w:rFonts w:cs="Arial"/>
        </w:rPr>
        <w:t>General overview of the audit</w:t>
      </w:r>
    </w:p>
    <w:p w14:paraId="39ED0D9E" w14:textId="77777777" w:rsidR="00000000" w:rsidRDefault="00000000">
      <w:pPr>
        <w:spacing w:before="240" w:line="276" w:lineRule="auto"/>
        <w:rPr>
          <w:rFonts w:eastAsia="Calibri"/>
        </w:rPr>
      </w:pPr>
      <w:bookmarkStart w:id="13" w:name="GeneralOverview"/>
      <w:r w:rsidRPr="00A4268A">
        <w:rPr>
          <w:rFonts w:eastAsia="Calibri"/>
        </w:rPr>
        <w:t>Mountain View Home and Hospital (Mountain View) provides rest home and hospital aged care services for up to 54 residents. There have been no significant changes to the service or facilities since the previous certification audit in 2023.</w:t>
      </w:r>
    </w:p>
    <w:p w14:paraId="563034EC" w14:textId="77777777" w:rsidR="00B705C0"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 and staff files, observations and interviews with residents, family members, managers, staff, the board chairperson and a general practitioner. </w:t>
      </w:r>
    </w:p>
    <w:p w14:paraId="126B295D" w14:textId="77777777" w:rsidR="00B705C0" w:rsidRPr="00A4268A" w:rsidRDefault="00000000">
      <w:pPr>
        <w:spacing w:before="240" w:line="276" w:lineRule="auto"/>
        <w:rPr>
          <w:rFonts w:eastAsia="Calibri"/>
        </w:rPr>
      </w:pPr>
      <w:r w:rsidRPr="00A4268A">
        <w:rPr>
          <w:rFonts w:eastAsia="Calibri"/>
        </w:rPr>
        <w:t>There were no corrective actions at the previous audit that required follow-up. No corrective actions were identified during this audit. The continuous improvement rating in quality and risk management relating to reduced hospital admissions and other quality initiatives is ongoing.</w:t>
      </w:r>
    </w:p>
    <w:bookmarkEnd w:id="13"/>
    <w:p w14:paraId="341E9047" w14:textId="77777777" w:rsidR="00B705C0" w:rsidRPr="00A4268A" w:rsidRDefault="00B705C0">
      <w:pPr>
        <w:spacing w:before="240" w:line="276" w:lineRule="auto"/>
        <w:rPr>
          <w:rFonts w:eastAsia="Calibri"/>
        </w:rPr>
      </w:pPr>
    </w:p>
    <w:p w14:paraId="1391D62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32001751" w14:textId="77777777" w:rsidTr="00A4268A">
        <w:trPr>
          <w:cantSplit/>
        </w:trPr>
        <w:tc>
          <w:tcPr>
            <w:tcW w:w="10206" w:type="dxa"/>
            <w:vAlign w:val="center"/>
          </w:tcPr>
          <w:p w14:paraId="5CD242C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958C29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D2E86E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CF9460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88B4EAC"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Mountain View works collaboratively to support and encourage a Māori world view of health in service delivery. Māori are provided with equitable and effective services based on Te Tiriti o Waitangi and the principles of mana motuhake.  </w:t>
      </w:r>
    </w:p>
    <w:p w14:paraId="23560AEE" w14:textId="77777777" w:rsidR="00B705C0" w:rsidRPr="00A4268A" w:rsidRDefault="00000000">
      <w:pPr>
        <w:spacing w:before="240" w:line="276" w:lineRule="auto"/>
        <w:rPr>
          <w:rFonts w:eastAsia="Calibri"/>
        </w:rPr>
      </w:pPr>
      <w:r w:rsidRPr="00A4268A">
        <w:rPr>
          <w:rFonts w:eastAsia="Calibri"/>
        </w:rPr>
        <w:t>Pacific peoples are provided with services that recognise their worldviews and are culturally safe.</w:t>
      </w:r>
    </w:p>
    <w:p w14:paraId="36EE1C43" w14:textId="77777777" w:rsidR="00B705C0" w:rsidRPr="00A4268A" w:rsidRDefault="0000000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67BEFAF9" w14:textId="77777777" w:rsidR="00B705C0"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24AF0AFC" w14:textId="77777777" w:rsidR="00B705C0"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6A4527EE" w14:textId="77777777" w:rsidR="00B705C0" w:rsidRPr="00A4268A" w:rsidRDefault="00B705C0">
      <w:pPr>
        <w:spacing w:before="240" w:line="276" w:lineRule="auto"/>
        <w:rPr>
          <w:rFonts w:eastAsia="Calibri"/>
        </w:rPr>
      </w:pPr>
    </w:p>
    <w:p w14:paraId="7A19D31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4D4689F1" w14:textId="77777777" w:rsidTr="00A4268A">
        <w:trPr>
          <w:cantSplit/>
        </w:trPr>
        <w:tc>
          <w:tcPr>
            <w:tcW w:w="10206" w:type="dxa"/>
            <w:vAlign w:val="center"/>
          </w:tcPr>
          <w:p w14:paraId="4BC4F0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D57C11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A96910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626B892"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36838099" w14:textId="77777777" w:rsidR="00B705C0"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6DE932F7" w14:textId="77777777" w:rsidR="00B705C0"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26550F37" w14:textId="77777777" w:rsidR="00B705C0" w:rsidRPr="00A4268A" w:rsidRDefault="00000000">
      <w:pPr>
        <w:spacing w:before="240" w:line="276" w:lineRule="auto"/>
        <w:rPr>
          <w:rFonts w:eastAsia="Calibri"/>
        </w:rPr>
      </w:pPr>
      <w:r w:rsidRPr="00A4268A">
        <w:rPr>
          <w:rFonts w:eastAsia="Calibri"/>
        </w:rPr>
        <w:lastRenderedPageBreak/>
        <w:t xml:space="preserve">The quality and risk management systems were focused on improving service delivery and care using a risk-based approach. An integrated approach included collection and analysis of quality improvement data, and identifies trends that lead to improvements. Actual and potential risks were identified and mitigated. </w:t>
      </w:r>
    </w:p>
    <w:p w14:paraId="28357099" w14:textId="77777777" w:rsidR="00B705C0"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252D593A" w14:textId="77777777" w:rsidR="00B705C0"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patients. A systematic approach to identify and deliver ongoing learning and competencies supported safe equitable service delivery. </w:t>
      </w:r>
    </w:p>
    <w:p w14:paraId="57C4D006" w14:textId="77777777" w:rsidR="00B705C0"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346D5ABC" w14:textId="77777777" w:rsidR="00B705C0" w:rsidRPr="00A4268A" w:rsidRDefault="00B705C0">
      <w:pPr>
        <w:spacing w:before="240" w:line="276" w:lineRule="auto"/>
        <w:rPr>
          <w:rFonts w:eastAsia="Calibri"/>
        </w:rPr>
      </w:pPr>
    </w:p>
    <w:p w14:paraId="623EAEF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46D81541" w14:textId="77777777" w:rsidTr="00A4268A">
        <w:trPr>
          <w:cantSplit/>
        </w:trPr>
        <w:tc>
          <w:tcPr>
            <w:tcW w:w="10206" w:type="dxa"/>
            <w:vAlign w:val="center"/>
          </w:tcPr>
          <w:p w14:paraId="19CC38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9380B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7BCF38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AB43ED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worked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1FDAE0D2" w14:textId="77777777" w:rsidR="00B705C0"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2AEFACA9" w14:textId="77777777" w:rsidR="00B705C0"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47BF971A" w14:textId="77777777" w:rsidR="00B705C0" w:rsidRPr="00A4268A" w:rsidRDefault="00000000" w:rsidP="00621629">
      <w:pPr>
        <w:spacing w:before="240" w:line="276" w:lineRule="auto"/>
        <w:rPr>
          <w:rFonts w:eastAsia="Calibri"/>
        </w:rPr>
      </w:pPr>
      <w:r w:rsidRPr="00A4268A">
        <w:rPr>
          <w:rFonts w:eastAsia="Calibri"/>
        </w:rPr>
        <w:lastRenderedPageBreak/>
        <w:t>Residents were referred or transferred to other health services as required.</w:t>
      </w:r>
    </w:p>
    <w:bookmarkEnd w:id="22"/>
    <w:p w14:paraId="1C1493C5" w14:textId="77777777" w:rsidR="00B705C0" w:rsidRPr="00A4268A" w:rsidRDefault="00B705C0" w:rsidP="00621629">
      <w:pPr>
        <w:spacing w:before="240" w:line="276" w:lineRule="auto"/>
        <w:rPr>
          <w:rFonts w:eastAsia="Calibri"/>
        </w:rPr>
      </w:pPr>
    </w:p>
    <w:p w14:paraId="5C759F7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4999A9BA" w14:textId="77777777" w:rsidTr="00A4268A">
        <w:trPr>
          <w:cantSplit/>
        </w:trPr>
        <w:tc>
          <w:tcPr>
            <w:tcW w:w="10206" w:type="dxa"/>
            <w:vAlign w:val="center"/>
          </w:tcPr>
          <w:p w14:paraId="277298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59056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30723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111BF0"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 safety. Electrical equipment was tested as required.</w:t>
      </w:r>
    </w:p>
    <w:bookmarkEnd w:id="25"/>
    <w:p w14:paraId="56699815" w14:textId="77777777" w:rsidR="00B705C0" w:rsidRPr="00A4268A" w:rsidRDefault="00B705C0">
      <w:pPr>
        <w:spacing w:before="240" w:line="276" w:lineRule="auto"/>
        <w:rPr>
          <w:rFonts w:eastAsia="Calibri"/>
        </w:rPr>
      </w:pPr>
    </w:p>
    <w:p w14:paraId="2BFC4BE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00148B68" w14:textId="77777777" w:rsidTr="00A4268A">
        <w:trPr>
          <w:cantSplit/>
        </w:trPr>
        <w:tc>
          <w:tcPr>
            <w:tcW w:w="10206" w:type="dxa"/>
            <w:vAlign w:val="center"/>
          </w:tcPr>
          <w:p w14:paraId="08F984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6E9E3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9B9984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F34C88F"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was linked with the quality improvement programme, and was reviewed and reported on annually. </w:t>
      </w:r>
    </w:p>
    <w:p w14:paraId="16FEDD23" w14:textId="77777777" w:rsidR="00B705C0"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A7637E5" w14:textId="77777777" w:rsidR="00B705C0" w:rsidRPr="00A4268A" w:rsidRDefault="00000000">
      <w:pPr>
        <w:spacing w:before="240" w:line="276" w:lineRule="auto"/>
        <w:rPr>
          <w:rFonts w:eastAsia="Calibri"/>
        </w:rPr>
      </w:pPr>
      <w:r w:rsidRPr="00A4268A">
        <w:rPr>
          <w:rFonts w:eastAsia="Calibri"/>
        </w:rPr>
        <w:lastRenderedPageBreak/>
        <w:t>The ‘Surveillance of health care-associated infections’ programme was appropriate to the size and setting of the service, using standardised surveillance definitions, with an equity focus.</w:t>
      </w:r>
    </w:p>
    <w:bookmarkEnd w:id="28"/>
    <w:p w14:paraId="344B1E2A" w14:textId="77777777" w:rsidR="00B705C0" w:rsidRPr="00A4268A" w:rsidRDefault="00B705C0">
      <w:pPr>
        <w:spacing w:before="240" w:line="276" w:lineRule="auto"/>
        <w:rPr>
          <w:rFonts w:eastAsia="Calibri"/>
        </w:rPr>
      </w:pPr>
    </w:p>
    <w:p w14:paraId="40D1002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C0" w14:paraId="265A9963" w14:textId="77777777" w:rsidTr="00A4268A">
        <w:trPr>
          <w:cantSplit/>
        </w:trPr>
        <w:tc>
          <w:tcPr>
            <w:tcW w:w="10206" w:type="dxa"/>
            <w:vAlign w:val="center"/>
          </w:tcPr>
          <w:p w14:paraId="2CFFE2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A654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033D7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CBB2E8C"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eliminated the use of restraint interventions in December 2022, which is supported by the governing body and policies and procedures.  One resident was admitted with the use of restraints in August 2024. Alternative methods were implemented with good effect, but the resident still requires a lap belt when seated due to their high risk of falls and confusion. Review of the restraint assessment, approval and monitoring systems, and review of the restraint in use demonstrated compliance with this subsection. Staff demonstrated a sound knowledge and understanding of providing the least restrictive practice, de-escalation techniques and alternative interventions.  </w:t>
      </w:r>
    </w:p>
    <w:bookmarkEnd w:id="31"/>
    <w:p w14:paraId="33F5AAEB" w14:textId="77777777" w:rsidR="00B705C0" w:rsidRPr="00A4268A" w:rsidRDefault="00B705C0">
      <w:pPr>
        <w:spacing w:before="240" w:line="276" w:lineRule="auto"/>
        <w:rPr>
          <w:rFonts w:eastAsia="Calibri"/>
        </w:rPr>
      </w:pPr>
    </w:p>
    <w:p w14:paraId="72AACF29" w14:textId="77777777" w:rsidR="00000000" w:rsidRDefault="00000000" w:rsidP="000E6E02">
      <w:pPr>
        <w:pStyle w:val="Heading2"/>
        <w:spacing w:before="0"/>
        <w:rPr>
          <w:rFonts w:cs="Arial"/>
        </w:rPr>
      </w:pPr>
      <w:r>
        <w:rPr>
          <w:rFonts w:cs="Arial"/>
        </w:rPr>
        <w:lastRenderedPageBreak/>
        <w:t>Summary of attainment</w:t>
      </w:r>
    </w:p>
    <w:p w14:paraId="1DDA574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05C0" w14:paraId="2B8F6AD1" w14:textId="77777777">
        <w:tc>
          <w:tcPr>
            <w:tcW w:w="1384" w:type="dxa"/>
            <w:vAlign w:val="center"/>
          </w:tcPr>
          <w:p w14:paraId="5C52EA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EEA0B4" w14:textId="77777777" w:rsidR="00000000" w:rsidRDefault="00000000">
            <w:pPr>
              <w:keepNext/>
              <w:spacing w:before="60" w:after="60"/>
              <w:jc w:val="center"/>
              <w:rPr>
                <w:rFonts w:cs="Arial"/>
                <w:b/>
                <w:sz w:val="20"/>
                <w:szCs w:val="20"/>
              </w:rPr>
            </w:pPr>
            <w:r>
              <w:rPr>
                <w:rFonts w:cs="Arial"/>
                <w:b/>
                <w:sz w:val="20"/>
                <w:szCs w:val="20"/>
              </w:rPr>
              <w:t>Continuous Improvement</w:t>
            </w:r>
          </w:p>
          <w:p w14:paraId="249809D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BF091F" w14:textId="77777777" w:rsidR="00000000" w:rsidRDefault="00000000">
            <w:pPr>
              <w:keepNext/>
              <w:spacing w:before="60" w:after="60"/>
              <w:jc w:val="center"/>
              <w:rPr>
                <w:rFonts w:cs="Arial"/>
                <w:b/>
                <w:sz w:val="20"/>
                <w:szCs w:val="20"/>
              </w:rPr>
            </w:pPr>
            <w:r>
              <w:rPr>
                <w:rFonts w:cs="Arial"/>
                <w:b/>
                <w:sz w:val="20"/>
                <w:szCs w:val="20"/>
              </w:rPr>
              <w:t>Fully Attained</w:t>
            </w:r>
          </w:p>
          <w:p w14:paraId="76CDE00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3191AE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529009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1081B9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F18147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9D565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A9F1FC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59280C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0629B8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1F51FB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3CDDC76" w14:textId="77777777" w:rsidR="00000000" w:rsidRDefault="00000000">
            <w:pPr>
              <w:keepNext/>
              <w:spacing w:before="60" w:after="60"/>
              <w:jc w:val="center"/>
              <w:rPr>
                <w:rFonts w:cs="Arial"/>
                <w:b/>
                <w:sz w:val="20"/>
                <w:szCs w:val="20"/>
              </w:rPr>
            </w:pPr>
            <w:r>
              <w:rPr>
                <w:rFonts w:cs="Arial"/>
                <w:b/>
                <w:sz w:val="20"/>
                <w:szCs w:val="20"/>
              </w:rPr>
              <w:t>(PA Critical)</w:t>
            </w:r>
          </w:p>
        </w:tc>
      </w:tr>
      <w:tr w:rsidR="00B705C0" w14:paraId="69EDC430" w14:textId="77777777">
        <w:tc>
          <w:tcPr>
            <w:tcW w:w="1384" w:type="dxa"/>
            <w:vAlign w:val="center"/>
          </w:tcPr>
          <w:p w14:paraId="3801A67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25D366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CFD905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6985CC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E2B6CE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2FE698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523717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BC544D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705C0" w14:paraId="2C97086E" w14:textId="77777777">
        <w:tc>
          <w:tcPr>
            <w:tcW w:w="1384" w:type="dxa"/>
            <w:vAlign w:val="center"/>
          </w:tcPr>
          <w:p w14:paraId="618C637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1D0BA0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F7C6FD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03DA41E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71FDFE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CDCE98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F870C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0B891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2B2BF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05C0" w14:paraId="71FD009D" w14:textId="77777777">
        <w:tc>
          <w:tcPr>
            <w:tcW w:w="1384" w:type="dxa"/>
            <w:vAlign w:val="center"/>
          </w:tcPr>
          <w:p w14:paraId="484291E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E4F9D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752085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117043D" w14:textId="77777777" w:rsidR="00000000" w:rsidRDefault="00000000">
            <w:pPr>
              <w:keepNext/>
              <w:spacing w:before="60" w:after="60"/>
              <w:jc w:val="center"/>
              <w:rPr>
                <w:rFonts w:cs="Arial"/>
                <w:b/>
                <w:sz w:val="20"/>
                <w:szCs w:val="20"/>
              </w:rPr>
            </w:pPr>
            <w:r>
              <w:rPr>
                <w:rFonts w:cs="Arial"/>
                <w:b/>
                <w:sz w:val="20"/>
                <w:szCs w:val="20"/>
              </w:rPr>
              <w:t>Unattained Low Risk</w:t>
            </w:r>
          </w:p>
          <w:p w14:paraId="4B0A840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D78FC80" w14:textId="77777777" w:rsidR="00000000" w:rsidRDefault="00000000">
            <w:pPr>
              <w:keepNext/>
              <w:spacing w:before="60" w:after="60"/>
              <w:jc w:val="center"/>
              <w:rPr>
                <w:rFonts w:cs="Arial"/>
                <w:b/>
                <w:sz w:val="20"/>
                <w:szCs w:val="20"/>
              </w:rPr>
            </w:pPr>
            <w:r>
              <w:rPr>
                <w:rFonts w:cs="Arial"/>
                <w:b/>
                <w:sz w:val="20"/>
                <w:szCs w:val="20"/>
              </w:rPr>
              <w:t>Unattained Moderate Risk</w:t>
            </w:r>
          </w:p>
          <w:p w14:paraId="557BBE8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748F69F" w14:textId="77777777" w:rsidR="00000000" w:rsidRDefault="00000000">
            <w:pPr>
              <w:keepNext/>
              <w:spacing w:before="60" w:after="60"/>
              <w:jc w:val="center"/>
              <w:rPr>
                <w:rFonts w:cs="Arial"/>
                <w:b/>
                <w:sz w:val="20"/>
                <w:szCs w:val="20"/>
              </w:rPr>
            </w:pPr>
            <w:r>
              <w:rPr>
                <w:rFonts w:cs="Arial"/>
                <w:b/>
                <w:sz w:val="20"/>
                <w:szCs w:val="20"/>
              </w:rPr>
              <w:t>Unattained High Risk</w:t>
            </w:r>
          </w:p>
          <w:p w14:paraId="1529E05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2914F3E" w14:textId="77777777" w:rsidR="00000000" w:rsidRDefault="00000000">
            <w:pPr>
              <w:keepNext/>
              <w:spacing w:before="60" w:after="60"/>
              <w:jc w:val="center"/>
              <w:rPr>
                <w:rFonts w:cs="Arial"/>
                <w:b/>
                <w:sz w:val="20"/>
                <w:szCs w:val="20"/>
              </w:rPr>
            </w:pPr>
            <w:r>
              <w:rPr>
                <w:rFonts w:cs="Arial"/>
                <w:b/>
                <w:sz w:val="20"/>
                <w:szCs w:val="20"/>
              </w:rPr>
              <w:t>Unattained Critical Risk</w:t>
            </w:r>
          </w:p>
          <w:p w14:paraId="1B99AFE1" w14:textId="77777777" w:rsidR="00000000" w:rsidRDefault="00000000">
            <w:pPr>
              <w:keepNext/>
              <w:spacing w:before="60" w:after="60"/>
              <w:jc w:val="center"/>
              <w:rPr>
                <w:rFonts w:cs="Arial"/>
                <w:b/>
                <w:sz w:val="20"/>
                <w:szCs w:val="20"/>
              </w:rPr>
            </w:pPr>
            <w:r>
              <w:rPr>
                <w:rFonts w:cs="Arial"/>
                <w:b/>
                <w:sz w:val="20"/>
                <w:szCs w:val="20"/>
              </w:rPr>
              <w:t>(UA Critical)</w:t>
            </w:r>
          </w:p>
        </w:tc>
      </w:tr>
      <w:tr w:rsidR="00B705C0" w14:paraId="6328BAD2" w14:textId="77777777">
        <w:tc>
          <w:tcPr>
            <w:tcW w:w="1384" w:type="dxa"/>
            <w:vAlign w:val="center"/>
          </w:tcPr>
          <w:p w14:paraId="120D688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76F75E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0C0D7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6D7E8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29CA57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85841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705C0" w14:paraId="64384489" w14:textId="77777777">
        <w:tc>
          <w:tcPr>
            <w:tcW w:w="1384" w:type="dxa"/>
            <w:vAlign w:val="center"/>
          </w:tcPr>
          <w:p w14:paraId="2C93F61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355789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1014D8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A08A8E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944BD3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D1B1D1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DAA30A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1984A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F0302E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92A0D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375"/>
        <w:gridCol w:w="6697"/>
      </w:tblGrid>
      <w:tr w:rsidR="00B705C0" w14:paraId="28A9FBE9" w14:textId="77777777">
        <w:tc>
          <w:tcPr>
            <w:tcW w:w="0" w:type="auto"/>
          </w:tcPr>
          <w:p w14:paraId="01316B4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FECDFA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4CDC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705C0" w14:paraId="32B8D007" w14:textId="77777777">
        <w:tc>
          <w:tcPr>
            <w:tcW w:w="0" w:type="auto"/>
          </w:tcPr>
          <w:p w14:paraId="1C31D4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EBC22B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28DAE0F" w14:textId="77777777" w:rsidR="00000000" w:rsidRPr="00BE00C7" w:rsidRDefault="00000000" w:rsidP="00BE00C7">
            <w:pPr>
              <w:pStyle w:val="OutcomeDescription"/>
              <w:spacing w:before="120" w:after="120"/>
              <w:rPr>
                <w:rFonts w:cs="Arial"/>
                <w:lang w:eastAsia="en-NZ"/>
              </w:rPr>
            </w:pPr>
          </w:p>
        </w:tc>
        <w:tc>
          <w:tcPr>
            <w:tcW w:w="0" w:type="auto"/>
          </w:tcPr>
          <w:p w14:paraId="205B69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FA0DA4" w14:textId="77777777" w:rsidR="00000000" w:rsidRPr="00BE00C7" w:rsidRDefault="00000000" w:rsidP="00BE00C7">
            <w:pPr>
              <w:pStyle w:val="OutcomeDescription"/>
              <w:spacing w:before="120" w:after="120"/>
              <w:rPr>
                <w:rFonts w:cs="Arial"/>
                <w:lang w:eastAsia="en-NZ"/>
              </w:rPr>
            </w:pPr>
            <w:r w:rsidRPr="00BE00C7">
              <w:rPr>
                <w:rFonts w:cs="Arial"/>
                <w:lang w:eastAsia="en-NZ"/>
              </w:rPr>
              <w:t>Mountain View has developed policies, procedures and processes to embed and enact Te Tiriti o Waitangi in all aspects of its work. Mana motuhake was respected. Partnerships have been established with local iwi to support service integration, planning, equity approaches, and support for Māori. A local group of kuia/kaumātua visit the service regularly to engage in group and one-to-one activities with all residents. At the time of audit, there were more staff than residents who identified as Māori. Eight percent of the resident population identify as Māori.  Regular internal audits of Māori residents revealed a high level of satisfaction with cultural practices. Other residents and staff interviewed stated services were provided in a culturally safe manner.</w:t>
            </w:r>
          </w:p>
          <w:p w14:paraId="2CEA472A" w14:textId="77777777" w:rsidR="00000000" w:rsidRPr="00BE00C7" w:rsidRDefault="00000000" w:rsidP="00BE00C7">
            <w:pPr>
              <w:pStyle w:val="OutcomeDescription"/>
              <w:spacing w:before="120" w:after="120"/>
              <w:rPr>
                <w:rFonts w:cs="Arial"/>
                <w:lang w:eastAsia="en-NZ"/>
              </w:rPr>
            </w:pPr>
          </w:p>
        </w:tc>
      </w:tr>
      <w:tr w:rsidR="00B705C0" w14:paraId="2E6BA2F1" w14:textId="77777777">
        <w:tc>
          <w:tcPr>
            <w:tcW w:w="0" w:type="auto"/>
          </w:tcPr>
          <w:p w14:paraId="771178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4397C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5C625D61" w14:textId="77777777" w:rsidR="00000000" w:rsidRPr="00BE00C7" w:rsidRDefault="00000000" w:rsidP="00BE00C7">
            <w:pPr>
              <w:pStyle w:val="OutcomeDescription"/>
              <w:spacing w:before="120" w:after="120"/>
              <w:rPr>
                <w:rFonts w:cs="Arial"/>
                <w:lang w:eastAsia="en-NZ"/>
              </w:rPr>
            </w:pPr>
          </w:p>
        </w:tc>
        <w:tc>
          <w:tcPr>
            <w:tcW w:w="0" w:type="auto"/>
          </w:tcPr>
          <w:p w14:paraId="44A530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340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Pacific residents in the home on the day of the audit. A small number of staff are from Pacific nations. Those interviewed stated there were resources and local networks available for any future residents, and that they would assist with ensuring Pacific worldviews, and cultural and spiritual beliefs were taken into account.</w:t>
            </w:r>
          </w:p>
          <w:p w14:paraId="36D542AC" w14:textId="77777777" w:rsidR="00000000" w:rsidRPr="00BE00C7" w:rsidRDefault="00000000" w:rsidP="00BE00C7">
            <w:pPr>
              <w:pStyle w:val="OutcomeDescription"/>
              <w:spacing w:before="120" w:after="120"/>
              <w:rPr>
                <w:rFonts w:cs="Arial"/>
                <w:lang w:eastAsia="en-NZ"/>
              </w:rPr>
            </w:pPr>
          </w:p>
        </w:tc>
      </w:tr>
      <w:tr w:rsidR="00B705C0" w14:paraId="0F831561" w14:textId="77777777">
        <w:tc>
          <w:tcPr>
            <w:tcW w:w="0" w:type="auto"/>
          </w:tcPr>
          <w:p w14:paraId="7256C4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5CE90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0891E8A" w14:textId="77777777" w:rsidR="00000000" w:rsidRPr="00BE00C7" w:rsidRDefault="00000000" w:rsidP="00BE00C7">
            <w:pPr>
              <w:pStyle w:val="OutcomeDescription"/>
              <w:spacing w:before="120" w:after="120"/>
              <w:rPr>
                <w:rFonts w:cs="Arial"/>
                <w:lang w:eastAsia="en-NZ"/>
              </w:rPr>
            </w:pPr>
          </w:p>
        </w:tc>
        <w:tc>
          <w:tcPr>
            <w:tcW w:w="0" w:type="auto"/>
          </w:tcPr>
          <w:p w14:paraId="076570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A8D61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on notice boards around the facility.</w:t>
            </w:r>
          </w:p>
          <w:p w14:paraId="3D29DC1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09EE2160" w14:textId="77777777" w:rsidR="00000000" w:rsidRPr="00BE00C7" w:rsidRDefault="00000000" w:rsidP="00BE00C7">
            <w:pPr>
              <w:pStyle w:val="OutcomeDescription"/>
              <w:spacing w:before="120" w:after="120"/>
              <w:rPr>
                <w:rFonts w:cs="Arial"/>
                <w:lang w:eastAsia="en-NZ"/>
              </w:rPr>
            </w:pPr>
          </w:p>
        </w:tc>
      </w:tr>
      <w:tr w:rsidR="00B705C0" w14:paraId="79E41CA4" w14:textId="77777777">
        <w:tc>
          <w:tcPr>
            <w:tcW w:w="0" w:type="auto"/>
          </w:tcPr>
          <w:p w14:paraId="32D7D1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C9B5B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F1561D6" w14:textId="77777777" w:rsidR="00000000" w:rsidRPr="00BE00C7" w:rsidRDefault="00000000" w:rsidP="00BE00C7">
            <w:pPr>
              <w:pStyle w:val="OutcomeDescription"/>
              <w:spacing w:before="120" w:after="120"/>
              <w:rPr>
                <w:rFonts w:cs="Arial"/>
                <w:lang w:eastAsia="en-NZ"/>
              </w:rPr>
            </w:pPr>
          </w:p>
        </w:tc>
        <w:tc>
          <w:tcPr>
            <w:tcW w:w="0" w:type="auto"/>
          </w:tcPr>
          <w:p w14:paraId="425708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E00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received services free of discrimination, coercion, harassment, exploitation, and abuse and neglect, supported by policies and staff education. There were no examples identified during the audit (including professional boundaries being breached) through staff and/or resident or whānau interviews, or in documentation reviewed. </w:t>
            </w:r>
          </w:p>
          <w:p w14:paraId="704B503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and finances were respected. Residents’ belongings were labelled on admission to services. There was an account residents could deposit their money into for safe keeping.</w:t>
            </w:r>
          </w:p>
          <w:p w14:paraId="1450C6B7" w14:textId="77777777" w:rsidR="00000000" w:rsidRPr="00BE00C7" w:rsidRDefault="00000000" w:rsidP="00BE00C7">
            <w:pPr>
              <w:pStyle w:val="OutcomeDescription"/>
              <w:spacing w:before="120" w:after="120"/>
              <w:rPr>
                <w:rFonts w:cs="Arial"/>
                <w:lang w:eastAsia="en-NZ"/>
              </w:rPr>
            </w:pPr>
          </w:p>
        </w:tc>
      </w:tr>
      <w:tr w:rsidR="00B705C0" w14:paraId="24B4B431" w14:textId="77777777">
        <w:tc>
          <w:tcPr>
            <w:tcW w:w="0" w:type="auto"/>
          </w:tcPr>
          <w:p w14:paraId="3F2BA8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8E575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5EB10DE" w14:textId="77777777" w:rsidR="00000000" w:rsidRPr="00BE00C7" w:rsidRDefault="00000000" w:rsidP="00BE00C7">
            <w:pPr>
              <w:pStyle w:val="OutcomeDescription"/>
              <w:spacing w:before="120" w:after="120"/>
              <w:rPr>
                <w:rFonts w:cs="Arial"/>
                <w:lang w:eastAsia="en-NZ"/>
              </w:rPr>
            </w:pPr>
          </w:p>
        </w:tc>
        <w:tc>
          <w:tcPr>
            <w:tcW w:w="0" w:type="auto"/>
          </w:tcPr>
          <w:p w14:paraId="05F2FE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26A6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in line with the Code. Those interviewed, and where appropriate their whānau, felt empowered to actively participate in decision-making. Signed admission agreements and informed consent forms were available in the residents’ records.</w:t>
            </w:r>
          </w:p>
          <w:p w14:paraId="23DD42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p>
          <w:p w14:paraId="7A40D83E" w14:textId="77777777" w:rsidR="00000000" w:rsidRPr="00BE00C7" w:rsidRDefault="00000000" w:rsidP="00BE00C7">
            <w:pPr>
              <w:pStyle w:val="OutcomeDescription"/>
              <w:spacing w:before="120" w:after="120"/>
              <w:rPr>
                <w:rFonts w:cs="Arial"/>
                <w:lang w:eastAsia="en-NZ"/>
              </w:rPr>
            </w:pPr>
          </w:p>
        </w:tc>
      </w:tr>
      <w:tr w:rsidR="00B705C0" w14:paraId="29A8BE9F" w14:textId="77777777">
        <w:tc>
          <w:tcPr>
            <w:tcW w:w="0" w:type="auto"/>
          </w:tcPr>
          <w:p w14:paraId="437184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4F163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B95FBC9" w14:textId="77777777" w:rsidR="00000000" w:rsidRPr="00BE00C7" w:rsidRDefault="00000000" w:rsidP="00BE00C7">
            <w:pPr>
              <w:pStyle w:val="OutcomeDescription"/>
              <w:spacing w:before="120" w:after="120"/>
              <w:rPr>
                <w:rFonts w:cs="Arial"/>
                <w:lang w:eastAsia="en-NZ"/>
              </w:rPr>
            </w:pPr>
          </w:p>
        </w:tc>
        <w:tc>
          <w:tcPr>
            <w:tcW w:w="0" w:type="auto"/>
          </w:tcPr>
          <w:p w14:paraId="73E939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45D6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and whānau understood their right to make a complaint and knew how to do so. </w:t>
            </w:r>
          </w:p>
          <w:p w14:paraId="73491B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56A4D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assured the process worked equitably for Māori by offering support from a Māori advocate.</w:t>
            </w:r>
          </w:p>
          <w:p w14:paraId="0D8D4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7FA2F548" w14:textId="77777777" w:rsidR="00000000" w:rsidRPr="00BE00C7" w:rsidRDefault="00000000" w:rsidP="00BE00C7">
            <w:pPr>
              <w:pStyle w:val="OutcomeDescription"/>
              <w:spacing w:before="120" w:after="120"/>
              <w:rPr>
                <w:rFonts w:cs="Arial"/>
                <w:lang w:eastAsia="en-NZ"/>
              </w:rPr>
            </w:pPr>
          </w:p>
        </w:tc>
      </w:tr>
      <w:tr w:rsidR="00B705C0" w14:paraId="03956277" w14:textId="77777777">
        <w:tc>
          <w:tcPr>
            <w:tcW w:w="0" w:type="auto"/>
          </w:tcPr>
          <w:p w14:paraId="49A5B0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463B2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C63BD2" w14:textId="77777777" w:rsidR="00000000" w:rsidRPr="00BE00C7" w:rsidRDefault="00000000" w:rsidP="00BE00C7">
            <w:pPr>
              <w:pStyle w:val="OutcomeDescription"/>
              <w:spacing w:before="120" w:after="120"/>
              <w:rPr>
                <w:rFonts w:cs="Arial"/>
                <w:lang w:eastAsia="en-NZ"/>
              </w:rPr>
            </w:pPr>
          </w:p>
        </w:tc>
        <w:tc>
          <w:tcPr>
            <w:tcW w:w="0" w:type="auto"/>
          </w:tcPr>
          <w:p w14:paraId="62F1A4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B12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Mountain View Home and Hospital is governed by a nine-member board of trustees, and day-to-day operations are overseen by a facility manager (FM) who is a registered nurse (RN) with a current practising certificate. An interview with the board chairperson confirmed the ways in which the board takes accountability for delivering a high-quality service to residents and their whānau. Compliance with legislative, contractual and regulatory requirements is overseen by the leadership team and governance group, with external advice sought as required. </w:t>
            </w:r>
          </w:p>
          <w:p w14:paraId="543AB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clinical governance, is appropriate to the size and complexity of the organisation, with reporting to staff groups and monitoring of resident safety and clinical measures.   </w:t>
            </w:r>
          </w:p>
          <w:p w14:paraId="6B827B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w:t>
            </w:r>
            <w:r w:rsidRPr="00BE00C7">
              <w:rPr>
                <w:rFonts w:cs="Arial"/>
                <w:lang w:eastAsia="en-NZ"/>
              </w:rPr>
              <w:lastRenderedPageBreak/>
              <w:t>reporting at planned intervals. A focus on monitoring quality outcomes was evident in the sampled board reports reviewed.</w:t>
            </w:r>
          </w:p>
          <w:p w14:paraId="07C713D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board chairperson and review of board reports confirmed service delivery is designed to improve outcomes and improve equity for Māori by collection and analysis of statistical data, and use of Māori focused care tools. The chairperson demonstrated knowledge and understanding related to equity issues. The board and management work in ways that minimise and prevent barriers for any potential resident and their whanau.</w:t>
            </w:r>
          </w:p>
          <w:p w14:paraId="7B500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aged residential care - hospital medical, geriatric, and rest home care. The agreement included provision for respite/short-stay, and palliative care. </w:t>
            </w:r>
          </w:p>
          <w:p w14:paraId="48AAC95C"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most of the residents were receiving services under the aged residential care agreement. Of these, 18 were assessed at rest home-level care, and 34 residents were receiving hospital-level care. One of the hospital residents was under the Accident Compensation Corporation (ACC) scheme and was transferring to long-term residential care.</w:t>
            </w:r>
          </w:p>
          <w:p w14:paraId="5AFBA929" w14:textId="77777777" w:rsidR="00000000" w:rsidRPr="00BE00C7" w:rsidRDefault="00000000" w:rsidP="00BE00C7">
            <w:pPr>
              <w:pStyle w:val="OutcomeDescription"/>
              <w:spacing w:before="120" w:after="120"/>
              <w:rPr>
                <w:rFonts w:cs="Arial"/>
                <w:lang w:eastAsia="en-NZ"/>
              </w:rPr>
            </w:pPr>
          </w:p>
        </w:tc>
      </w:tr>
      <w:tr w:rsidR="00B705C0" w14:paraId="41115744" w14:textId="77777777">
        <w:tc>
          <w:tcPr>
            <w:tcW w:w="0" w:type="auto"/>
          </w:tcPr>
          <w:p w14:paraId="14EF17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3589F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9E5BAD3" w14:textId="77777777" w:rsidR="00000000" w:rsidRPr="00BE00C7" w:rsidRDefault="00000000" w:rsidP="00BE00C7">
            <w:pPr>
              <w:pStyle w:val="OutcomeDescription"/>
              <w:spacing w:before="120" w:after="120"/>
              <w:rPr>
                <w:rFonts w:cs="Arial"/>
                <w:lang w:eastAsia="en-NZ"/>
              </w:rPr>
            </w:pPr>
          </w:p>
        </w:tc>
        <w:tc>
          <w:tcPr>
            <w:tcW w:w="0" w:type="auto"/>
          </w:tcPr>
          <w:p w14:paraId="2D3D11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E4E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Mountain View has a documented and implemented quality and risk management system that is reviewed and kept current by the management team and the external owner of the quality system. The system included a risk management plan and policies and procedures that clearly describe all potential internal and external risks and corresponding mitigation strategies. </w:t>
            </w:r>
          </w:p>
          <w:p w14:paraId="5ABDC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effectiveness of service delivery is overseen by the quality committee and monitored through complaints, internal audit activities, regular resident and relative satisfaction surveys and the organisation’s reporting systems. Reporting systems utilised clinical indicators for incidents and accidents, surveillance of infections, pressure injuries, falls data, and medication errors. Quality improvement data was collected, collated and analysed to identify trends. Where audits or quality data indicated the need for improvement, corrective action plans were developed, implemented and evaluated before being closed out. There </w:t>
            </w:r>
            <w:r w:rsidRPr="00BE00C7">
              <w:rPr>
                <w:rFonts w:cs="Arial"/>
                <w:lang w:eastAsia="en-NZ"/>
              </w:rPr>
              <w:lastRenderedPageBreak/>
              <w:t xml:space="preserve">was communication with staff of any subsequent changes to procedures and practice through meetings and staff notices. A range of meeting minutes (quality, health and safety, RN and staff meetings) confirmed how this information is reported and discussed with all levels of staff. Residents and family were notified of relevant updates in one-to-one meetings, and at resident meetings or through regular newsletters. </w:t>
            </w:r>
          </w:p>
          <w:p w14:paraId="3CEDE423" w14:textId="77777777" w:rsidR="00000000" w:rsidRPr="00BE00C7" w:rsidRDefault="00000000" w:rsidP="00BE00C7">
            <w:pPr>
              <w:pStyle w:val="OutcomeDescription"/>
              <w:spacing w:before="120" w:after="120"/>
              <w:rPr>
                <w:rFonts w:cs="Arial"/>
                <w:lang w:eastAsia="en-NZ"/>
              </w:rPr>
            </w:pPr>
            <w:r w:rsidRPr="00BE00C7">
              <w:rPr>
                <w:rFonts w:cs="Arial"/>
                <w:lang w:eastAsia="en-NZ"/>
              </w:rPr>
              <w:t>Mountain View continues to demonstrate a commitment to quality improvement.  The continuous improvement rating in criterion 2.2.2 is ongoing.</w:t>
            </w:r>
          </w:p>
          <w:p w14:paraId="0D55DB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Annual resident and relative surveys were conducted which provided valuable feedback used to monitor improvement or decrease in satisfaction with services. The September 2024 resident survey (20 respondents) revealed a high level of satisfaction across all areas of service delivery. Where ratings were less than 100%, the residents’ issues were followed up to a satisfactory outcome. The next of kin survey conducted at the same time revealed no issues.</w:t>
            </w:r>
          </w:p>
          <w:p w14:paraId="31C31364"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23CBBD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Adverse and near-miss events were reported and documented in line with the National Adverse Events Policy. A sample of incidents forms reviewed showed these were fully completed, incidents were investigated, action plans developed, and actions followed up in a timely manner. </w:t>
            </w:r>
          </w:p>
          <w:p w14:paraId="5A3ECB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understood and has complied with essential notification reporting requirements.  Two Section 31 reports, for a change in board membership and a temporary change in the facility manager, were submitted in 2023 and 2024. One notification of a stage 3 pressure injury was submitted to the Health Quality &amp; Safety Commission In October 2024. There have been no events requiring notification to date in this calendar year.</w:t>
            </w:r>
          </w:p>
          <w:p w14:paraId="36038BA7" w14:textId="77777777" w:rsidR="00000000" w:rsidRPr="00BE00C7" w:rsidRDefault="00000000" w:rsidP="00BE00C7">
            <w:pPr>
              <w:pStyle w:val="OutcomeDescription"/>
              <w:spacing w:before="120" w:after="120"/>
              <w:rPr>
                <w:rFonts w:cs="Arial"/>
                <w:lang w:eastAsia="en-NZ"/>
              </w:rPr>
            </w:pPr>
          </w:p>
        </w:tc>
      </w:tr>
      <w:tr w:rsidR="00B705C0" w14:paraId="6EEA1662" w14:textId="77777777">
        <w:tc>
          <w:tcPr>
            <w:tcW w:w="0" w:type="auto"/>
          </w:tcPr>
          <w:p w14:paraId="514D9E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9B803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37D32D7" w14:textId="77777777" w:rsidR="00000000" w:rsidRPr="00BE00C7" w:rsidRDefault="00000000" w:rsidP="00BE00C7">
            <w:pPr>
              <w:pStyle w:val="OutcomeDescription"/>
              <w:spacing w:before="120" w:after="120"/>
              <w:rPr>
                <w:rFonts w:cs="Arial"/>
                <w:lang w:eastAsia="en-NZ"/>
              </w:rPr>
            </w:pPr>
          </w:p>
        </w:tc>
        <w:tc>
          <w:tcPr>
            <w:tcW w:w="0" w:type="auto"/>
          </w:tcPr>
          <w:p w14:paraId="45140B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001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clinically safe care, 24 hours a day, seven days a week (24/7). The facility adjusted staffing </w:t>
            </w:r>
            <w:r w:rsidRPr="00BE00C7">
              <w:rPr>
                <w:rFonts w:cs="Arial"/>
                <w:lang w:eastAsia="en-NZ"/>
              </w:rPr>
              <w:lastRenderedPageBreak/>
              <w:t xml:space="preserve">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staff member on duty had a current first aid certificate and there was 24/7 RN coverage in the hospital. </w:t>
            </w:r>
          </w:p>
          <w:p w14:paraId="77BE6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RNs had current practicing certificates with the New Zealand Nursing Council. </w:t>
            </w:r>
          </w:p>
          <w:p w14:paraId="5F19D3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7CD4C7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supported equitable service delivery. This was planned on a two-yearly basis, and staff attendance was monitored. Training completed for the 2025-2026 training plan contained education on consumer rights, cultural competency, identifying and preventing inequities, discrimination and unconscious bias, tikanga best practice and Te Tiriti o Waitangi, infection control, restraint, health and safety including manual handling, plus a range of essential resident care topics. For example, falls prevention, medication and pain management, syringe drivers, palliative/end of life care, skin tear and wound management, diabetes, incontinence and first aid refresher training.  </w:t>
            </w:r>
          </w:p>
          <w:p w14:paraId="09F90A9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(NZQA) education programme to meet the requirements of the provider’s agreement with the funder. Of the 38 care givers, 13 have achieved Level 4 of the National Certificate in Health and Wellness, seven are at Level 3, one at Level 2, six are progressing to Level 2 and 11 new carers are yet to engage.  Staff records reviewed demonstrated completion of the required training and competency assessments.</w:t>
            </w:r>
          </w:p>
          <w:p w14:paraId="3218726A" w14:textId="77777777" w:rsidR="00000000" w:rsidRPr="00BE00C7" w:rsidRDefault="00000000" w:rsidP="00BE00C7">
            <w:pPr>
              <w:pStyle w:val="OutcomeDescription"/>
              <w:spacing w:before="120" w:after="120"/>
              <w:rPr>
                <w:rFonts w:cs="Arial"/>
                <w:lang w:eastAsia="en-NZ"/>
              </w:rPr>
            </w:pPr>
          </w:p>
        </w:tc>
      </w:tr>
      <w:tr w:rsidR="00B705C0" w14:paraId="6F271CF1" w14:textId="77777777">
        <w:tc>
          <w:tcPr>
            <w:tcW w:w="0" w:type="auto"/>
          </w:tcPr>
          <w:p w14:paraId="2569B1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2CD43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r>
            <w:r w:rsidRPr="00BE00C7">
              <w:rPr>
                <w:rFonts w:cs="Arial"/>
                <w:lang w:eastAsia="en-NZ"/>
              </w:rPr>
              <w:lastRenderedPageBreak/>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794A804" w14:textId="77777777" w:rsidR="00000000" w:rsidRPr="00BE00C7" w:rsidRDefault="00000000" w:rsidP="00BE00C7">
            <w:pPr>
              <w:pStyle w:val="OutcomeDescription"/>
              <w:spacing w:before="120" w:after="120"/>
              <w:rPr>
                <w:rFonts w:cs="Arial"/>
                <w:lang w:eastAsia="en-NZ"/>
              </w:rPr>
            </w:pPr>
          </w:p>
        </w:tc>
        <w:tc>
          <w:tcPr>
            <w:tcW w:w="0" w:type="auto"/>
          </w:tcPr>
          <w:p w14:paraId="1CFEA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FF76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were based on good employment practice and relevant legislation. The recruitment process included referee checks, police vetting, proof of vaccination </w:t>
            </w:r>
            <w:r w:rsidRPr="00BE00C7">
              <w:rPr>
                <w:rFonts w:cs="Arial"/>
                <w:lang w:eastAsia="en-NZ"/>
              </w:rPr>
              <w:lastRenderedPageBreak/>
              <w:t>status and confirmation of qualifications before an offer of employment was made.</w:t>
            </w:r>
          </w:p>
          <w:p w14:paraId="3675ED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sampled confirmed the organisation’s policies were being consistently implemented. There were current position descriptions attached to each staff file outlining the role and responsibilities. Records were kept confirming all regulated staff and contracted providers had proof of current certification with their regulatory bodies. For example, the New Zealand Nursing Council, the NZ Medical Council, and the NZ Pharmacy, Physiotherapy and Podiatry Boards. </w:t>
            </w:r>
          </w:p>
          <w:p w14:paraId="651C960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new staff engaged in a comprehensive orientation programme, tailored for their specific role. Formal performance appraisals occurred at least annually. Each of the six staff files sampled contained evidence that an appraisal had occurred in 2024 and 2025 or that they were scheduled for 2025.</w:t>
            </w:r>
          </w:p>
          <w:p w14:paraId="14B49790" w14:textId="77777777" w:rsidR="00000000" w:rsidRPr="00BE00C7" w:rsidRDefault="00000000" w:rsidP="00BE00C7">
            <w:pPr>
              <w:pStyle w:val="OutcomeDescription"/>
              <w:spacing w:before="120" w:after="120"/>
              <w:rPr>
                <w:rFonts w:cs="Arial"/>
                <w:lang w:eastAsia="en-NZ"/>
              </w:rPr>
            </w:pPr>
          </w:p>
        </w:tc>
      </w:tr>
      <w:tr w:rsidR="00B705C0" w14:paraId="25953A91" w14:textId="77777777">
        <w:tc>
          <w:tcPr>
            <w:tcW w:w="0" w:type="auto"/>
          </w:tcPr>
          <w:p w14:paraId="4A8E3B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D7FBC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5C49BB" w14:textId="77777777" w:rsidR="00000000" w:rsidRPr="00BE00C7" w:rsidRDefault="00000000" w:rsidP="00BE00C7">
            <w:pPr>
              <w:pStyle w:val="OutcomeDescription"/>
              <w:spacing w:before="120" w:after="120"/>
              <w:rPr>
                <w:rFonts w:cs="Arial"/>
                <w:lang w:eastAsia="en-NZ"/>
              </w:rPr>
            </w:pPr>
          </w:p>
        </w:tc>
        <w:tc>
          <w:tcPr>
            <w:tcW w:w="0" w:type="auto"/>
          </w:tcPr>
          <w:p w14:paraId="47855C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471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was developed by the registered nurses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5D8901EC"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general practitioner (GP) assessment, initial care plan, long-term care plan and review timeframes met contractual and policy requirements. Staff supported Māori and whānau to identify their own pae ora outcomes in their care plan. Māori health care plans were completed for residents who identified as Māori using Te Whare Tapa Wha model of care. This was verified by sampling residents’ records, and from interviews of clinical staff, residents and whānau. The GP expressed satisfaction with the standard of care provided to residents.</w:t>
            </w:r>
          </w:p>
          <w:p w14:paraId="6C1BA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w:t>
            </w:r>
            <w:r w:rsidRPr="00BE00C7">
              <w:rPr>
                <w:rFonts w:cs="Arial"/>
                <w:lang w:eastAsia="en-NZ"/>
              </w:rPr>
              <w:lastRenderedPageBreak/>
              <w:t>made to the care plan in collaboration with the resident and whānau (where applicable). Residents and whānau confirmed active involvement in the process.</w:t>
            </w:r>
          </w:p>
          <w:p w14:paraId="7CEE113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w:t>
            </w:r>
          </w:p>
          <w:p w14:paraId="2B598D7A" w14:textId="77777777" w:rsidR="00000000" w:rsidRPr="00BE00C7" w:rsidRDefault="00000000" w:rsidP="00610963">
            <w:pPr>
              <w:pStyle w:val="OutcomeDescription"/>
              <w:spacing w:before="120" w:after="120"/>
              <w:rPr>
                <w:rFonts w:cs="Arial"/>
                <w:lang w:eastAsia="en-NZ"/>
              </w:rPr>
            </w:pPr>
          </w:p>
        </w:tc>
      </w:tr>
      <w:tr w:rsidR="00B705C0" w14:paraId="66263359" w14:textId="77777777">
        <w:tc>
          <w:tcPr>
            <w:tcW w:w="0" w:type="auto"/>
          </w:tcPr>
          <w:p w14:paraId="68F49D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B577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6EC333" w14:textId="77777777" w:rsidR="00000000" w:rsidRPr="00BE00C7" w:rsidRDefault="00000000" w:rsidP="00BE00C7">
            <w:pPr>
              <w:pStyle w:val="OutcomeDescription"/>
              <w:spacing w:before="120" w:after="120"/>
              <w:rPr>
                <w:rFonts w:cs="Arial"/>
                <w:lang w:eastAsia="en-NZ"/>
              </w:rPr>
            </w:pPr>
          </w:p>
        </w:tc>
        <w:tc>
          <w:tcPr>
            <w:tcW w:w="0" w:type="auto"/>
          </w:tcPr>
          <w:p w14:paraId="754344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ADC5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administered medicines were competent to perform the function they managed. </w:t>
            </w:r>
          </w:p>
          <w:p w14:paraId="1584BC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have been completed. Medicines stored were within the recommended temperature range. </w:t>
            </w:r>
          </w:p>
          <w:p w14:paraId="203259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GP review was consistently recorded on the medicine chart. Standing orders were not used. </w:t>
            </w:r>
          </w:p>
          <w:p w14:paraId="4690A10B"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357F0D18" w14:textId="77777777" w:rsidR="00000000" w:rsidRPr="00BE00C7" w:rsidRDefault="00000000" w:rsidP="00BE00C7">
            <w:pPr>
              <w:pStyle w:val="OutcomeDescription"/>
              <w:spacing w:before="120" w:after="120"/>
              <w:rPr>
                <w:rFonts w:cs="Arial"/>
                <w:lang w:eastAsia="en-NZ"/>
              </w:rPr>
            </w:pPr>
          </w:p>
        </w:tc>
      </w:tr>
      <w:tr w:rsidR="00B705C0" w14:paraId="3C412C55" w14:textId="77777777">
        <w:tc>
          <w:tcPr>
            <w:tcW w:w="0" w:type="auto"/>
          </w:tcPr>
          <w:p w14:paraId="628CD1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F4157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18D1627C" w14:textId="77777777" w:rsidR="00000000" w:rsidRPr="00BE00C7" w:rsidRDefault="00000000" w:rsidP="00BE00C7">
            <w:pPr>
              <w:pStyle w:val="OutcomeDescription"/>
              <w:spacing w:before="120" w:after="120"/>
              <w:rPr>
                <w:rFonts w:cs="Arial"/>
                <w:lang w:eastAsia="en-NZ"/>
              </w:rPr>
            </w:pPr>
          </w:p>
        </w:tc>
        <w:tc>
          <w:tcPr>
            <w:tcW w:w="0" w:type="auto"/>
          </w:tcPr>
          <w:p w14:paraId="33BBE5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6C7A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residents. Dietary needs forms were completed for all residents. Evidence of resident satisfaction with meals was verified from resident and whānau interviews, satisfaction surveys and resident meeting minutes.</w:t>
            </w:r>
          </w:p>
          <w:p w14:paraId="3EAA89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operated with an approved food safety plan and registration. An external food verification audit was completed on 9 October 2024.</w:t>
            </w:r>
          </w:p>
          <w:p w14:paraId="2F612124" w14:textId="77777777" w:rsidR="00000000" w:rsidRPr="00BE00C7" w:rsidRDefault="00000000" w:rsidP="00BE00C7">
            <w:pPr>
              <w:pStyle w:val="OutcomeDescription"/>
              <w:spacing w:before="120" w:after="120"/>
              <w:rPr>
                <w:rFonts w:cs="Arial"/>
                <w:lang w:eastAsia="en-NZ"/>
              </w:rPr>
            </w:pPr>
          </w:p>
        </w:tc>
      </w:tr>
      <w:tr w:rsidR="00B705C0" w14:paraId="3D5A87AF" w14:textId="77777777">
        <w:tc>
          <w:tcPr>
            <w:tcW w:w="0" w:type="auto"/>
          </w:tcPr>
          <w:p w14:paraId="2B4E92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0680E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2F2D504" w14:textId="77777777" w:rsidR="00000000" w:rsidRPr="00BE00C7" w:rsidRDefault="00000000" w:rsidP="00BE00C7">
            <w:pPr>
              <w:pStyle w:val="OutcomeDescription"/>
              <w:spacing w:before="120" w:after="120"/>
              <w:rPr>
                <w:rFonts w:cs="Arial"/>
                <w:lang w:eastAsia="en-NZ"/>
              </w:rPr>
            </w:pPr>
          </w:p>
        </w:tc>
        <w:tc>
          <w:tcPr>
            <w:tcW w:w="0" w:type="auto"/>
          </w:tcPr>
          <w:p w14:paraId="28E2C9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64B369"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transfer and discharge policy was available to guide care. Transfer or discharge from the service was planned and managed safely, with coordination between services and in collaboration with the resident and whānau. Risks and current support needs were identified and managed.  Whānau reported being kept well informed during the transfer of their relative.</w:t>
            </w:r>
          </w:p>
          <w:p w14:paraId="7543993C" w14:textId="77777777" w:rsidR="00000000" w:rsidRPr="00BE00C7" w:rsidRDefault="00000000" w:rsidP="00BE00C7">
            <w:pPr>
              <w:pStyle w:val="OutcomeDescription"/>
              <w:spacing w:before="120" w:after="120"/>
              <w:rPr>
                <w:rFonts w:cs="Arial"/>
                <w:lang w:eastAsia="en-NZ"/>
              </w:rPr>
            </w:pPr>
          </w:p>
        </w:tc>
      </w:tr>
      <w:tr w:rsidR="00B705C0" w14:paraId="23DFE156" w14:textId="77777777">
        <w:tc>
          <w:tcPr>
            <w:tcW w:w="0" w:type="auto"/>
          </w:tcPr>
          <w:p w14:paraId="55142C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1F082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2C6CBFD" w14:textId="77777777" w:rsidR="00000000" w:rsidRPr="00BE00C7" w:rsidRDefault="00000000" w:rsidP="00BE00C7">
            <w:pPr>
              <w:pStyle w:val="OutcomeDescription"/>
              <w:spacing w:before="120" w:after="120"/>
              <w:rPr>
                <w:rFonts w:cs="Arial"/>
                <w:lang w:eastAsia="en-NZ"/>
              </w:rPr>
            </w:pPr>
          </w:p>
        </w:tc>
        <w:tc>
          <w:tcPr>
            <w:tcW w:w="0" w:type="auto"/>
          </w:tcPr>
          <w:p w14:paraId="1F8C48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D8A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met legislative requirements. There was a current building warrant of fitness with an expiry date of 21 May 2026.  Maintenance staff followed a planned maintenance schedule. Evidence of monthly maintenance and compliance checks of call bells, wheelchairs and hoists, hot water temperature testing, egress, emergency systems and inspection of internal and external areas was confirmed by interview and in completed record keeping. Reactive maintenance was addressed in a timely manner. The testing and tagging of electrical equipment was undertaken annually by registered electricians and as required when residents brought in their own electrical devices.  This last occurred in December 2024.  Servicing of biomedical equipment occurred in January 2025. </w:t>
            </w:r>
          </w:p>
          <w:p w14:paraId="0A5056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470848DB" w14:textId="77777777" w:rsidR="00000000" w:rsidRPr="00BE00C7" w:rsidRDefault="00000000" w:rsidP="00BE00C7">
            <w:pPr>
              <w:pStyle w:val="OutcomeDescription"/>
              <w:spacing w:before="120" w:after="120"/>
              <w:rPr>
                <w:rFonts w:cs="Arial"/>
                <w:lang w:eastAsia="en-NZ"/>
              </w:rPr>
            </w:pPr>
          </w:p>
        </w:tc>
      </w:tr>
      <w:tr w:rsidR="00B705C0" w14:paraId="6421BDF8" w14:textId="77777777">
        <w:tc>
          <w:tcPr>
            <w:tcW w:w="0" w:type="auto"/>
          </w:tcPr>
          <w:p w14:paraId="5ED469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5E6C5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38524E" w14:textId="77777777" w:rsidR="00000000" w:rsidRPr="00BE00C7" w:rsidRDefault="00000000" w:rsidP="00BE00C7">
            <w:pPr>
              <w:pStyle w:val="OutcomeDescription"/>
              <w:spacing w:before="120" w:after="120"/>
              <w:rPr>
                <w:rFonts w:cs="Arial"/>
                <w:lang w:eastAsia="en-NZ"/>
              </w:rPr>
            </w:pPr>
          </w:p>
        </w:tc>
        <w:tc>
          <w:tcPr>
            <w:tcW w:w="0" w:type="auto"/>
          </w:tcPr>
          <w:p w14:paraId="78BA69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722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was responsible for overseeing and implementing the IP programme, which had been developed by those with IP expertise and approved by the governance body. The programme was linked to the quality improvement programme and was reviewed and reported on annually. It was last reviewed on 13 January 2025. This was confirmed by the IPCC and review of the programme documentation. </w:t>
            </w:r>
          </w:p>
          <w:p w14:paraId="118329F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6FECA278" w14:textId="77777777" w:rsidR="00000000" w:rsidRPr="00BE00C7" w:rsidRDefault="00000000" w:rsidP="00BE00C7">
            <w:pPr>
              <w:pStyle w:val="OutcomeDescription"/>
              <w:spacing w:before="120" w:after="120"/>
              <w:rPr>
                <w:rFonts w:cs="Arial"/>
                <w:lang w:eastAsia="en-NZ"/>
              </w:rPr>
            </w:pPr>
          </w:p>
        </w:tc>
      </w:tr>
      <w:tr w:rsidR="00B705C0" w14:paraId="5498EDF3" w14:textId="77777777">
        <w:tc>
          <w:tcPr>
            <w:tcW w:w="0" w:type="auto"/>
          </w:tcPr>
          <w:p w14:paraId="7D81AD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2FC5C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67C91FF" w14:textId="77777777" w:rsidR="00000000" w:rsidRPr="00BE00C7" w:rsidRDefault="00000000" w:rsidP="00BE00C7">
            <w:pPr>
              <w:pStyle w:val="OutcomeDescription"/>
              <w:spacing w:before="120" w:after="120"/>
              <w:rPr>
                <w:rFonts w:cs="Arial"/>
                <w:lang w:eastAsia="en-NZ"/>
              </w:rPr>
            </w:pPr>
          </w:p>
        </w:tc>
        <w:tc>
          <w:tcPr>
            <w:tcW w:w="0" w:type="auto"/>
          </w:tcPr>
          <w:p w14:paraId="03F9B7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F54DD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Surveillance methods, tools, documentation, analysis, and assignment of responsibilities were described and documented using standardised surveillance definitions. Monthly surveillance data was collated and analysed to identify any trends, possible causative factors, and required actions. Surveillance included ethnicity data.  Results of the surveillance programme were shared with staff and reported to the governing body.</w:t>
            </w:r>
          </w:p>
          <w:p w14:paraId="66B8A4D8" w14:textId="77777777" w:rsidR="00000000" w:rsidRPr="00BE00C7" w:rsidRDefault="00000000" w:rsidP="00BE00C7">
            <w:pPr>
              <w:pStyle w:val="OutcomeDescription"/>
              <w:spacing w:before="120" w:after="120"/>
              <w:rPr>
                <w:rFonts w:cs="Arial"/>
                <w:lang w:eastAsia="en-NZ"/>
              </w:rPr>
            </w:pPr>
          </w:p>
        </w:tc>
      </w:tr>
      <w:tr w:rsidR="00B705C0" w14:paraId="69CFEB8F" w14:textId="77777777">
        <w:tc>
          <w:tcPr>
            <w:tcW w:w="0" w:type="auto"/>
          </w:tcPr>
          <w:p w14:paraId="09ED6A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41402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EBC9C30" w14:textId="77777777" w:rsidR="00000000" w:rsidRPr="00BE00C7" w:rsidRDefault="00000000" w:rsidP="00BE00C7">
            <w:pPr>
              <w:pStyle w:val="OutcomeDescription"/>
              <w:spacing w:before="120" w:after="120"/>
              <w:rPr>
                <w:rFonts w:cs="Arial"/>
                <w:lang w:eastAsia="en-NZ"/>
              </w:rPr>
            </w:pPr>
          </w:p>
        </w:tc>
        <w:tc>
          <w:tcPr>
            <w:tcW w:w="0" w:type="auto"/>
          </w:tcPr>
          <w:p w14:paraId="64C0A0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EB57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Any restraint activities were reported to them. At the time of this audit, there was one restraint being used at Mountain View, which was the only restraint intervention since December 2022. The resident was admitted with the use of restraints in August 2024. The restraint coordinator has eliminated the bed rails, but the resident still requires a lap belt when seated due to their high risk of falls and confusion. Review of the restraint assessment, approval and monitoring system, and review of the restraint in use, demonstrated compliance with this subsection. Staff reported, and </w:t>
            </w:r>
            <w:r w:rsidRPr="00BE00C7">
              <w:rPr>
                <w:rFonts w:cs="Arial"/>
                <w:lang w:eastAsia="en-NZ"/>
              </w:rPr>
              <w:lastRenderedPageBreak/>
              <w:t>documentation evidenced, that staff had been trained in the least restrictive practice, safe restraint practice, alternative cultural-specific interventions, and de-escalation techniques.</w:t>
            </w:r>
          </w:p>
          <w:p w14:paraId="7B759B33" w14:textId="77777777" w:rsidR="00000000" w:rsidRPr="00BE00C7" w:rsidRDefault="00000000" w:rsidP="00BE00C7">
            <w:pPr>
              <w:pStyle w:val="OutcomeDescription"/>
              <w:spacing w:before="120" w:after="120"/>
              <w:rPr>
                <w:rFonts w:cs="Arial"/>
                <w:lang w:eastAsia="en-NZ"/>
              </w:rPr>
            </w:pPr>
          </w:p>
        </w:tc>
      </w:tr>
    </w:tbl>
    <w:p w14:paraId="688CCCD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C9BA35B" w14:textId="77777777" w:rsidR="00000000" w:rsidRDefault="00000000">
      <w:pPr>
        <w:pStyle w:val="Heading1"/>
        <w:rPr>
          <w:rFonts w:cs="Arial"/>
        </w:rPr>
      </w:pPr>
      <w:r>
        <w:rPr>
          <w:rFonts w:cs="Arial"/>
        </w:rPr>
        <w:lastRenderedPageBreak/>
        <w:t>Specific results for criterion where corrective actions are required</w:t>
      </w:r>
    </w:p>
    <w:p w14:paraId="79D6C3E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F2774A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7B1FF0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05C0" w14:paraId="76C57A87" w14:textId="77777777">
        <w:tc>
          <w:tcPr>
            <w:tcW w:w="0" w:type="auto"/>
          </w:tcPr>
          <w:p w14:paraId="3290C43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FA7E7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4D3352F" w14:textId="77777777" w:rsidR="00000000" w:rsidRDefault="00000000">
      <w:pPr>
        <w:pStyle w:val="Heading1"/>
        <w:rPr>
          <w:rFonts w:cs="Arial"/>
        </w:rPr>
      </w:pPr>
      <w:r>
        <w:rPr>
          <w:rFonts w:cs="Arial"/>
        </w:rPr>
        <w:lastRenderedPageBreak/>
        <w:t>Specific results for criterion where a continuous improvement has been recorded</w:t>
      </w:r>
    </w:p>
    <w:p w14:paraId="65AC399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B2B51D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EE9C9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374"/>
        <w:gridCol w:w="6482"/>
        <w:gridCol w:w="2726"/>
      </w:tblGrid>
      <w:tr w:rsidR="00B705C0" w14:paraId="5306A6AF" w14:textId="77777777">
        <w:tc>
          <w:tcPr>
            <w:tcW w:w="0" w:type="auto"/>
          </w:tcPr>
          <w:p w14:paraId="47FA024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D364B3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EF51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620CA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B705C0" w14:paraId="0380EB93" w14:textId="77777777">
        <w:tc>
          <w:tcPr>
            <w:tcW w:w="0" w:type="auto"/>
          </w:tcPr>
          <w:p w14:paraId="41357B4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3BC6A49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EA3FF6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48908A1" w14:textId="77777777" w:rsidR="00000000" w:rsidRPr="00BE00C7" w:rsidRDefault="00000000" w:rsidP="00BE00C7">
            <w:pPr>
              <w:pStyle w:val="OutcomeDescription"/>
              <w:spacing w:before="120" w:after="120"/>
              <w:rPr>
                <w:rFonts w:cs="Arial"/>
                <w:lang w:eastAsia="en-NZ"/>
              </w:rPr>
            </w:pPr>
            <w:r w:rsidRPr="00BE00C7">
              <w:rPr>
                <w:rFonts w:cs="Arial"/>
                <w:lang w:eastAsia="en-NZ"/>
              </w:rPr>
              <w:t>Mountain View continues to demonstrate a commitment to quality improvement.  The quality improvement project teams that were put in place in 2019 are ongoing. Each of these teams has a nominated RN champion in the following care subjects: elimination of restraint, prevention of infections, wounds and pressure areas, falls prevention, palliative care and nutrition. Mountain View is maintaining low overall rates of falls and infections. For example, monthly fall rates fluctuate from between 2% to 5% and very few infections (less than three per month).  The service initiated a project to reduce the number of resident admissions to public hospital in 2023. From an average of 20 per year, the number of admissions dropped to seven in 2023 and nine in 2024. There have been five admissions to date in 2025. The service is considering submitting this project to the NZACA awards.</w:t>
            </w:r>
          </w:p>
          <w:p w14:paraId="181CBA8B" w14:textId="77777777" w:rsidR="00000000" w:rsidRPr="00BE00C7" w:rsidRDefault="00000000" w:rsidP="00BE00C7">
            <w:pPr>
              <w:pStyle w:val="OutcomeDescription"/>
              <w:spacing w:before="120" w:after="120"/>
              <w:rPr>
                <w:rFonts w:cs="Arial"/>
                <w:lang w:eastAsia="en-NZ"/>
              </w:rPr>
            </w:pPr>
          </w:p>
        </w:tc>
        <w:tc>
          <w:tcPr>
            <w:tcW w:w="0" w:type="auto"/>
          </w:tcPr>
          <w:p w14:paraId="212D26DD"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projects are continuing to reduce harm and prevent resident admissions to hospital.</w:t>
            </w:r>
          </w:p>
          <w:p w14:paraId="5C38A0E2" w14:textId="77777777" w:rsidR="00000000" w:rsidRPr="00BE00C7" w:rsidRDefault="00000000" w:rsidP="00BE00C7">
            <w:pPr>
              <w:pStyle w:val="OutcomeDescription"/>
              <w:spacing w:before="120" w:after="120"/>
              <w:rPr>
                <w:rFonts w:cs="Arial"/>
                <w:lang w:eastAsia="en-NZ"/>
              </w:rPr>
            </w:pPr>
          </w:p>
        </w:tc>
      </w:tr>
    </w:tbl>
    <w:p w14:paraId="03DA285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34A657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B2FD" w14:textId="77777777" w:rsidR="00ED35B1" w:rsidRDefault="00ED35B1">
      <w:r>
        <w:separator/>
      </w:r>
    </w:p>
  </w:endnote>
  <w:endnote w:type="continuationSeparator" w:id="0">
    <w:p w14:paraId="677EA58E" w14:textId="77777777" w:rsidR="00ED35B1" w:rsidRDefault="00ED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3331" w14:textId="77777777" w:rsidR="00000000" w:rsidRDefault="00000000">
    <w:pPr>
      <w:pStyle w:val="Footer"/>
    </w:pPr>
  </w:p>
  <w:p w14:paraId="29F0ABE7" w14:textId="77777777" w:rsidR="00000000" w:rsidRDefault="00000000"/>
  <w:p w14:paraId="10FF933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45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Kawerau Social Services Trust Board - Mountain View Home &amp; Hospital</w:t>
    </w:r>
    <w:bookmarkEnd w:id="59"/>
    <w:r>
      <w:rPr>
        <w:rFonts w:cs="Arial"/>
        <w:sz w:val="16"/>
        <w:szCs w:val="20"/>
      </w:rPr>
      <w:tab/>
      <w:t xml:space="preserve">Date of Audit: </w:t>
    </w:r>
    <w:bookmarkStart w:id="60" w:name="AuditStartDate1"/>
    <w:r>
      <w:rPr>
        <w:rFonts w:cs="Arial"/>
        <w:sz w:val="16"/>
        <w:szCs w:val="20"/>
      </w:rPr>
      <w:t>17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D603D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A9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3589" w14:textId="77777777" w:rsidR="00ED35B1" w:rsidRDefault="00ED35B1">
      <w:r>
        <w:separator/>
      </w:r>
    </w:p>
  </w:footnote>
  <w:footnote w:type="continuationSeparator" w:id="0">
    <w:p w14:paraId="2CFED118" w14:textId="77777777" w:rsidR="00ED35B1" w:rsidRDefault="00ED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9562" w14:textId="77777777" w:rsidR="00000000" w:rsidRDefault="00000000">
    <w:pPr>
      <w:pStyle w:val="Header"/>
    </w:pPr>
  </w:p>
  <w:p w14:paraId="43CDA1F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0EF4" w14:textId="77777777" w:rsidR="00000000" w:rsidRDefault="00000000">
    <w:pPr>
      <w:pStyle w:val="Header"/>
    </w:pPr>
  </w:p>
  <w:p w14:paraId="28CD70E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B60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5009006">
      <w:start w:val="1"/>
      <w:numFmt w:val="decimal"/>
      <w:lvlText w:val="%1."/>
      <w:lvlJc w:val="left"/>
      <w:pPr>
        <w:ind w:left="360" w:hanging="360"/>
      </w:pPr>
    </w:lvl>
    <w:lvl w:ilvl="1" w:tplc="9BC45B68" w:tentative="1">
      <w:start w:val="1"/>
      <w:numFmt w:val="lowerLetter"/>
      <w:lvlText w:val="%2."/>
      <w:lvlJc w:val="left"/>
      <w:pPr>
        <w:ind w:left="1080" w:hanging="360"/>
      </w:pPr>
    </w:lvl>
    <w:lvl w:ilvl="2" w:tplc="07B0554E" w:tentative="1">
      <w:start w:val="1"/>
      <w:numFmt w:val="lowerRoman"/>
      <w:lvlText w:val="%3."/>
      <w:lvlJc w:val="right"/>
      <w:pPr>
        <w:ind w:left="1800" w:hanging="180"/>
      </w:pPr>
    </w:lvl>
    <w:lvl w:ilvl="3" w:tplc="08F2A3A4" w:tentative="1">
      <w:start w:val="1"/>
      <w:numFmt w:val="decimal"/>
      <w:lvlText w:val="%4."/>
      <w:lvlJc w:val="left"/>
      <w:pPr>
        <w:ind w:left="2520" w:hanging="360"/>
      </w:pPr>
    </w:lvl>
    <w:lvl w:ilvl="4" w:tplc="6D4A40D0" w:tentative="1">
      <w:start w:val="1"/>
      <w:numFmt w:val="lowerLetter"/>
      <w:lvlText w:val="%5."/>
      <w:lvlJc w:val="left"/>
      <w:pPr>
        <w:ind w:left="3240" w:hanging="360"/>
      </w:pPr>
    </w:lvl>
    <w:lvl w:ilvl="5" w:tplc="B75A6D58" w:tentative="1">
      <w:start w:val="1"/>
      <w:numFmt w:val="lowerRoman"/>
      <w:lvlText w:val="%6."/>
      <w:lvlJc w:val="right"/>
      <w:pPr>
        <w:ind w:left="3960" w:hanging="180"/>
      </w:pPr>
    </w:lvl>
    <w:lvl w:ilvl="6" w:tplc="512EA61A" w:tentative="1">
      <w:start w:val="1"/>
      <w:numFmt w:val="decimal"/>
      <w:lvlText w:val="%7."/>
      <w:lvlJc w:val="left"/>
      <w:pPr>
        <w:ind w:left="4680" w:hanging="360"/>
      </w:pPr>
    </w:lvl>
    <w:lvl w:ilvl="7" w:tplc="A0D47FA4" w:tentative="1">
      <w:start w:val="1"/>
      <w:numFmt w:val="lowerLetter"/>
      <w:lvlText w:val="%8."/>
      <w:lvlJc w:val="left"/>
      <w:pPr>
        <w:ind w:left="5400" w:hanging="360"/>
      </w:pPr>
    </w:lvl>
    <w:lvl w:ilvl="8" w:tplc="363881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136BAF0">
      <w:start w:val="1"/>
      <w:numFmt w:val="bullet"/>
      <w:lvlText w:val=""/>
      <w:lvlJc w:val="left"/>
      <w:pPr>
        <w:ind w:left="720" w:hanging="360"/>
      </w:pPr>
      <w:rPr>
        <w:rFonts w:ascii="Symbol" w:hAnsi="Symbol" w:hint="default"/>
      </w:rPr>
    </w:lvl>
    <w:lvl w:ilvl="1" w:tplc="FB22EEA0" w:tentative="1">
      <w:start w:val="1"/>
      <w:numFmt w:val="bullet"/>
      <w:lvlText w:val="o"/>
      <w:lvlJc w:val="left"/>
      <w:pPr>
        <w:ind w:left="1440" w:hanging="360"/>
      </w:pPr>
      <w:rPr>
        <w:rFonts w:ascii="Courier New" w:hAnsi="Courier New" w:cs="Courier New" w:hint="default"/>
      </w:rPr>
    </w:lvl>
    <w:lvl w:ilvl="2" w:tplc="185A8018" w:tentative="1">
      <w:start w:val="1"/>
      <w:numFmt w:val="bullet"/>
      <w:lvlText w:val=""/>
      <w:lvlJc w:val="left"/>
      <w:pPr>
        <w:ind w:left="2160" w:hanging="360"/>
      </w:pPr>
      <w:rPr>
        <w:rFonts w:ascii="Wingdings" w:hAnsi="Wingdings" w:hint="default"/>
      </w:rPr>
    </w:lvl>
    <w:lvl w:ilvl="3" w:tplc="B21EC3F0" w:tentative="1">
      <w:start w:val="1"/>
      <w:numFmt w:val="bullet"/>
      <w:lvlText w:val=""/>
      <w:lvlJc w:val="left"/>
      <w:pPr>
        <w:ind w:left="2880" w:hanging="360"/>
      </w:pPr>
      <w:rPr>
        <w:rFonts w:ascii="Symbol" w:hAnsi="Symbol" w:hint="default"/>
      </w:rPr>
    </w:lvl>
    <w:lvl w:ilvl="4" w:tplc="7C7AC7C4" w:tentative="1">
      <w:start w:val="1"/>
      <w:numFmt w:val="bullet"/>
      <w:lvlText w:val="o"/>
      <w:lvlJc w:val="left"/>
      <w:pPr>
        <w:ind w:left="3600" w:hanging="360"/>
      </w:pPr>
      <w:rPr>
        <w:rFonts w:ascii="Courier New" w:hAnsi="Courier New" w:cs="Courier New" w:hint="default"/>
      </w:rPr>
    </w:lvl>
    <w:lvl w:ilvl="5" w:tplc="25082AAE" w:tentative="1">
      <w:start w:val="1"/>
      <w:numFmt w:val="bullet"/>
      <w:lvlText w:val=""/>
      <w:lvlJc w:val="left"/>
      <w:pPr>
        <w:ind w:left="4320" w:hanging="360"/>
      </w:pPr>
      <w:rPr>
        <w:rFonts w:ascii="Wingdings" w:hAnsi="Wingdings" w:hint="default"/>
      </w:rPr>
    </w:lvl>
    <w:lvl w:ilvl="6" w:tplc="A5903996" w:tentative="1">
      <w:start w:val="1"/>
      <w:numFmt w:val="bullet"/>
      <w:lvlText w:val=""/>
      <w:lvlJc w:val="left"/>
      <w:pPr>
        <w:ind w:left="5040" w:hanging="360"/>
      </w:pPr>
      <w:rPr>
        <w:rFonts w:ascii="Symbol" w:hAnsi="Symbol" w:hint="default"/>
      </w:rPr>
    </w:lvl>
    <w:lvl w:ilvl="7" w:tplc="7D024C9E" w:tentative="1">
      <w:start w:val="1"/>
      <w:numFmt w:val="bullet"/>
      <w:lvlText w:val="o"/>
      <w:lvlJc w:val="left"/>
      <w:pPr>
        <w:ind w:left="5760" w:hanging="360"/>
      </w:pPr>
      <w:rPr>
        <w:rFonts w:ascii="Courier New" w:hAnsi="Courier New" w:cs="Courier New" w:hint="default"/>
      </w:rPr>
    </w:lvl>
    <w:lvl w:ilvl="8" w:tplc="DF94F470" w:tentative="1">
      <w:start w:val="1"/>
      <w:numFmt w:val="bullet"/>
      <w:lvlText w:val=""/>
      <w:lvlJc w:val="left"/>
      <w:pPr>
        <w:ind w:left="6480" w:hanging="360"/>
      </w:pPr>
      <w:rPr>
        <w:rFonts w:ascii="Wingdings" w:hAnsi="Wingdings" w:hint="default"/>
      </w:rPr>
    </w:lvl>
  </w:abstractNum>
  <w:num w:numId="1" w16cid:durableId="2099519702">
    <w:abstractNumId w:val="1"/>
  </w:num>
  <w:num w:numId="2" w16cid:durableId="136506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C0"/>
    <w:rsid w:val="00610963"/>
    <w:rsid w:val="00961719"/>
    <w:rsid w:val="00B705C0"/>
    <w:rsid w:val="00ED35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357B"/>
  <w15:docId w15:val="{57E09AE3-E5DE-4C32-B853-650FBD99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2025-07-24T23:58:00Z</dcterms:created>
  <dcterms:modified xsi:type="dcterms:W3CDTF">2025-07-25T00:00:00Z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