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2408" w14:textId="77777777" w:rsidR="00000000" w:rsidRDefault="00000000">
      <w:pPr>
        <w:pStyle w:val="Heading1"/>
        <w:rPr>
          <w:rFonts w:cs="Arial"/>
        </w:rPr>
      </w:pPr>
      <w:bookmarkStart w:id="0" w:name="PRMS_RIName"/>
      <w:r>
        <w:rPr>
          <w:rFonts w:cs="Arial"/>
        </w:rPr>
        <w:t>Heritage Lifecare Limited - Ellerslie Gardens Lifecare</w:t>
      </w:r>
      <w:bookmarkEnd w:id="0"/>
    </w:p>
    <w:p w14:paraId="28F21C40" w14:textId="77777777" w:rsidR="00000000" w:rsidRDefault="00000000">
      <w:pPr>
        <w:pStyle w:val="Heading2"/>
        <w:spacing w:after="0"/>
        <w:rPr>
          <w:rFonts w:cs="Arial"/>
        </w:rPr>
      </w:pPr>
      <w:r>
        <w:rPr>
          <w:rFonts w:cs="Arial"/>
        </w:rPr>
        <w:t>Introduction</w:t>
      </w:r>
    </w:p>
    <w:p w14:paraId="6B3298D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F1D7467"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074B3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ADE495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B14555" w14:textId="77777777" w:rsidR="00000000" w:rsidRDefault="00000000">
      <w:pPr>
        <w:spacing w:before="240" w:after="240"/>
        <w:rPr>
          <w:rFonts w:cs="Arial"/>
          <w:lang w:eastAsia="en-NZ"/>
        </w:rPr>
      </w:pPr>
      <w:r>
        <w:rPr>
          <w:rFonts w:cs="Arial"/>
          <w:lang w:eastAsia="en-NZ"/>
        </w:rPr>
        <w:t>The specifics of this audit included:</w:t>
      </w:r>
    </w:p>
    <w:p w14:paraId="47BDB1D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35C1E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FF9EB9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Ellerslie Gardens Lifecare</w:t>
      </w:r>
      <w:bookmarkEnd w:id="5"/>
    </w:p>
    <w:p w14:paraId="01CF8D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276D6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May 2025</w:t>
      </w:r>
      <w:bookmarkEnd w:id="7"/>
      <w:r w:rsidRPr="009418D4">
        <w:rPr>
          <w:rFonts w:cs="Arial"/>
        </w:rPr>
        <w:tab/>
        <w:t xml:space="preserve">End date: </w:t>
      </w:r>
      <w:bookmarkStart w:id="8" w:name="AuditEndDate"/>
      <w:r>
        <w:rPr>
          <w:rFonts w:cs="Arial"/>
        </w:rPr>
        <w:t>27 May 2025</w:t>
      </w:r>
      <w:bookmarkEnd w:id="8"/>
    </w:p>
    <w:p w14:paraId="7418A2B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added residential disability (physical)  to the scope of services being provided at Ellerslie Gardens Lifecare.</w:t>
      </w:r>
    </w:p>
    <w:bookmarkEnd w:id="9"/>
    <w:p w14:paraId="70275511" w14:textId="77777777" w:rsidR="00BC189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87</w:t>
      </w:r>
      <w:bookmarkEnd w:id="10"/>
    </w:p>
    <w:p w14:paraId="2FF7607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03D8A3B" w14:textId="77777777" w:rsidR="00000000" w:rsidRDefault="00000000">
      <w:pPr>
        <w:pStyle w:val="Heading1"/>
        <w:rPr>
          <w:rFonts w:cs="Arial"/>
        </w:rPr>
      </w:pPr>
      <w:r>
        <w:rPr>
          <w:rFonts w:cs="Arial"/>
        </w:rPr>
        <w:lastRenderedPageBreak/>
        <w:t>Executive summary of the audit</w:t>
      </w:r>
    </w:p>
    <w:p w14:paraId="13ECC5B7" w14:textId="77777777" w:rsidR="00000000" w:rsidRDefault="00000000">
      <w:pPr>
        <w:pStyle w:val="Heading2"/>
        <w:rPr>
          <w:rFonts w:cs="Arial"/>
        </w:rPr>
      </w:pPr>
      <w:r>
        <w:rPr>
          <w:rFonts w:cs="Arial"/>
        </w:rPr>
        <w:t>Introduction</w:t>
      </w:r>
    </w:p>
    <w:p w14:paraId="7D69AD8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A323EA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99574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9B5AF1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A09A6B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F4EAE2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87AD91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BE63A0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A4D7BC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C1891" w14:paraId="1BAA7221" w14:textId="77777777">
        <w:trPr>
          <w:cantSplit/>
          <w:tblHeader/>
        </w:trPr>
        <w:tc>
          <w:tcPr>
            <w:tcW w:w="1260" w:type="dxa"/>
            <w:tcBorders>
              <w:bottom w:val="single" w:sz="4" w:space="0" w:color="000000"/>
            </w:tcBorders>
            <w:vAlign w:val="center"/>
          </w:tcPr>
          <w:p w14:paraId="1993768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9364FE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3A4930F" w14:textId="77777777" w:rsidR="00000000" w:rsidRDefault="00000000">
            <w:pPr>
              <w:spacing w:before="60" w:after="60"/>
              <w:rPr>
                <w:rFonts w:eastAsia="Calibri"/>
                <w:b/>
                <w:szCs w:val="24"/>
              </w:rPr>
            </w:pPr>
            <w:r>
              <w:rPr>
                <w:rFonts w:eastAsia="Calibri"/>
                <w:b/>
                <w:szCs w:val="24"/>
              </w:rPr>
              <w:t>Definition</w:t>
            </w:r>
          </w:p>
        </w:tc>
      </w:tr>
      <w:tr w:rsidR="00BC1891" w14:paraId="09A5D060" w14:textId="77777777">
        <w:trPr>
          <w:cantSplit/>
          <w:trHeight w:val="964"/>
        </w:trPr>
        <w:tc>
          <w:tcPr>
            <w:tcW w:w="1260" w:type="dxa"/>
            <w:tcBorders>
              <w:bottom w:val="single" w:sz="4" w:space="0" w:color="000000"/>
            </w:tcBorders>
            <w:shd w:val="clear" w:color="0066FF" w:fill="0000FF"/>
            <w:vAlign w:val="center"/>
          </w:tcPr>
          <w:p w14:paraId="74E920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A3BBA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6256B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C1891" w14:paraId="43A83B2D" w14:textId="77777777">
        <w:trPr>
          <w:cantSplit/>
          <w:trHeight w:val="964"/>
        </w:trPr>
        <w:tc>
          <w:tcPr>
            <w:tcW w:w="1260" w:type="dxa"/>
            <w:shd w:val="clear" w:color="33CC33" w:fill="00FF00"/>
            <w:vAlign w:val="center"/>
          </w:tcPr>
          <w:p w14:paraId="3937AC32" w14:textId="77777777" w:rsidR="00000000" w:rsidRDefault="00000000">
            <w:pPr>
              <w:spacing w:before="60" w:after="60"/>
              <w:rPr>
                <w:rFonts w:eastAsia="Calibri"/>
                <w:szCs w:val="24"/>
              </w:rPr>
            </w:pPr>
          </w:p>
        </w:tc>
        <w:tc>
          <w:tcPr>
            <w:tcW w:w="7095" w:type="dxa"/>
            <w:shd w:val="clear" w:color="auto" w:fill="auto"/>
            <w:vAlign w:val="center"/>
          </w:tcPr>
          <w:p w14:paraId="27D5D24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0F0DF0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C1891" w14:paraId="2D9D48CB" w14:textId="77777777">
        <w:trPr>
          <w:cantSplit/>
          <w:trHeight w:val="964"/>
        </w:trPr>
        <w:tc>
          <w:tcPr>
            <w:tcW w:w="1260" w:type="dxa"/>
            <w:tcBorders>
              <w:bottom w:val="single" w:sz="4" w:space="0" w:color="000000"/>
            </w:tcBorders>
            <w:shd w:val="clear" w:color="auto" w:fill="FFFF00"/>
            <w:vAlign w:val="center"/>
          </w:tcPr>
          <w:p w14:paraId="27F2F2F5" w14:textId="77777777" w:rsidR="00000000" w:rsidRDefault="00000000">
            <w:pPr>
              <w:spacing w:before="60" w:after="60"/>
              <w:rPr>
                <w:rFonts w:eastAsia="Calibri"/>
                <w:szCs w:val="24"/>
              </w:rPr>
            </w:pPr>
          </w:p>
        </w:tc>
        <w:tc>
          <w:tcPr>
            <w:tcW w:w="7095" w:type="dxa"/>
            <w:shd w:val="clear" w:color="auto" w:fill="auto"/>
            <w:vAlign w:val="center"/>
          </w:tcPr>
          <w:p w14:paraId="2E5F710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E7FF31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C1891" w14:paraId="3D8F331B" w14:textId="77777777">
        <w:trPr>
          <w:cantSplit/>
          <w:trHeight w:val="964"/>
        </w:trPr>
        <w:tc>
          <w:tcPr>
            <w:tcW w:w="1260" w:type="dxa"/>
            <w:tcBorders>
              <w:bottom w:val="single" w:sz="4" w:space="0" w:color="000000"/>
            </w:tcBorders>
            <w:shd w:val="clear" w:color="auto" w:fill="FFC800"/>
            <w:vAlign w:val="center"/>
          </w:tcPr>
          <w:p w14:paraId="05FE574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664BB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473123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C1891" w14:paraId="4C6129A0" w14:textId="77777777">
        <w:trPr>
          <w:cantSplit/>
          <w:trHeight w:val="964"/>
        </w:trPr>
        <w:tc>
          <w:tcPr>
            <w:tcW w:w="1260" w:type="dxa"/>
            <w:shd w:val="clear" w:color="auto" w:fill="FF0000"/>
            <w:vAlign w:val="center"/>
          </w:tcPr>
          <w:p w14:paraId="39A86C33" w14:textId="77777777" w:rsidR="00000000" w:rsidRDefault="00000000">
            <w:pPr>
              <w:spacing w:before="60" w:after="60"/>
              <w:rPr>
                <w:rFonts w:eastAsia="Calibri"/>
                <w:szCs w:val="24"/>
              </w:rPr>
            </w:pPr>
          </w:p>
        </w:tc>
        <w:tc>
          <w:tcPr>
            <w:tcW w:w="7095" w:type="dxa"/>
            <w:shd w:val="clear" w:color="auto" w:fill="auto"/>
            <w:vAlign w:val="center"/>
          </w:tcPr>
          <w:p w14:paraId="0D4BAEC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B7BEDD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86C002" w14:textId="77777777" w:rsidR="00000000" w:rsidRDefault="00000000">
      <w:pPr>
        <w:pStyle w:val="Heading2"/>
        <w:spacing w:after="0"/>
        <w:rPr>
          <w:rFonts w:cs="Arial"/>
        </w:rPr>
      </w:pPr>
      <w:r>
        <w:rPr>
          <w:rFonts w:cs="Arial"/>
        </w:rPr>
        <w:t>General overview of the audit</w:t>
      </w:r>
    </w:p>
    <w:p w14:paraId="3A80E13F" w14:textId="77777777" w:rsidR="00000000" w:rsidRDefault="00000000">
      <w:pPr>
        <w:spacing w:before="240" w:line="276" w:lineRule="auto"/>
        <w:rPr>
          <w:rFonts w:eastAsia="Calibri"/>
        </w:rPr>
      </w:pPr>
      <w:bookmarkStart w:id="13" w:name="GeneralOverview"/>
      <w:r w:rsidRPr="00A4268A">
        <w:rPr>
          <w:rFonts w:eastAsia="Calibri"/>
        </w:rPr>
        <w:t xml:space="preserve">Heritage Lifecare Limited - Ellerslie Gardens Lifecare (Ellerslie Gardens) is certified to provide rest home and hospital care services for up to 97 residents. The care home manager (CHM) and clinical services manager (CSM) have been employed since the last audit. </w:t>
      </w:r>
    </w:p>
    <w:p w14:paraId="7D4E0387" w14:textId="77777777" w:rsidR="00BC1891" w:rsidRPr="00A4268A" w:rsidRDefault="00000000">
      <w:pPr>
        <w:spacing w:before="240" w:line="276" w:lineRule="auto"/>
        <w:rPr>
          <w:rFonts w:eastAsia="Calibri"/>
        </w:rPr>
      </w:pPr>
      <w:r w:rsidRPr="00A4268A">
        <w:rPr>
          <w:rFonts w:eastAsia="Calibri"/>
        </w:rPr>
        <w:t>The type of services being provide onsite has increased, with residential disability (physical) now included in the scope of services being provided. This audit included verification that the service is able to appropriately provide this level of care.</w:t>
      </w:r>
    </w:p>
    <w:p w14:paraId="34EA437C" w14:textId="77777777" w:rsidR="00BC1891"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whānau/family members, the care home manager, the regional business manager, staff, and a general practitioner.</w:t>
      </w:r>
    </w:p>
    <w:p w14:paraId="1A2BC630" w14:textId="77777777" w:rsidR="00BC1891" w:rsidRPr="00A4268A" w:rsidRDefault="00000000">
      <w:pPr>
        <w:spacing w:before="240" w:line="276" w:lineRule="auto"/>
        <w:rPr>
          <w:rFonts w:eastAsia="Calibri"/>
        </w:rPr>
      </w:pPr>
      <w:r w:rsidRPr="00A4268A">
        <w:rPr>
          <w:rFonts w:eastAsia="Calibri"/>
        </w:rPr>
        <w:t>The corrective actions required from the previous audit have been addressed, with improvements made to staff orientation records.  As a result of this audit, improvements are required in relation to staff medication competency assessment and care planning.</w:t>
      </w:r>
    </w:p>
    <w:bookmarkEnd w:id="13"/>
    <w:p w14:paraId="1C5EE69F" w14:textId="77777777" w:rsidR="00BC1891" w:rsidRPr="00A4268A" w:rsidRDefault="00BC1891">
      <w:pPr>
        <w:spacing w:before="240" w:line="276" w:lineRule="auto"/>
        <w:rPr>
          <w:rFonts w:eastAsia="Calibri"/>
        </w:rPr>
      </w:pPr>
    </w:p>
    <w:p w14:paraId="7FC22AA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7A5729B8" w14:textId="77777777" w:rsidTr="00A4268A">
        <w:trPr>
          <w:cantSplit/>
        </w:trPr>
        <w:tc>
          <w:tcPr>
            <w:tcW w:w="10206" w:type="dxa"/>
            <w:vAlign w:val="center"/>
          </w:tcPr>
          <w:p w14:paraId="56EBB1D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B128F8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217E7C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23CC0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CE86E60" w14:textId="77777777" w:rsidR="00000000" w:rsidRDefault="00000000">
      <w:pPr>
        <w:spacing w:before="240" w:line="276" w:lineRule="auto"/>
        <w:rPr>
          <w:rFonts w:eastAsia="Calibri"/>
        </w:rPr>
      </w:pPr>
      <w:bookmarkStart w:id="16" w:name="ConsumerRights"/>
      <w:r w:rsidRPr="00A4268A">
        <w:rPr>
          <w:rFonts w:eastAsia="Calibri"/>
        </w:rPr>
        <w:t xml:space="preserve">Ellerslie Gardens works collaboratively to support and encourage a Māori world view of health in service delivery. Māori are provided with equitable and effective services based on Te Tiriti o Waitangi and the principles of mana motuhake. </w:t>
      </w:r>
    </w:p>
    <w:p w14:paraId="7BDF66DC" w14:textId="77777777" w:rsidR="00BC1891"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were found to be culturally safe. </w:t>
      </w:r>
    </w:p>
    <w:p w14:paraId="447A0E37" w14:textId="77777777" w:rsidR="00BC1891"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19803D68" w14:textId="77777777" w:rsidR="00BC1891" w:rsidRPr="00A4268A" w:rsidRDefault="00000000">
      <w:pPr>
        <w:spacing w:before="240" w:line="276" w:lineRule="auto"/>
        <w:rPr>
          <w:rFonts w:eastAsia="Calibri"/>
        </w:rPr>
      </w:pPr>
      <w:r w:rsidRPr="00A4268A">
        <w:rPr>
          <w:rFonts w:eastAsia="Calibri"/>
        </w:rPr>
        <w:t xml:space="preserve">Policies and the Code provided guidance to staff to ensure informed consent is gained as required. Residents and whānau felt included when making decisions about care and treatment. </w:t>
      </w:r>
    </w:p>
    <w:p w14:paraId="67C0880F" w14:textId="77777777" w:rsidR="00BC1891"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60309A03" w14:textId="77777777" w:rsidR="00BC1891" w:rsidRPr="00A4268A" w:rsidRDefault="00BC1891">
      <w:pPr>
        <w:spacing w:before="240" w:line="276" w:lineRule="auto"/>
        <w:rPr>
          <w:rFonts w:eastAsia="Calibri"/>
        </w:rPr>
      </w:pPr>
    </w:p>
    <w:p w14:paraId="43915AE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07543DA4" w14:textId="77777777" w:rsidTr="00A4268A">
        <w:trPr>
          <w:cantSplit/>
        </w:trPr>
        <w:tc>
          <w:tcPr>
            <w:tcW w:w="10206" w:type="dxa"/>
            <w:vAlign w:val="center"/>
          </w:tcPr>
          <w:p w14:paraId="3A5831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7EF4F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58841E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5CD7B71"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included ensuring compliance with legislative and contractual requirements, supporting quality and risk management systems, and reducing barriers to improve outcomes for Māori.</w:t>
      </w:r>
    </w:p>
    <w:p w14:paraId="77058719" w14:textId="77777777" w:rsidR="00BC1891"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2A1CBD40" w14:textId="77777777" w:rsidR="00BC1891"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2B94FAC5" w14:textId="77777777" w:rsidR="00BC189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were identified and mitigated. </w:t>
      </w:r>
    </w:p>
    <w:p w14:paraId="0D652C17" w14:textId="77777777" w:rsidR="00BC1891"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7D591DA2" w14:textId="77777777" w:rsidR="00BC1891"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There was a systematic approach to identify and deliver ongoing learning. </w:t>
      </w:r>
    </w:p>
    <w:p w14:paraId="5ED2C14B" w14:textId="77777777" w:rsidR="00BC1891"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564E3462" w14:textId="77777777" w:rsidR="00BC1891" w:rsidRPr="00A4268A" w:rsidRDefault="00BC1891">
      <w:pPr>
        <w:spacing w:before="240" w:line="276" w:lineRule="auto"/>
        <w:rPr>
          <w:rFonts w:eastAsia="Calibri"/>
        </w:rPr>
      </w:pPr>
    </w:p>
    <w:p w14:paraId="113C812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508F60FF" w14:textId="77777777" w:rsidTr="00A4268A">
        <w:trPr>
          <w:cantSplit/>
        </w:trPr>
        <w:tc>
          <w:tcPr>
            <w:tcW w:w="10206" w:type="dxa"/>
            <w:vAlign w:val="center"/>
          </w:tcPr>
          <w:p w14:paraId="593357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1B8B0D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5650C2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788FF0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Ellerslie Gardens Lifecare works in partnership with the residents and their whānau to assess, plan and evaluate care. Residents were assessed before entry to the service to confirm the level of care required. All interRAI assessments were current, including all in the interRAI database. </w:t>
      </w:r>
    </w:p>
    <w:p w14:paraId="4DABF0E7" w14:textId="77777777" w:rsidR="00BC1891" w:rsidRPr="00A4268A" w:rsidRDefault="00000000" w:rsidP="00621629">
      <w:pPr>
        <w:spacing w:before="240" w:line="276" w:lineRule="auto"/>
        <w:rPr>
          <w:rFonts w:eastAsia="Calibri"/>
        </w:rPr>
      </w:pPr>
      <w:r w:rsidRPr="00A4268A">
        <w:rPr>
          <w:rFonts w:eastAsia="Calibri"/>
        </w:rPr>
        <w:t>There was a medicine management system in place. The general practitioners (GPs) and nurse practitioner were responsible for medication reviews.</w:t>
      </w:r>
    </w:p>
    <w:p w14:paraId="5845AD73" w14:textId="77777777" w:rsidR="00BC1891"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041C0553" w14:textId="77777777" w:rsidR="00BC189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204EDE2" w14:textId="77777777" w:rsidR="00BC1891" w:rsidRPr="00A4268A" w:rsidRDefault="00BC1891" w:rsidP="00621629">
      <w:pPr>
        <w:spacing w:before="240" w:line="276" w:lineRule="auto"/>
        <w:rPr>
          <w:rFonts w:eastAsia="Calibri"/>
        </w:rPr>
      </w:pPr>
    </w:p>
    <w:p w14:paraId="5226E1C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5213247A" w14:textId="77777777" w:rsidTr="00A4268A">
        <w:trPr>
          <w:cantSplit/>
        </w:trPr>
        <w:tc>
          <w:tcPr>
            <w:tcW w:w="10206" w:type="dxa"/>
            <w:vAlign w:val="center"/>
          </w:tcPr>
          <w:p w14:paraId="38B142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42988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E115E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36B4512"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plant and equipment met the needs of residents and were culturally inclusive. A current building warrant of fitness and planned maintenance programme ensured safety. Electrical equipment was tested as required. There have been no changes to the fire evacuation plan in place at the last audit.</w:t>
      </w:r>
    </w:p>
    <w:bookmarkEnd w:id="25"/>
    <w:p w14:paraId="05459AD6" w14:textId="77777777" w:rsidR="00BC1891" w:rsidRPr="00A4268A" w:rsidRDefault="00BC1891">
      <w:pPr>
        <w:spacing w:before="240" w:line="276" w:lineRule="auto"/>
        <w:rPr>
          <w:rFonts w:eastAsia="Calibri"/>
        </w:rPr>
      </w:pPr>
    </w:p>
    <w:p w14:paraId="5A51A84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59BB00FC" w14:textId="77777777" w:rsidTr="00A4268A">
        <w:trPr>
          <w:cantSplit/>
        </w:trPr>
        <w:tc>
          <w:tcPr>
            <w:tcW w:w="10206" w:type="dxa"/>
            <w:vAlign w:val="center"/>
          </w:tcPr>
          <w:p w14:paraId="09B2AA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64D6F9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BF375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621B177"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is linked with the quality improvement programme, and was reviewed and reported on annually. The unit coordinator (UC) oversees the infection prevention and control programme.</w:t>
      </w:r>
    </w:p>
    <w:p w14:paraId="05A20DFB" w14:textId="77777777" w:rsidR="00BC1891"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34FF1174" w14:textId="77777777" w:rsidR="00BC1891" w:rsidRPr="00A4268A" w:rsidRDefault="00000000">
      <w:pPr>
        <w:spacing w:before="240" w:line="276" w:lineRule="auto"/>
        <w:rPr>
          <w:rFonts w:eastAsia="Calibri"/>
        </w:rPr>
      </w:pPr>
      <w:r w:rsidRPr="00A4268A">
        <w:rPr>
          <w:rFonts w:eastAsia="Calibri"/>
        </w:rPr>
        <w:t xml:space="preserve">The ‘Surveillance of health care-associated infections’ programme is appropriate to the size and setting of the service, using standardised surveillance definitions, with an equity focus. </w:t>
      </w:r>
    </w:p>
    <w:p w14:paraId="384D5C9E" w14:textId="77777777" w:rsidR="00BC1891" w:rsidRPr="00A4268A" w:rsidRDefault="00000000">
      <w:pPr>
        <w:spacing w:before="240" w:line="276" w:lineRule="auto"/>
        <w:rPr>
          <w:rFonts w:eastAsia="Calibri"/>
        </w:rPr>
      </w:pPr>
      <w:r w:rsidRPr="00A4268A">
        <w:rPr>
          <w:rFonts w:eastAsia="Calibri"/>
        </w:rPr>
        <w:t>Infection outbreaks of COVID-19 were managed according to Ministry of Health (MoH) guidelines.</w:t>
      </w:r>
    </w:p>
    <w:bookmarkEnd w:id="28"/>
    <w:p w14:paraId="0AE6EC33" w14:textId="77777777" w:rsidR="00BC1891" w:rsidRPr="00A4268A" w:rsidRDefault="00BC1891">
      <w:pPr>
        <w:spacing w:before="240" w:line="276" w:lineRule="auto"/>
        <w:rPr>
          <w:rFonts w:eastAsia="Calibri"/>
        </w:rPr>
      </w:pPr>
    </w:p>
    <w:p w14:paraId="580008F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1891" w14:paraId="4AB55F46" w14:textId="77777777" w:rsidTr="00A4268A">
        <w:trPr>
          <w:cantSplit/>
        </w:trPr>
        <w:tc>
          <w:tcPr>
            <w:tcW w:w="10206" w:type="dxa"/>
            <w:vAlign w:val="center"/>
          </w:tcPr>
          <w:p w14:paraId="1465AF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BF930B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CF59D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B14CAAF"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57B075A3" w14:textId="77777777" w:rsidR="00BC1891"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279DD4CB" w14:textId="77777777" w:rsidR="00BC1891" w:rsidRPr="00A4268A" w:rsidRDefault="00BC1891">
      <w:pPr>
        <w:spacing w:before="240" w:line="276" w:lineRule="auto"/>
        <w:rPr>
          <w:rFonts w:eastAsia="Calibri"/>
        </w:rPr>
      </w:pPr>
    </w:p>
    <w:p w14:paraId="6CF93CC5" w14:textId="77777777" w:rsidR="00000000" w:rsidRDefault="00000000" w:rsidP="000E6E02">
      <w:pPr>
        <w:pStyle w:val="Heading2"/>
        <w:spacing w:before="0"/>
        <w:rPr>
          <w:rFonts w:cs="Arial"/>
        </w:rPr>
      </w:pPr>
      <w:r>
        <w:rPr>
          <w:rFonts w:cs="Arial"/>
        </w:rPr>
        <w:t>Summary of attainment</w:t>
      </w:r>
    </w:p>
    <w:p w14:paraId="309D474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C1891" w14:paraId="693A6A09" w14:textId="77777777">
        <w:tc>
          <w:tcPr>
            <w:tcW w:w="1384" w:type="dxa"/>
            <w:vAlign w:val="center"/>
          </w:tcPr>
          <w:p w14:paraId="1CC4566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3428BB" w14:textId="77777777" w:rsidR="00000000" w:rsidRDefault="00000000">
            <w:pPr>
              <w:keepNext/>
              <w:spacing w:before="60" w:after="60"/>
              <w:jc w:val="center"/>
              <w:rPr>
                <w:rFonts w:cs="Arial"/>
                <w:b/>
                <w:sz w:val="20"/>
                <w:szCs w:val="20"/>
              </w:rPr>
            </w:pPr>
            <w:r>
              <w:rPr>
                <w:rFonts w:cs="Arial"/>
                <w:b/>
                <w:sz w:val="20"/>
                <w:szCs w:val="20"/>
              </w:rPr>
              <w:t>Continuous Improvement</w:t>
            </w:r>
          </w:p>
          <w:p w14:paraId="730B49F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320DC14" w14:textId="77777777" w:rsidR="00000000" w:rsidRDefault="00000000">
            <w:pPr>
              <w:keepNext/>
              <w:spacing w:before="60" w:after="60"/>
              <w:jc w:val="center"/>
              <w:rPr>
                <w:rFonts w:cs="Arial"/>
                <w:b/>
                <w:sz w:val="20"/>
                <w:szCs w:val="20"/>
              </w:rPr>
            </w:pPr>
            <w:r>
              <w:rPr>
                <w:rFonts w:cs="Arial"/>
                <w:b/>
                <w:sz w:val="20"/>
                <w:szCs w:val="20"/>
              </w:rPr>
              <w:t>Fully Attained</w:t>
            </w:r>
          </w:p>
          <w:p w14:paraId="6EA794D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0641C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115DCA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EBE2A4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06920E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C1F93B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273630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FAA9AD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F033D1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A4C69E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087EA75" w14:textId="77777777" w:rsidR="00000000" w:rsidRDefault="00000000">
            <w:pPr>
              <w:keepNext/>
              <w:spacing w:before="60" w:after="60"/>
              <w:jc w:val="center"/>
              <w:rPr>
                <w:rFonts w:cs="Arial"/>
                <w:b/>
                <w:sz w:val="20"/>
                <w:szCs w:val="20"/>
              </w:rPr>
            </w:pPr>
            <w:r>
              <w:rPr>
                <w:rFonts w:cs="Arial"/>
                <w:b/>
                <w:sz w:val="20"/>
                <w:szCs w:val="20"/>
              </w:rPr>
              <w:t>(PA Critical)</w:t>
            </w:r>
          </w:p>
        </w:tc>
      </w:tr>
      <w:tr w:rsidR="00BC1891" w14:paraId="52A894AA" w14:textId="77777777">
        <w:tc>
          <w:tcPr>
            <w:tcW w:w="1384" w:type="dxa"/>
            <w:vAlign w:val="center"/>
          </w:tcPr>
          <w:p w14:paraId="0102CBD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351BDA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1E5C0B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761F9E0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FF239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804A9E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5F7B5A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0179C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C1891" w14:paraId="01A799DE" w14:textId="77777777">
        <w:tc>
          <w:tcPr>
            <w:tcW w:w="1384" w:type="dxa"/>
            <w:vAlign w:val="center"/>
          </w:tcPr>
          <w:p w14:paraId="285C166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FD41C5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4F6AC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7CBF366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978B9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6D2650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07AF3E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EC5C8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5C68AC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C1891" w14:paraId="778A00F9" w14:textId="77777777">
        <w:tc>
          <w:tcPr>
            <w:tcW w:w="1384" w:type="dxa"/>
            <w:vAlign w:val="center"/>
          </w:tcPr>
          <w:p w14:paraId="7CC7BA4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4333E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E2A832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FF53F89" w14:textId="77777777" w:rsidR="00000000" w:rsidRDefault="00000000">
            <w:pPr>
              <w:keepNext/>
              <w:spacing w:before="60" w:after="60"/>
              <w:jc w:val="center"/>
              <w:rPr>
                <w:rFonts w:cs="Arial"/>
                <w:b/>
                <w:sz w:val="20"/>
                <w:szCs w:val="20"/>
              </w:rPr>
            </w:pPr>
            <w:r>
              <w:rPr>
                <w:rFonts w:cs="Arial"/>
                <w:b/>
                <w:sz w:val="20"/>
                <w:szCs w:val="20"/>
              </w:rPr>
              <w:t>Unattained Low Risk</w:t>
            </w:r>
          </w:p>
          <w:p w14:paraId="0E934D9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14D6D3" w14:textId="77777777" w:rsidR="00000000" w:rsidRDefault="00000000">
            <w:pPr>
              <w:keepNext/>
              <w:spacing w:before="60" w:after="60"/>
              <w:jc w:val="center"/>
              <w:rPr>
                <w:rFonts w:cs="Arial"/>
                <w:b/>
                <w:sz w:val="20"/>
                <w:szCs w:val="20"/>
              </w:rPr>
            </w:pPr>
            <w:r>
              <w:rPr>
                <w:rFonts w:cs="Arial"/>
                <w:b/>
                <w:sz w:val="20"/>
                <w:szCs w:val="20"/>
              </w:rPr>
              <w:t>Unattained Moderate Risk</w:t>
            </w:r>
          </w:p>
          <w:p w14:paraId="6E823A3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5010AFB" w14:textId="77777777" w:rsidR="00000000" w:rsidRDefault="00000000">
            <w:pPr>
              <w:keepNext/>
              <w:spacing w:before="60" w:after="60"/>
              <w:jc w:val="center"/>
              <w:rPr>
                <w:rFonts w:cs="Arial"/>
                <w:b/>
                <w:sz w:val="20"/>
                <w:szCs w:val="20"/>
              </w:rPr>
            </w:pPr>
            <w:r>
              <w:rPr>
                <w:rFonts w:cs="Arial"/>
                <w:b/>
                <w:sz w:val="20"/>
                <w:szCs w:val="20"/>
              </w:rPr>
              <w:t>Unattained High Risk</w:t>
            </w:r>
          </w:p>
          <w:p w14:paraId="640F0A5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00C6633" w14:textId="77777777" w:rsidR="00000000" w:rsidRDefault="00000000">
            <w:pPr>
              <w:keepNext/>
              <w:spacing w:before="60" w:after="60"/>
              <w:jc w:val="center"/>
              <w:rPr>
                <w:rFonts w:cs="Arial"/>
                <w:b/>
                <w:sz w:val="20"/>
                <w:szCs w:val="20"/>
              </w:rPr>
            </w:pPr>
            <w:r>
              <w:rPr>
                <w:rFonts w:cs="Arial"/>
                <w:b/>
                <w:sz w:val="20"/>
                <w:szCs w:val="20"/>
              </w:rPr>
              <w:t>Unattained Critical Risk</w:t>
            </w:r>
          </w:p>
          <w:p w14:paraId="66B98E03" w14:textId="77777777" w:rsidR="00000000" w:rsidRDefault="00000000">
            <w:pPr>
              <w:keepNext/>
              <w:spacing w:before="60" w:after="60"/>
              <w:jc w:val="center"/>
              <w:rPr>
                <w:rFonts w:cs="Arial"/>
                <w:b/>
                <w:sz w:val="20"/>
                <w:szCs w:val="20"/>
              </w:rPr>
            </w:pPr>
            <w:r>
              <w:rPr>
                <w:rFonts w:cs="Arial"/>
                <w:b/>
                <w:sz w:val="20"/>
                <w:szCs w:val="20"/>
              </w:rPr>
              <w:t>(UA Critical)</w:t>
            </w:r>
          </w:p>
        </w:tc>
      </w:tr>
      <w:tr w:rsidR="00BC1891" w14:paraId="263B5E01" w14:textId="77777777">
        <w:tc>
          <w:tcPr>
            <w:tcW w:w="1384" w:type="dxa"/>
            <w:vAlign w:val="center"/>
          </w:tcPr>
          <w:p w14:paraId="0454424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7F4DF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1DF1B6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72C19D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1E8F10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07366C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C1891" w14:paraId="5E1C3705" w14:textId="77777777">
        <w:tc>
          <w:tcPr>
            <w:tcW w:w="1384" w:type="dxa"/>
            <w:vAlign w:val="center"/>
          </w:tcPr>
          <w:p w14:paraId="4E92013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2446A7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5B499B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79D67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24D2D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BA675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B77ABA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013B0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F41494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A5710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1367"/>
        <w:gridCol w:w="7010"/>
      </w:tblGrid>
      <w:tr w:rsidR="00BC1891" w14:paraId="69D1D97C" w14:textId="77777777">
        <w:tc>
          <w:tcPr>
            <w:tcW w:w="0" w:type="auto"/>
          </w:tcPr>
          <w:p w14:paraId="13ECF40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5A81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14537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C1891" w14:paraId="1BE13F1B" w14:textId="77777777">
        <w:tc>
          <w:tcPr>
            <w:tcW w:w="0" w:type="auto"/>
          </w:tcPr>
          <w:p w14:paraId="329156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CA38D9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97B5E6C" w14:textId="77777777" w:rsidR="00000000" w:rsidRPr="00BE00C7" w:rsidRDefault="00000000" w:rsidP="00BE00C7">
            <w:pPr>
              <w:pStyle w:val="OutcomeDescription"/>
              <w:spacing w:before="120" w:after="120"/>
              <w:rPr>
                <w:rFonts w:cs="Arial"/>
                <w:lang w:eastAsia="en-NZ"/>
              </w:rPr>
            </w:pPr>
          </w:p>
        </w:tc>
        <w:tc>
          <w:tcPr>
            <w:tcW w:w="0" w:type="auto"/>
          </w:tcPr>
          <w:p w14:paraId="0CE258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6A560E" w14:textId="77777777" w:rsidR="00000000" w:rsidRPr="00BE00C7" w:rsidRDefault="00000000" w:rsidP="00BE00C7">
            <w:pPr>
              <w:pStyle w:val="OutcomeDescription"/>
              <w:spacing w:before="120" w:after="120"/>
              <w:rPr>
                <w:rFonts w:cs="Arial"/>
                <w:lang w:eastAsia="en-NZ"/>
              </w:rPr>
            </w:pPr>
            <w:r w:rsidRPr="00BE00C7">
              <w:rPr>
                <w:rFonts w:cs="Arial"/>
                <w:lang w:eastAsia="en-NZ"/>
              </w:rPr>
              <w:t>Ellerslie Gardens has developed policies, procedures and processes to embed and enact Te Tiriti o Waitangi in all aspects of its work. Mana motuhake was respected. Connections have been established with iwi and Māori organisations to support service integration, planning, equity approaches, and support for Māori. There were Māori residents and staff at the time of audit. Staff detailed the processes in place to ensure services are provided in order to meet individual residents’ identified cultural needs.</w:t>
            </w:r>
          </w:p>
          <w:p w14:paraId="24744755" w14:textId="77777777" w:rsidR="00000000" w:rsidRPr="00BE00C7" w:rsidRDefault="00000000" w:rsidP="00BE00C7">
            <w:pPr>
              <w:pStyle w:val="OutcomeDescription"/>
              <w:spacing w:before="120" w:after="120"/>
              <w:rPr>
                <w:rFonts w:cs="Arial"/>
                <w:lang w:eastAsia="en-NZ"/>
              </w:rPr>
            </w:pPr>
          </w:p>
        </w:tc>
      </w:tr>
      <w:tr w:rsidR="00BC1891" w14:paraId="0E4AE707" w14:textId="77777777">
        <w:tc>
          <w:tcPr>
            <w:tcW w:w="0" w:type="auto"/>
          </w:tcPr>
          <w:p w14:paraId="2B3E9D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2404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DB2684" w14:textId="77777777" w:rsidR="00000000" w:rsidRPr="00BE00C7" w:rsidRDefault="00000000" w:rsidP="00BE00C7">
            <w:pPr>
              <w:pStyle w:val="OutcomeDescription"/>
              <w:spacing w:before="120" w:after="120"/>
              <w:rPr>
                <w:rFonts w:cs="Arial"/>
                <w:lang w:eastAsia="en-NZ"/>
              </w:rPr>
            </w:pPr>
          </w:p>
        </w:tc>
        <w:tc>
          <w:tcPr>
            <w:tcW w:w="0" w:type="auto"/>
          </w:tcPr>
          <w:p w14:paraId="6E6171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49CD93" w14:textId="77777777" w:rsidR="00000000" w:rsidRPr="00BE00C7" w:rsidRDefault="00000000" w:rsidP="00BE00C7">
            <w:pPr>
              <w:pStyle w:val="OutcomeDescription"/>
              <w:spacing w:before="120" w:after="120"/>
              <w:rPr>
                <w:rFonts w:cs="Arial"/>
                <w:lang w:eastAsia="en-NZ"/>
              </w:rPr>
            </w:pPr>
            <w:r w:rsidRPr="00BE00C7">
              <w:rPr>
                <w:rFonts w:cs="Arial"/>
                <w:lang w:eastAsia="en-NZ"/>
              </w:rPr>
              <w:t>Ellerslie Gardens provided services that are underpinned by Pacific worldviews and the Pacific people’s health plan. Pacific residents interviewed felt their worldview, and cultural and spiritual beliefs, were embraced.</w:t>
            </w:r>
          </w:p>
          <w:p w14:paraId="49604BDB" w14:textId="77777777" w:rsidR="00000000" w:rsidRPr="00BE00C7" w:rsidRDefault="00000000" w:rsidP="00BE00C7">
            <w:pPr>
              <w:pStyle w:val="OutcomeDescription"/>
              <w:spacing w:before="120" w:after="120"/>
              <w:rPr>
                <w:rFonts w:cs="Arial"/>
                <w:lang w:eastAsia="en-NZ"/>
              </w:rPr>
            </w:pPr>
          </w:p>
        </w:tc>
      </w:tr>
      <w:tr w:rsidR="00BC1891" w14:paraId="300FD9AC" w14:textId="77777777">
        <w:tc>
          <w:tcPr>
            <w:tcW w:w="0" w:type="auto"/>
          </w:tcPr>
          <w:p w14:paraId="6A8DC2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B6D47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6B6679" w14:textId="77777777" w:rsidR="00000000" w:rsidRPr="00BE00C7" w:rsidRDefault="00000000" w:rsidP="00BE00C7">
            <w:pPr>
              <w:pStyle w:val="OutcomeDescription"/>
              <w:spacing w:before="120" w:after="120"/>
              <w:rPr>
                <w:rFonts w:cs="Arial"/>
                <w:lang w:eastAsia="en-NZ"/>
              </w:rPr>
            </w:pPr>
          </w:p>
        </w:tc>
        <w:tc>
          <w:tcPr>
            <w:tcW w:w="0" w:type="auto"/>
          </w:tcPr>
          <w:p w14:paraId="5546DA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341AA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5BEF054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7BA97C3B" w14:textId="77777777" w:rsidR="00000000" w:rsidRPr="00BE00C7" w:rsidRDefault="00000000" w:rsidP="00BE00C7">
            <w:pPr>
              <w:pStyle w:val="OutcomeDescription"/>
              <w:spacing w:before="120" w:after="120"/>
              <w:rPr>
                <w:rFonts w:cs="Arial"/>
                <w:lang w:eastAsia="en-NZ"/>
              </w:rPr>
            </w:pPr>
          </w:p>
        </w:tc>
      </w:tr>
      <w:tr w:rsidR="00BC1891" w14:paraId="6F6DF27B" w14:textId="77777777">
        <w:tc>
          <w:tcPr>
            <w:tcW w:w="0" w:type="auto"/>
          </w:tcPr>
          <w:p w14:paraId="6B1E67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86B5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9942EC0" w14:textId="77777777" w:rsidR="00000000" w:rsidRPr="00BE00C7" w:rsidRDefault="00000000" w:rsidP="00BE00C7">
            <w:pPr>
              <w:pStyle w:val="OutcomeDescription"/>
              <w:spacing w:before="120" w:after="120"/>
              <w:rPr>
                <w:rFonts w:cs="Arial"/>
                <w:lang w:eastAsia="en-NZ"/>
              </w:rPr>
            </w:pPr>
          </w:p>
        </w:tc>
        <w:tc>
          <w:tcPr>
            <w:tcW w:w="0" w:type="auto"/>
          </w:tcPr>
          <w:p w14:paraId="64D237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B52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included education related to professional boundaries, expected behaviours, and the code of conduct. A code of conduct statement is included in the staff employment agreement with additional information detailed in ‘The Heritage Way’. This document is provided to staff on employment to review and sign. Education on abuse and neglect was provided to staff annually. Residents reported that their property and finances were respected and that professional boundaries were maintained. </w:t>
            </w:r>
          </w:p>
          <w:p w14:paraId="13A104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reported that staff were guided by the code of conduct to ensure the environment was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23437F0E" w14:textId="77777777" w:rsidR="00000000" w:rsidRPr="00BE00C7" w:rsidRDefault="00000000" w:rsidP="00BE00C7">
            <w:pPr>
              <w:pStyle w:val="OutcomeDescription"/>
              <w:spacing w:before="120" w:after="120"/>
              <w:rPr>
                <w:rFonts w:cs="Arial"/>
                <w:lang w:eastAsia="en-NZ"/>
              </w:rPr>
            </w:pPr>
          </w:p>
        </w:tc>
      </w:tr>
      <w:tr w:rsidR="00BC1891" w14:paraId="0B28840B" w14:textId="77777777">
        <w:tc>
          <w:tcPr>
            <w:tcW w:w="0" w:type="auto"/>
          </w:tcPr>
          <w:p w14:paraId="67FC53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62D16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CE8132" w14:textId="77777777" w:rsidR="00000000" w:rsidRPr="00BE00C7" w:rsidRDefault="00000000" w:rsidP="00BE00C7">
            <w:pPr>
              <w:pStyle w:val="OutcomeDescription"/>
              <w:spacing w:before="120" w:after="120"/>
              <w:rPr>
                <w:rFonts w:cs="Arial"/>
                <w:lang w:eastAsia="en-NZ"/>
              </w:rPr>
            </w:pPr>
          </w:p>
        </w:tc>
        <w:tc>
          <w:tcPr>
            <w:tcW w:w="0" w:type="auto"/>
          </w:tcPr>
          <w:p w14:paraId="7F3F0C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D0FE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reviewed evidenced that residents and/or their legal representatives were provided with the information necessary to make informed decisions in line with the Code. Residents interviewed, and where appropriate, their whānau, felt empowered to actively participate in decision-making. Signed admission agreements were evidenced in the sampled residents’ records. Resuscitation and care plans were signed by residents who were competent </w:t>
            </w:r>
            <w:r w:rsidRPr="00BE00C7">
              <w:rPr>
                <w:rFonts w:cs="Arial"/>
                <w:lang w:eastAsia="en-NZ"/>
              </w:rPr>
              <w:lastRenderedPageBreak/>
              <w:t xml:space="preserve">and able to consent, and medical decisions were made by the GPs for residents who were unable to provide consent. </w:t>
            </w:r>
          </w:p>
          <w:p w14:paraId="5CCE8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and care staff interviewed understood the principles and practice of informed consent, supported by policies in accordance with the Code.</w:t>
            </w:r>
          </w:p>
          <w:p w14:paraId="7AB19EDD" w14:textId="77777777" w:rsidR="00000000" w:rsidRPr="00BE00C7" w:rsidRDefault="00000000" w:rsidP="00BE00C7">
            <w:pPr>
              <w:pStyle w:val="OutcomeDescription"/>
              <w:spacing w:before="120" w:after="120"/>
              <w:rPr>
                <w:rFonts w:cs="Arial"/>
                <w:lang w:eastAsia="en-NZ"/>
              </w:rPr>
            </w:pPr>
          </w:p>
        </w:tc>
      </w:tr>
      <w:tr w:rsidR="00BC1891" w14:paraId="5832A8DC" w14:textId="77777777">
        <w:tc>
          <w:tcPr>
            <w:tcW w:w="0" w:type="auto"/>
          </w:tcPr>
          <w:p w14:paraId="2C5E41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7144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FD02B8" w14:textId="77777777" w:rsidR="00000000" w:rsidRPr="00BE00C7" w:rsidRDefault="00000000" w:rsidP="00BE00C7">
            <w:pPr>
              <w:pStyle w:val="OutcomeDescription"/>
              <w:spacing w:before="120" w:after="120"/>
              <w:rPr>
                <w:rFonts w:cs="Arial"/>
                <w:lang w:eastAsia="en-NZ"/>
              </w:rPr>
            </w:pPr>
          </w:p>
        </w:tc>
        <w:tc>
          <w:tcPr>
            <w:tcW w:w="0" w:type="auto"/>
          </w:tcPr>
          <w:p w14:paraId="6B5E07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5BAE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05484A83"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 care home manager (CHM) is responsible for complaints management, with the support of the regional business manager (RBM) and Heritage Lifecare Ltd (HLL) executive team for significant complaints.  In the event of a complaint from a Māori resident or whānau member, the CHM advised they would ask how the resident/ whānau wanted the complaint investigation and follow-up process to occur and would seek the assistance of a te reo Māori interpreter if this is required, or an external Māori health service if applicable. The complaints form was available in English and te reo Māori, along with complaints/feedback ‘drop box’.</w:t>
            </w:r>
          </w:p>
          <w:p w14:paraId="415F3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7BED4310" w14:textId="77777777" w:rsidR="00000000" w:rsidRPr="00BE00C7" w:rsidRDefault="00000000" w:rsidP="00BE00C7">
            <w:pPr>
              <w:pStyle w:val="OutcomeDescription"/>
              <w:spacing w:before="120" w:after="120"/>
              <w:rPr>
                <w:rFonts w:cs="Arial"/>
                <w:lang w:eastAsia="en-NZ"/>
              </w:rPr>
            </w:pPr>
          </w:p>
        </w:tc>
      </w:tr>
      <w:tr w:rsidR="00BC1891" w14:paraId="5727F9C8" w14:textId="77777777">
        <w:tc>
          <w:tcPr>
            <w:tcW w:w="0" w:type="auto"/>
          </w:tcPr>
          <w:p w14:paraId="2A84D7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53B6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27E99EB" w14:textId="77777777" w:rsidR="00000000" w:rsidRPr="00BE00C7" w:rsidRDefault="00000000" w:rsidP="00BE00C7">
            <w:pPr>
              <w:pStyle w:val="OutcomeDescription"/>
              <w:spacing w:before="120" w:after="120"/>
              <w:rPr>
                <w:rFonts w:cs="Arial"/>
                <w:lang w:eastAsia="en-NZ"/>
              </w:rPr>
            </w:pPr>
          </w:p>
        </w:tc>
        <w:tc>
          <w:tcPr>
            <w:tcW w:w="0" w:type="auto"/>
          </w:tcPr>
          <w:p w14:paraId="1DE38D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A942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of directors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216D59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Ltd has a strategic plan in place that outlines the organisation’s structure, purpose, values, scope, direction, performance and goals. The CHM has developed a localised strategic plan commencing April </w:t>
            </w:r>
            <w:r w:rsidRPr="00BE00C7">
              <w:rPr>
                <w:rFonts w:cs="Arial"/>
                <w:lang w:eastAsia="en-NZ"/>
              </w:rPr>
              <w:lastRenderedPageBreak/>
              <w:t>2025 for Ellerslie Gardens in line with the national framework. There are processes in place for monitoring, reviewing and reporting on progress towards achieving goals and other relevant issues through regular review and reporting and planned meetings. A focus on identifying barriers to access, improving outcomes, and achieving equity for Māori was evident in plans and monitoring documentation reviewed, and through interview with the CHM and RBM.  A commitment to the quality and risk management system was evident. The RBM detailed processes in place to ensure relevant information was being identified and communicated in a timely manner to members of the HLL executive. Within HLL, there are four regional business managers and four regional health advisors who work in teams. Each team has an allocated ‘business partner’ from the people and culture team.  The ‘trios’ work with allocated care homes across the Heritage services to provide advice and support to the management and staff teams. A new chief operating officer (COO) has been recruited and will commence on 17 June 2025. In the interim, each RBM reports to a different designated member of the executive team, with the chief executive officer (CEO) reporting to the board of directors.</w:t>
            </w:r>
          </w:p>
          <w:p w14:paraId="7B1EB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The clinical advisory group (CAG) meets monthly. The membership comprises the HLL national head of quality and compliance and the four regional health care advisers, and two members of the national learning and development team. Minutes sighted reflected a range of topics discussed including complaints, organisation-wide reportable events/incidents analysis including numbers, themes and trends, ‘red flags’, key performance indicators and education requirements. </w:t>
            </w:r>
          </w:p>
          <w:p w14:paraId="6454E62B"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 care home manager and new clinical services manager have been recruited since the last audit, starting at Ellerslie Gardens in February 2024 and April 2024 respectively. Both are new to HLL but have worked in the age-related residential care sector for a number of years.  The RBM was in a similar role at HLL at the last audit.</w:t>
            </w:r>
          </w:p>
          <w:p w14:paraId="280EEF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Age-Related Residential Care (ARRC) contracts with Health New Zealand – Te Whatu Ora for hospital-level and rest home-level of care as well as long-term care – chronic health conditions (LTC-CHC). There is also a contract with the Accident Compensation Corporation (ACC), and a contract with Whaikaha Ministry for Disabled People for residential care – non-aged.  On the first day of audit, there were 87 residents receiving care. </w:t>
            </w:r>
            <w:r w:rsidRPr="00BE00C7">
              <w:rPr>
                <w:rFonts w:cs="Arial"/>
                <w:lang w:eastAsia="en-NZ"/>
              </w:rPr>
              <w:lastRenderedPageBreak/>
              <w:t xml:space="preserve">This included 29 residents receiving ARRC services at rest home-level care and 47 at hospital-level care.  Five residents were receiving care under the LTC-CHC contract, with four at hospital-level and one at rest home-level of care. One other hospital-level care resident was receiving long-term care funded by the ACC.  There were five other residents receiving services who are funded under the residential non-aged contract, but they have been assessed as needing rest home (one resident) or hospital-level care (four residents). Only one resident receiving services under this contract was under 65 years of age. There were no residents receiving respite care. .  </w:t>
            </w:r>
          </w:p>
          <w:p w14:paraId="6000AF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there are five residents funded  under the residential non-aged contract, the service is adding residential disability (physical) services to the scope of services being provided onsite. This unannounced surveillance audit included verification via observation, staff interview and a resident file reviewed that Ellerslie Gardens Lifecare has appropriate systems and processes in place to assess, plan and provide care for residents assessed as requiring residential disability (physical) level of care.  The environment is suitable for residents requiring this level of care. </w:t>
            </w:r>
          </w:p>
          <w:p w14:paraId="156430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87 rooms, of which 10 rooms are suitable for twin occupancy. These are only used for ‘couples’ or as a large single-occupancy room.</w:t>
            </w:r>
          </w:p>
          <w:p w14:paraId="3FA9261D" w14:textId="77777777" w:rsidR="00000000" w:rsidRPr="00BE00C7" w:rsidRDefault="00000000" w:rsidP="00BE00C7">
            <w:pPr>
              <w:pStyle w:val="OutcomeDescription"/>
              <w:spacing w:before="120" w:after="120"/>
              <w:rPr>
                <w:rFonts w:cs="Arial"/>
                <w:lang w:eastAsia="en-NZ"/>
              </w:rPr>
            </w:pPr>
          </w:p>
        </w:tc>
      </w:tr>
      <w:tr w:rsidR="00BC1891" w14:paraId="61A93589" w14:textId="77777777">
        <w:tc>
          <w:tcPr>
            <w:tcW w:w="0" w:type="auto"/>
          </w:tcPr>
          <w:p w14:paraId="33A63F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EF5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724ABA1" w14:textId="77777777" w:rsidR="00000000" w:rsidRPr="00BE00C7" w:rsidRDefault="00000000" w:rsidP="00BE00C7">
            <w:pPr>
              <w:pStyle w:val="OutcomeDescription"/>
              <w:spacing w:before="120" w:after="120"/>
              <w:rPr>
                <w:rFonts w:cs="Arial"/>
                <w:lang w:eastAsia="en-NZ"/>
              </w:rPr>
            </w:pPr>
          </w:p>
        </w:tc>
        <w:tc>
          <w:tcPr>
            <w:tcW w:w="0" w:type="auto"/>
          </w:tcPr>
          <w:p w14:paraId="54D934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C3CE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resident satisfaction survey, monitoring of outcomes, policies and procedures, and clinical incidents including infections. The service is restraint-free. A resident/whānau satisfaction survey was undertaken in February 2025. A final summary report has not been issued. The CHM advised being provided with a draft copy of some aspects of the report, and is awaiting the final version that includes the narrative comments from respondents, and will then develop an action plan to address any identified issues. A resident meal survey has also been undertaken. Overall, the feedback noted improvement with meal services, with minor issues noted by some respondents and these have been actioned by the CHM.</w:t>
            </w:r>
          </w:p>
          <w:p w14:paraId="11C9E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internal audit programme. The CHM monitors that the required audits are being completed. The sampled audit reports </w:t>
            </w:r>
            <w:r w:rsidRPr="00BE00C7">
              <w:rPr>
                <w:rFonts w:cs="Arial"/>
                <w:lang w:eastAsia="en-NZ"/>
              </w:rPr>
              <w:lastRenderedPageBreak/>
              <w:t xml:space="preserve">demonstrated a high level of compliance with HLL requirements. </w:t>
            </w:r>
          </w:p>
          <w:p w14:paraId="0938CDF1"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 The clinical services manager (CSM) undertakes monthly analysis of all reported incidents/adverse events, including themes and trends, and reports on these at the monthly staff/quality meeting.</w:t>
            </w:r>
          </w:p>
          <w:p w14:paraId="63415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those sighted were current. </w:t>
            </w:r>
          </w:p>
          <w:p w14:paraId="5C1211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RBM described the processes for the identification, documentation, monitoring, review and reporting of risks, including health and safety risks, and development of mitigation strategies. The Ellerslie Gardens risk register had been reviewed in 2025. The hazard register was last reviewed on 11 February 2025.</w:t>
            </w:r>
          </w:p>
          <w:p w14:paraId="3C263C9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Open disclosure had occurred for applicable sampled events.</w:t>
            </w:r>
          </w:p>
          <w:p w14:paraId="21EECD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RBM understood and have complied with essential notification reporting requirements, with one exception. Section 31 notifications have been made in relation to residents absconding, episodes of challenging behaviour, resident injuries following a fall, flood damage to the premises, hot water outage, and the change in care home manager. Notifications had been made in relation to the changes in clinical services manager, except for the current clinical services manager. It was identified that, while a notification was made when the previous CSM was appointed as the care home manager, the notification about the change in CSM was not submitted at the same time. This change was notified to HealthCERT during audit. This not raised as an area for improvement as it did not reflect a systemic omission.  The management team advised there have been no events that required reporting to the Health Quality &amp; Safety Commission.</w:t>
            </w:r>
          </w:p>
          <w:p w14:paraId="614CFD95" w14:textId="77777777" w:rsidR="00000000" w:rsidRPr="00BE00C7" w:rsidRDefault="00000000" w:rsidP="00BE00C7">
            <w:pPr>
              <w:pStyle w:val="OutcomeDescription"/>
              <w:spacing w:before="120" w:after="120"/>
              <w:rPr>
                <w:rFonts w:cs="Arial"/>
                <w:lang w:eastAsia="en-NZ"/>
              </w:rPr>
            </w:pPr>
          </w:p>
        </w:tc>
      </w:tr>
      <w:tr w:rsidR="00BC1891" w14:paraId="542D4943" w14:textId="77777777">
        <w:tc>
          <w:tcPr>
            <w:tcW w:w="0" w:type="auto"/>
          </w:tcPr>
          <w:p w14:paraId="3377C5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4CD7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lastRenderedPageBreak/>
              <w:t>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74412D" w14:textId="77777777" w:rsidR="00000000" w:rsidRPr="00BE00C7" w:rsidRDefault="00000000" w:rsidP="00BE00C7">
            <w:pPr>
              <w:pStyle w:val="OutcomeDescription"/>
              <w:spacing w:before="120" w:after="120"/>
              <w:rPr>
                <w:rFonts w:cs="Arial"/>
                <w:lang w:eastAsia="en-NZ"/>
              </w:rPr>
            </w:pPr>
          </w:p>
        </w:tc>
        <w:tc>
          <w:tcPr>
            <w:tcW w:w="0" w:type="auto"/>
          </w:tcPr>
          <w:p w14:paraId="0EF515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4EFA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w:t>
            </w:r>
            <w:r w:rsidRPr="00BE00C7">
              <w:rPr>
                <w:rFonts w:cs="Arial"/>
                <w:lang w:eastAsia="en-NZ"/>
              </w:rPr>
              <w:lastRenderedPageBreak/>
              <w:t>day, seven days a week (24/7). The facility adjusted staffing levels to meet the changing needs of residents. Coloured highlights on the roster identified which wings staff were rostered to work in. A multidisciplinary team (MDT) approach ensured all aspects of service delivery were met. Those providing care reported there were adequate staff to complete the work allocated to them. Residents and whānau interviewed supported this. At least one staff member on duty has a current first aid certificate and there was 24/7 RN coverage in the hospital. There was a minimum of two registered nurse or a registered nurse and an enrolled nurse on duty, and four caregivers. The CHM advised the service had no permanent staff vacancies but had ongoing recruitment in place for casual caregiver roles.</w:t>
            </w:r>
          </w:p>
          <w:p w14:paraId="4FEA05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included a job description defining the skills, qualifications and attributes for each role, ensured services were delivered to meet the needs of residents. There were two general practitioners and one nurse practitioner who work in the service. A podiatrist visits twice a month, and physiotherapists visit weekly. An independent resident advocate chairs the resident meeting every third month and visits to support residents as required.</w:t>
            </w:r>
          </w:p>
          <w:p w14:paraId="5FE13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 biennial basis, including mandatory training requirements.  The CHM noted this was a new change, as previously the education was covered in an annual education programme. Multiple sessions were provided for each topic to facilitate staff attendance. Related competencies were assessed and supported equitable service delivery. Records reviewed demonstrated completion of the required training and competency assessments with the exception of some staff medication competencies (refer to the area for improvement raised in criterion 3.4.3). Staff felt well supported with development opportunities.  </w:t>
            </w:r>
          </w:p>
          <w:p w14:paraId="5D0C93C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had either completed or commenced a New Zealand Qualification Authority education programme to meet the requirements of the provider’s agreement with Health New Zealand – Te Whatu Ora. One staff member had just completed a Level 2 (L2) qualification and one staff member had completed a Level 4 (L4) qualification. One staff member had just started L4 training. The CHM advised many of the care staff employed were internationally qualified nurses (IQNs).</w:t>
            </w:r>
          </w:p>
          <w:p w14:paraId="468E17A1" w14:textId="77777777" w:rsidR="00000000" w:rsidRPr="00BE00C7" w:rsidRDefault="00000000" w:rsidP="00BE00C7">
            <w:pPr>
              <w:pStyle w:val="OutcomeDescription"/>
              <w:spacing w:before="120" w:after="120"/>
              <w:rPr>
                <w:rFonts w:cs="Arial"/>
                <w:lang w:eastAsia="en-NZ"/>
              </w:rPr>
            </w:pPr>
          </w:p>
        </w:tc>
      </w:tr>
      <w:tr w:rsidR="00BC1891" w14:paraId="2253C8CE" w14:textId="77777777">
        <w:tc>
          <w:tcPr>
            <w:tcW w:w="0" w:type="auto"/>
          </w:tcPr>
          <w:p w14:paraId="68607E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8CEF7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6F71599" w14:textId="77777777" w:rsidR="00000000" w:rsidRPr="00BE00C7" w:rsidRDefault="00000000" w:rsidP="00BE00C7">
            <w:pPr>
              <w:pStyle w:val="OutcomeDescription"/>
              <w:spacing w:before="120" w:after="120"/>
              <w:rPr>
                <w:rFonts w:cs="Arial"/>
                <w:lang w:eastAsia="en-NZ"/>
              </w:rPr>
            </w:pPr>
          </w:p>
        </w:tc>
        <w:tc>
          <w:tcPr>
            <w:tcW w:w="0" w:type="auto"/>
          </w:tcPr>
          <w:p w14:paraId="200451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C58F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and ensuring that these remain current. </w:t>
            </w:r>
          </w:p>
          <w:p w14:paraId="162BC49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This includes completion of competencies relevant to the staff role and responsibilities. Competencies are repeated annually and were current in sampled files except for medication related competency for some designated care staff. This is included as an area for improvement in criterion 3.4.3. There are registered nurses with current syringe driver competency. This training is scheduled as part of the RN orientation programme. The shortfall from the last audit has been addressed.  Opportunities to discuss and review performance occur three months following appointment and yearly thereafter, as confirmed in records reviewed.</w:t>
            </w:r>
          </w:p>
          <w:p w14:paraId="282158AE" w14:textId="77777777" w:rsidR="00000000" w:rsidRPr="00BE00C7" w:rsidRDefault="00000000" w:rsidP="00BE00C7">
            <w:pPr>
              <w:pStyle w:val="OutcomeDescription"/>
              <w:spacing w:before="120" w:after="120"/>
              <w:rPr>
                <w:rFonts w:cs="Arial"/>
                <w:lang w:eastAsia="en-NZ"/>
              </w:rPr>
            </w:pPr>
          </w:p>
        </w:tc>
      </w:tr>
      <w:tr w:rsidR="00BC1891" w14:paraId="03F5F7D5" w14:textId="77777777">
        <w:tc>
          <w:tcPr>
            <w:tcW w:w="0" w:type="auto"/>
          </w:tcPr>
          <w:p w14:paraId="034B46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9CF0C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17C06B" w14:textId="77777777" w:rsidR="00000000" w:rsidRPr="00BE00C7" w:rsidRDefault="00000000" w:rsidP="00BE00C7">
            <w:pPr>
              <w:pStyle w:val="OutcomeDescription"/>
              <w:spacing w:before="120" w:after="120"/>
              <w:rPr>
                <w:rFonts w:cs="Arial"/>
                <w:lang w:eastAsia="en-NZ"/>
              </w:rPr>
            </w:pPr>
          </w:p>
        </w:tc>
        <w:tc>
          <w:tcPr>
            <w:tcW w:w="0" w:type="auto"/>
          </w:tcPr>
          <w:p w14:paraId="053D763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EC7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residents’ files were reviewed. The local Needs Assessment and Service Coordination (NASC) agency confirmed the levels of care required and these were sighted in all files reviewed. The service used assessment tools that include consideration of residents’ lived experiences, and cultural needs, values and beliefs. Nursing care is undertaken by appropriately trained and skilled staff. Care staff are provided with training relevant to their role. Cultural assessments were completed by the nursing team in consultation with the residents, and whānau/Enduring Power of Attorney (EPOA). </w:t>
            </w:r>
          </w:p>
          <w:p w14:paraId="08C1F8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practitioners (GPs) or nurse practitioner (NP) completed the residents’ medical admissions within the required timeframes and conducted medical reviews promptly. Completed medical records were sighted in all files sampled. The GP reported that communication was conducted in a transparent manner, medical input was sought in a timely manner, medical orders were followed, and care was resident centred. Residents’ files sampled identified service integration with other members of the health team. Multidisciplinary team (MDT) meetings were completed six-monthly.  Behaviour management plans were in place for residents with behavioural concerns.</w:t>
            </w:r>
          </w:p>
          <w:p w14:paraId="146F80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services manager, and unit coordinator reported that sufficient and appropriate information was shared between the staff at each handover. Interviewed staff stated that they were updated daily regarding each resident’s condition. Progress notes were completed on every shift and more often if there were any changes in a resident’s condition. Short-term care plans were developed for short-term problems or in the event of any significant change. The plans were reviewed weekly, or earlier if clinically indicated by the degree of risk noted during the assessment process. These were added to the long-term care plan if the condition did not resolve in three weeks. Any change in condition was reported to the CSM, UC or registered nurses; this was evidenced in the records sampled. Interviews verified residents and EPOA/whānau were included and informed of all changes.</w:t>
            </w:r>
          </w:p>
          <w:p w14:paraId="14A9A61A"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were available, suited to the levels of care provided and in accordance with the residents’ needs. The EPOA/whānau and residents interviewed confirmed their involvement in the evaluation of progress and any resulting changes. Evidence of EPOA/whānau and residents being notified following incidents was sighted on incident forms and communication with whānau/family forms in the resident files.</w:t>
            </w:r>
          </w:p>
          <w:p w14:paraId="4B56011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were assessed as requiring residential non-aged care had their needs identified and managed appropriately.</w:t>
            </w:r>
          </w:p>
          <w:p w14:paraId="3D73F046"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interRAI outcome scores, such as mood and behaviour, are identified on the long-term care plans.</w:t>
            </w:r>
          </w:p>
          <w:p w14:paraId="5C996649" w14:textId="77777777" w:rsidR="00000000" w:rsidRPr="00BE00C7" w:rsidRDefault="00000000" w:rsidP="00196BD6">
            <w:pPr>
              <w:pStyle w:val="OutcomeDescription"/>
              <w:spacing w:before="120" w:after="120"/>
              <w:rPr>
                <w:rFonts w:cs="Arial"/>
                <w:lang w:eastAsia="en-NZ"/>
              </w:rPr>
            </w:pPr>
          </w:p>
        </w:tc>
      </w:tr>
      <w:tr w:rsidR="00BC1891" w14:paraId="061F934C" w14:textId="77777777">
        <w:tc>
          <w:tcPr>
            <w:tcW w:w="0" w:type="auto"/>
          </w:tcPr>
          <w:p w14:paraId="0E315C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6C11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09EA90" w14:textId="77777777" w:rsidR="00000000" w:rsidRPr="00BE00C7" w:rsidRDefault="00000000" w:rsidP="00BE00C7">
            <w:pPr>
              <w:pStyle w:val="OutcomeDescription"/>
              <w:spacing w:before="120" w:after="120"/>
              <w:rPr>
                <w:rFonts w:cs="Arial"/>
                <w:lang w:eastAsia="en-NZ"/>
              </w:rPr>
            </w:pPr>
          </w:p>
        </w:tc>
        <w:tc>
          <w:tcPr>
            <w:tcW w:w="0" w:type="auto"/>
          </w:tcPr>
          <w:p w14:paraId="7F784CC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52696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Medications were supplied to the facility from a contracted pharmacy. The GPs or NP had completed three-monthly medication reviews. Indications for use were noted for pro re nata (PRN) medications. Allergies were indicated, and all photos uploaded on the electronic medication management system were current. Eye drops were dated on opening.</w:t>
            </w:r>
          </w:p>
          <w:p w14:paraId="74772A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returned to the pharmacy promptly. Weekly and six-monthly controlled drug stocktakes were completed as required.  Monitoring of the medicine fridge and medication room temperatures was conducted regularly and deviations </w:t>
            </w:r>
            <w:r w:rsidRPr="00BE00C7">
              <w:rPr>
                <w:rFonts w:cs="Arial"/>
                <w:lang w:eastAsia="en-NZ"/>
              </w:rPr>
              <w:lastRenderedPageBreak/>
              <w:t xml:space="preserve">from normal were reported and attended to promptly. Records were sighted. </w:t>
            </w:r>
          </w:p>
          <w:p w14:paraId="1A9CC4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Medications were stored safely and securely in the trolley, locked treatment room, and cupboards.</w:t>
            </w:r>
          </w:p>
          <w:p w14:paraId="0B274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were self-administering medication on the audit day. Appropriate processes were in place to ensure this is managed in a safe manner if required. There is a self-administration of medication policy in place, and this was sighted.</w:t>
            </w:r>
          </w:p>
          <w:p w14:paraId="7DCD71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standing orders in use.</w:t>
            </w:r>
          </w:p>
          <w:p w14:paraId="4D84E5AB"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medication competencies are current for all staff administering medicines.</w:t>
            </w:r>
          </w:p>
          <w:p w14:paraId="7E6BBC31" w14:textId="77777777" w:rsidR="00000000" w:rsidRPr="00BE00C7" w:rsidRDefault="00000000" w:rsidP="00BE00C7">
            <w:pPr>
              <w:pStyle w:val="OutcomeDescription"/>
              <w:spacing w:before="120" w:after="120"/>
              <w:rPr>
                <w:rFonts w:cs="Arial"/>
                <w:lang w:eastAsia="en-NZ"/>
              </w:rPr>
            </w:pPr>
          </w:p>
        </w:tc>
      </w:tr>
      <w:tr w:rsidR="00BC1891" w14:paraId="5AD2B6ED" w14:textId="77777777">
        <w:tc>
          <w:tcPr>
            <w:tcW w:w="0" w:type="auto"/>
          </w:tcPr>
          <w:p w14:paraId="046288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329D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455A68" w14:textId="77777777" w:rsidR="00000000" w:rsidRPr="00BE00C7" w:rsidRDefault="00000000" w:rsidP="00BE00C7">
            <w:pPr>
              <w:pStyle w:val="OutcomeDescription"/>
              <w:spacing w:before="120" w:after="120"/>
              <w:rPr>
                <w:rFonts w:cs="Arial"/>
                <w:lang w:eastAsia="en-NZ"/>
              </w:rPr>
            </w:pPr>
          </w:p>
        </w:tc>
        <w:tc>
          <w:tcPr>
            <w:tcW w:w="0" w:type="auto"/>
          </w:tcPr>
          <w:p w14:paraId="2DA9FF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B13D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All food and baking were being prepared and cooked onsite by employed staff. There was an approved food control plan, which expires on 9 November 2025. The menu review was completed on 22 April 2024. </w:t>
            </w:r>
          </w:p>
          <w:p w14:paraId="439C7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were modified as required, and the kitchen staff confirmed awareness of the dietary needs of the residents. Residents were given an option of choosing a menu they wanted. Residents have a nutrition profile developed on admission that identifies dietary requirements, likes, and dislikes. All alternatives were catered for as required. Snacks and drinks were available for residents throughout the day and night when required. </w:t>
            </w:r>
          </w:p>
          <w:p w14:paraId="64FD4EC9"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 and residents interviewed expressed satisfaction with the food service.</w:t>
            </w:r>
          </w:p>
          <w:p w14:paraId="64C453E0" w14:textId="77777777" w:rsidR="00000000" w:rsidRPr="00BE00C7" w:rsidRDefault="00000000" w:rsidP="00BE00C7">
            <w:pPr>
              <w:pStyle w:val="OutcomeDescription"/>
              <w:spacing w:before="120" w:after="120"/>
              <w:rPr>
                <w:rFonts w:cs="Arial"/>
                <w:lang w:eastAsia="en-NZ"/>
              </w:rPr>
            </w:pPr>
          </w:p>
        </w:tc>
      </w:tr>
      <w:tr w:rsidR="00BC1891" w14:paraId="5ED6213D" w14:textId="77777777">
        <w:tc>
          <w:tcPr>
            <w:tcW w:w="0" w:type="auto"/>
          </w:tcPr>
          <w:p w14:paraId="60C09A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EBA3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EB9209" w14:textId="77777777" w:rsidR="00000000" w:rsidRPr="00BE00C7" w:rsidRDefault="00000000" w:rsidP="00BE00C7">
            <w:pPr>
              <w:pStyle w:val="OutcomeDescription"/>
              <w:spacing w:before="120" w:after="120"/>
              <w:rPr>
                <w:rFonts w:cs="Arial"/>
                <w:lang w:eastAsia="en-NZ"/>
              </w:rPr>
            </w:pPr>
          </w:p>
        </w:tc>
        <w:tc>
          <w:tcPr>
            <w:tcW w:w="0" w:type="auto"/>
          </w:tcPr>
          <w:p w14:paraId="394E09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CBC61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017ACB4E" w14:textId="77777777" w:rsidR="00000000" w:rsidRPr="00BE00C7" w:rsidRDefault="00000000" w:rsidP="00BE00C7">
            <w:pPr>
              <w:pStyle w:val="OutcomeDescription"/>
              <w:spacing w:before="120" w:after="120"/>
              <w:rPr>
                <w:rFonts w:cs="Arial"/>
                <w:lang w:eastAsia="en-NZ"/>
              </w:rPr>
            </w:pPr>
          </w:p>
        </w:tc>
      </w:tr>
      <w:tr w:rsidR="00BC1891" w14:paraId="71FDDA71" w14:textId="77777777">
        <w:tc>
          <w:tcPr>
            <w:tcW w:w="0" w:type="auto"/>
          </w:tcPr>
          <w:p w14:paraId="57C610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4850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901508" w14:textId="77777777" w:rsidR="00000000" w:rsidRPr="00BE00C7" w:rsidRDefault="00000000" w:rsidP="00BE00C7">
            <w:pPr>
              <w:pStyle w:val="OutcomeDescription"/>
              <w:spacing w:before="120" w:after="120"/>
              <w:rPr>
                <w:rFonts w:cs="Arial"/>
                <w:lang w:eastAsia="en-NZ"/>
              </w:rPr>
            </w:pPr>
          </w:p>
        </w:tc>
        <w:tc>
          <w:tcPr>
            <w:tcW w:w="0" w:type="auto"/>
          </w:tcPr>
          <w:p w14:paraId="7B83AB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56D4C"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 plant and equipment were fit for purpose, inclusive of peoples’ cultures and complied with relevant legislation. This included a current building warrant of fitness (expiry 9 March 2026), and electrical and bio-medical testing. There was an ongoing maintenance and refurbishment programme in progress. Three resident bedrooms were currently being renovated. Other areas in the care home had been painted, handrails modernised and a number of bathrooms refurbished. The CHM advised the planned renovation/refurbishment work was ongoing.</w:t>
            </w:r>
          </w:p>
          <w:p w14:paraId="1F1EA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7578E3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advised there had been no changes to the building since the previous audit that required an update to the approved fire evacuation plan that was in place at the last audit.</w:t>
            </w:r>
          </w:p>
          <w:p w14:paraId="39AE624C" w14:textId="77777777" w:rsidR="00000000" w:rsidRPr="00BE00C7" w:rsidRDefault="00000000" w:rsidP="00BE00C7">
            <w:pPr>
              <w:pStyle w:val="OutcomeDescription"/>
              <w:spacing w:before="120" w:after="120"/>
              <w:rPr>
                <w:rFonts w:cs="Arial"/>
                <w:lang w:eastAsia="en-NZ"/>
              </w:rPr>
            </w:pPr>
          </w:p>
        </w:tc>
      </w:tr>
      <w:tr w:rsidR="00BC1891" w14:paraId="726262B5" w14:textId="77777777">
        <w:tc>
          <w:tcPr>
            <w:tcW w:w="0" w:type="auto"/>
          </w:tcPr>
          <w:p w14:paraId="32B223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70028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C2F90B2" w14:textId="77777777" w:rsidR="00000000" w:rsidRPr="00BE00C7" w:rsidRDefault="00000000" w:rsidP="00BE00C7">
            <w:pPr>
              <w:pStyle w:val="OutcomeDescription"/>
              <w:spacing w:before="120" w:after="120"/>
              <w:rPr>
                <w:rFonts w:cs="Arial"/>
                <w:lang w:eastAsia="en-NZ"/>
              </w:rPr>
            </w:pPr>
          </w:p>
        </w:tc>
        <w:tc>
          <w:tcPr>
            <w:tcW w:w="0" w:type="auto"/>
          </w:tcPr>
          <w:p w14:paraId="27CEF3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57B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UC is the infection prevention and control coordinator (IPCC). They are responsible for overseeing and implementing the IP programme, which has been developed by those with IP expertise and approved by the governance body. Evidence of the reviewed (2024-2025) IP programme was sighted. The programme is linked to the quality improvement programme and is reviewed and reported on annually. This was confirmed by the IPCC and a review of the programme documentation. </w:t>
            </w:r>
          </w:p>
          <w:p w14:paraId="44760B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7F9781FA" w14:textId="77777777" w:rsidR="00000000" w:rsidRPr="00BE00C7" w:rsidRDefault="00000000" w:rsidP="00BE00C7">
            <w:pPr>
              <w:pStyle w:val="OutcomeDescription"/>
              <w:spacing w:before="120" w:after="120"/>
              <w:rPr>
                <w:rFonts w:cs="Arial"/>
                <w:lang w:eastAsia="en-NZ"/>
              </w:rPr>
            </w:pPr>
          </w:p>
        </w:tc>
      </w:tr>
      <w:tr w:rsidR="00BC1891" w14:paraId="7FFBCB14" w14:textId="77777777">
        <w:tc>
          <w:tcPr>
            <w:tcW w:w="0" w:type="auto"/>
          </w:tcPr>
          <w:p w14:paraId="4371A2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976E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1664138" w14:textId="77777777" w:rsidR="00000000" w:rsidRPr="00BE00C7" w:rsidRDefault="00000000" w:rsidP="00BE00C7">
            <w:pPr>
              <w:pStyle w:val="OutcomeDescription"/>
              <w:spacing w:before="120" w:after="120"/>
              <w:rPr>
                <w:rFonts w:cs="Arial"/>
                <w:lang w:eastAsia="en-NZ"/>
              </w:rPr>
            </w:pPr>
          </w:p>
        </w:tc>
        <w:tc>
          <w:tcPr>
            <w:tcW w:w="0" w:type="auto"/>
          </w:tcPr>
          <w:p w14:paraId="2AE0F0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6A4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was collected, monitored, and reviewed monthly. The data, which included ethnicity data, was collated, and action plans were implemented. The HAIs being monitored included infections of the urinary tract, skin, eyes, respiratory system and wounds. Surveillance tools were used to collect infection data, and standardised surveillance definitions were used.</w:t>
            </w:r>
          </w:p>
          <w:p w14:paraId="12472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4F02F44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discussions were sighted in meeting minutes. Records of monthly data sighted confirmed minimal numbers of infections, a comparison with the previous month, the reason for increase or decrease and actions implemented. Any new infections were discussed at shift handovers for early interventions to be implemented. Benchmarking is completed with other HLL facilities and externally with similar organisations. Results of surveillance and recommendations to improve performance are reported back to the governance body and shared with relevant people in a timely manner.</w:t>
            </w:r>
          </w:p>
          <w:p w14:paraId="3F62B8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a COVID-19 infection outbreak reported in January 2025 since the previous audit. This was managed in accordance with the pandemic plan, with appropriate notification completed.</w:t>
            </w:r>
          </w:p>
          <w:p w14:paraId="49489152" w14:textId="77777777" w:rsidR="00000000" w:rsidRPr="00BE00C7" w:rsidRDefault="00000000" w:rsidP="00BE00C7">
            <w:pPr>
              <w:pStyle w:val="OutcomeDescription"/>
              <w:spacing w:before="120" w:after="120"/>
              <w:rPr>
                <w:rFonts w:cs="Arial"/>
                <w:lang w:eastAsia="en-NZ"/>
              </w:rPr>
            </w:pPr>
          </w:p>
        </w:tc>
      </w:tr>
      <w:tr w:rsidR="00BC1891" w14:paraId="163EF14F" w14:textId="77777777">
        <w:tc>
          <w:tcPr>
            <w:tcW w:w="0" w:type="auto"/>
          </w:tcPr>
          <w:p w14:paraId="79AACB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8569C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w:t>
            </w:r>
            <w:r w:rsidRPr="00BE00C7">
              <w:rPr>
                <w:rFonts w:cs="Arial"/>
                <w:lang w:eastAsia="en-NZ"/>
              </w:rPr>
              <w:lastRenderedPageBreak/>
              <w:t>use of restraint in the context of aiming for elimination.</w:t>
            </w:r>
          </w:p>
          <w:p w14:paraId="1DB9E7D1" w14:textId="77777777" w:rsidR="00000000" w:rsidRPr="00BE00C7" w:rsidRDefault="00000000" w:rsidP="00BE00C7">
            <w:pPr>
              <w:pStyle w:val="OutcomeDescription"/>
              <w:spacing w:before="120" w:after="120"/>
              <w:rPr>
                <w:rFonts w:cs="Arial"/>
                <w:lang w:eastAsia="en-NZ"/>
              </w:rPr>
            </w:pPr>
          </w:p>
        </w:tc>
        <w:tc>
          <w:tcPr>
            <w:tcW w:w="0" w:type="auto"/>
          </w:tcPr>
          <w:p w14:paraId="7FFF07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D768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RBM interviewed has been responsible for the restraint elimination oversight across HLL and advised that all HLL care facilities became restraint-free in January 2025. </w:t>
            </w:r>
          </w:p>
          <w:p w14:paraId="63DEF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at Ellerslie Gardens.  Staff reported, and documentation evidenced, that staff had been trained in the least restrictive practice, safe restraint practice, alternative cultural-specific </w:t>
            </w:r>
            <w:r w:rsidRPr="00BE00C7">
              <w:rPr>
                <w:rFonts w:cs="Arial"/>
                <w:lang w:eastAsia="en-NZ"/>
              </w:rPr>
              <w:lastRenderedPageBreak/>
              <w:t>interventions, and de-escalation techniques.</w:t>
            </w:r>
          </w:p>
          <w:p w14:paraId="7C95B49D" w14:textId="77777777" w:rsidR="00000000" w:rsidRPr="00BE00C7" w:rsidRDefault="00000000" w:rsidP="00BE00C7">
            <w:pPr>
              <w:pStyle w:val="OutcomeDescription"/>
              <w:spacing w:before="120" w:after="120"/>
              <w:rPr>
                <w:rFonts w:cs="Arial"/>
                <w:lang w:eastAsia="en-NZ"/>
              </w:rPr>
            </w:pPr>
          </w:p>
        </w:tc>
      </w:tr>
    </w:tbl>
    <w:p w14:paraId="07BC2A5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8B1C9E9" w14:textId="77777777" w:rsidR="00000000" w:rsidRDefault="00000000">
      <w:pPr>
        <w:pStyle w:val="Heading1"/>
        <w:rPr>
          <w:rFonts w:cs="Arial"/>
        </w:rPr>
      </w:pPr>
      <w:r>
        <w:rPr>
          <w:rFonts w:cs="Arial"/>
        </w:rPr>
        <w:lastRenderedPageBreak/>
        <w:t>Specific results for criterion where corrective actions are required</w:t>
      </w:r>
    </w:p>
    <w:p w14:paraId="379BDC3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15C0B6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32DB3E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334"/>
        <w:gridCol w:w="4767"/>
        <w:gridCol w:w="2260"/>
        <w:gridCol w:w="2232"/>
      </w:tblGrid>
      <w:tr w:rsidR="00BC1891" w14:paraId="02E09F25" w14:textId="77777777">
        <w:tc>
          <w:tcPr>
            <w:tcW w:w="0" w:type="auto"/>
          </w:tcPr>
          <w:p w14:paraId="3B5B5DC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29E3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FB2D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00D6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E20FE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C1891" w14:paraId="5631005B" w14:textId="77777777">
        <w:tc>
          <w:tcPr>
            <w:tcW w:w="0" w:type="auto"/>
          </w:tcPr>
          <w:p w14:paraId="7E46083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5FB5DB2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5EA66347" w14:textId="77777777" w:rsidR="00000000" w:rsidRPr="00BE00C7" w:rsidRDefault="00000000" w:rsidP="00BE00C7">
            <w:pPr>
              <w:pStyle w:val="OutcomeDescription"/>
              <w:spacing w:before="120" w:after="120"/>
              <w:rPr>
                <w:rFonts w:cs="Arial"/>
                <w:lang w:eastAsia="en-NZ"/>
              </w:rPr>
            </w:pPr>
          </w:p>
        </w:tc>
        <w:tc>
          <w:tcPr>
            <w:tcW w:w="0" w:type="auto"/>
          </w:tcPr>
          <w:p w14:paraId="303B86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69F7D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sampled identified that initial assessments and initial care plans were resident-centred, and these were completed in a timely manner. All interRAI assessments reviewed were current, including all those in the interRAI database. However, interRAI outcomes scores related to mood and behaviour were not identified on the long-term care plans. Resident, whānau/EPOA and GP involvement is encouraged in the plan of care.</w:t>
            </w:r>
          </w:p>
          <w:p w14:paraId="5FACC228" w14:textId="77777777" w:rsidR="00000000" w:rsidRPr="00BE00C7" w:rsidRDefault="00000000" w:rsidP="00BE00C7">
            <w:pPr>
              <w:pStyle w:val="OutcomeDescription"/>
              <w:spacing w:before="120" w:after="120"/>
              <w:rPr>
                <w:rFonts w:cs="Arial"/>
                <w:lang w:eastAsia="en-NZ"/>
              </w:rPr>
            </w:pPr>
          </w:p>
        </w:tc>
        <w:tc>
          <w:tcPr>
            <w:tcW w:w="0" w:type="auto"/>
          </w:tcPr>
          <w:p w14:paraId="01A152F9"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six resident care plans did not have interRAI triggers (mood and behaviour) included.</w:t>
            </w:r>
          </w:p>
          <w:p w14:paraId="24F8D727" w14:textId="77777777" w:rsidR="00000000" w:rsidRPr="00BE00C7" w:rsidRDefault="00000000" w:rsidP="00BE00C7">
            <w:pPr>
              <w:pStyle w:val="OutcomeDescription"/>
              <w:spacing w:before="120" w:after="120"/>
              <w:rPr>
                <w:rFonts w:cs="Arial"/>
                <w:lang w:eastAsia="en-NZ"/>
              </w:rPr>
            </w:pPr>
          </w:p>
        </w:tc>
        <w:tc>
          <w:tcPr>
            <w:tcW w:w="0" w:type="auto"/>
          </w:tcPr>
          <w:p w14:paraId="7962AB9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plans have identified interRAI triggers, such as mood and behaviour, included.</w:t>
            </w:r>
          </w:p>
          <w:p w14:paraId="595D9C94" w14:textId="77777777" w:rsidR="00000000" w:rsidRPr="00BE00C7" w:rsidRDefault="00000000" w:rsidP="00BE00C7">
            <w:pPr>
              <w:pStyle w:val="OutcomeDescription"/>
              <w:spacing w:before="120" w:after="120"/>
              <w:rPr>
                <w:rFonts w:cs="Arial"/>
                <w:lang w:eastAsia="en-NZ"/>
              </w:rPr>
            </w:pPr>
          </w:p>
          <w:p w14:paraId="774CBE6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C1891" w14:paraId="437504D2" w14:textId="77777777">
        <w:tc>
          <w:tcPr>
            <w:tcW w:w="0" w:type="auto"/>
          </w:tcPr>
          <w:p w14:paraId="30E790F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3EB1B29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421C46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1BC52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standards require that all staff administering medicines have current medication competencies. Registered nurses and an identified group of care staff are required to complete their medication competencies annually. The roster indicated that care staff that were considered medication competent by noting ‘MED C ‘ besides their name on the roster, across the three shifts. Two of these staff had medication competencies overdue (due March 2025). The management team stated these staff were unlikely or no longer needed to be administering medications. One care staff medication competency was due in July 2024. This staff member was administering medications. The other care staff sampled had current medication competency as well as RNs that had completed their orientation .</w:t>
            </w:r>
          </w:p>
          <w:p w14:paraId="40B3475D" w14:textId="77777777" w:rsidR="00000000" w:rsidRPr="00BE00C7" w:rsidRDefault="00000000" w:rsidP="00BE00C7">
            <w:pPr>
              <w:pStyle w:val="OutcomeDescription"/>
              <w:spacing w:before="120" w:after="120"/>
              <w:rPr>
                <w:rFonts w:cs="Arial"/>
                <w:lang w:eastAsia="en-NZ"/>
              </w:rPr>
            </w:pPr>
          </w:p>
        </w:tc>
        <w:tc>
          <w:tcPr>
            <w:tcW w:w="0" w:type="auto"/>
          </w:tcPr>
          <w:p w14:paraId="38C588DC"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who administered medicines had current medication competencies.</w:t>
            </w:r>
          </w:p>
          <w:p w14:paraId="0D20441B" w14:textId="77777777" w:rsidR="00000000" w:rsidRPr="00BE00C7" w:rsidRDefault="00000000" w:rsidP="00BE00C7">
            <w:pPr>
              <w:pStyle w:val="OutcomeDescription"/>
              <w:spacing w:before="120" w:after="120"/>
              <w:rPr>
                <w:rFonts w:cs="Arial"/>
                <w:lang w:eastAsia="en-NZ"/>
              </w:rPr>
            </w:pPr>
          </w:p>
        </w:tc>
        <w:tc>
          <w:tcPr>
            <w:tcW w:w="0" w:type="auto"/>
          </w:tcPr>
          <w:p w14:paraId="29E16DA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who administer medicines have current medication competencies.</w:t>
            </w:r>
          </w:p>
          <w:p w14:paraId="4838F2E4" w14:textId="77777777" w:rsidR="00000000" w:rsidRPr="00BE00C7" w:rsidRDefault="00000000" w:rsidP="00BE00C7">
            <w:pPr>
              <w:pStyle w:val="OutcomeDescription"/>
              <w:spacing w:before="120" w:after="120"/>
              <w:rPr>
                <w:rFonts w:cs="Arial"/>
                <w:lang w:eastAsia="en-NZ"/>
              </w:rPr>
            </w:pPr>
          </w:p>
          <w:p w14:paraId="4BCAF06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B46B39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265B19A" w14:textId="77777777" w:rsidR="00000000" w:rsidRDefault="00000000">
      <w:pPr>
        <w:pStyle w:val="Heading1"/>
        <w:rPr>
          <w:rFonts w:cs="Arial"/>
        </w:rPr>
      </w:pPr>
      <w:r>
        <w:rPr>
          <w:rFonts w:cs="Arial"/>
        </w:rPr>
        <w:lastRenderedPageBreak/>
        <w:t>Specific results for criterion where a continuous improvement has been recorded</w:t>
      </w:r>
    </w:p>
    <w:p w14:paraId="725B4ED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3ED600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489F48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C1891" w14:paraId="14047678" w14:textId="77777777">
        <w:tc>
          <w:tcPr>
            <w:tcW w:w="0" w:type="auto"/>
          </w:tcPr>
          <w:p w14:paraId="2B771F9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A41A86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3E6EE0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49DF" w14:textId="77777777" w:rsidR="00027383" w:rsidRDefault="00027383">
      <w:r>
        <w:separator/>
      </w:r>
    </w:p>
  </w:endnote>
  <w:endnote w:type="continuationSeparator" w:id="0">
    <w:p w14:paraId="21FED2AF" w14:textId="77777777" w:rsidR="00027383" w:rsidRDefault="0002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9D44" w14:textId="77777777" w:rsidR="00000000" w:rsidRDefault="00000000">
    <w:pPr>
      <w:pStyle w:val="Footer"/>
    </w:pPr>
  </w:p>
  <w:p w14:paraId="170FE816" w14:textId="77777777" w:rsidR="00000000" w:rsidRDefault="00000000"/>
  <w:p w14:paraId="5847582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7FB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Ellerslie Gardens Lifecare</w:t>
    </w:r>
    <w:bookmarkEnd w:id="59"/>
    <w:r>
      <w:rPr>
        <w:rFonts w:cs="Arial"/>
        <w:sz w:val="16"/>
        <w:szCs w:val="20"/>
      </w:rPr>
      <w:tab/>
      <w:t xml:space="preserve">Date of Audit: </w:t>
    </w:r>
    <w:bookmarkStart w:id="60" w:name="AuditStartDate1"/>
    <w:r>
      <w:rPr>
        <w:rFonts w:cs="Arial"/>
        <w:sz w:val="16"/>
        <w:szCs w:val="20"/>
      </w:rPr>
      <w:t>27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C93E2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044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BFB8" w14:textId="77777777" w:rsidR="00027383" w:rsidRDefault="00027383">
      <w:r>
        <w:separator/>
      </w:r>
    </w:p>
  </w:footnote>
  <w:footnote w:type="continuationSeparator" w:id="0">
    <w:p w14:paraId="09283914" w14:textId="77777777" w:rsidR="00027383" w:rsidRDefault="0002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2476" w14:textId="77777777" w:rsidR="00000000" w:rsidRDefault="00000000">
    <w:pPr>
      <w:pStyle w:val="Header"/>
    </w:pPr>
  </w:p>
  <w:p w14:paraId="6A079DC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0275" w14:textId="77777777" w:rsidR="00000000" w:rsidRDefault="00000000">
    <w:pPr>
      <w:pStyle w:val="Header"/>
    </w:pPr>
  </w:p>
  <w:p w14:paraId="2E1C15F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671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99A24E6">
      <w:start w:val="1"/>
      <w:numFmt w:val="decimal"/>
      <w:lvlText w:val="%1."/>
      <w:lvlJc w:val="left"/>
      <w:pPr>
        <w:ind w:left="360" w:hanging="360"/>
      </w:pPr>
    </w:lvl>
    <w:lvl w:ilvl="1" w:tplc="E79496C8" w:tentative="1">
      <w:start w:val="1"/>
      <w:numFmt w:val="lowerLetter"/>
      <w:lvlText w:val="%2."/>
      <w:lvlJc w:val="left"/>
      <w:pPr>
        <w:ind w:left="1080" w:hanging="360"/>
      </w:pPr>
    </w:lvl>
    <w:lvl w:ilvl="2" w:tplc="E758E184" w:tentative="1">
      <w:start w:val="1"/>
      <w:numFmt w:val="lowerRoman"/>
      <w:lvlText w:val="%3."/>
      <w:lvlJc w:val="right"/>
      <w:pPr>
        <w:ind w:left="1800" w:hanging="180"/>
      </w:pPr>
    </w:lvl>
    <w:lvl w:ilvl="3" w:tplc="37AE919A" w:tentative="1">
      <w:start w:val="1"/>
      <w:numFmt w:val="decimal"/>
      <w:lvlText w:val="%4."/>
      <w:lvlJc w:val="left"/>
      <w:pPr>
        <w:ind w:left="2520" w:hanging="360"/>
      </w:pPr>
    </w:lvl>
    <w:lvl w:ilvl="4" w:tplc="343408B2" w:tentative="1">
      <w:start w:val="1"/>
      <w:numFmt w:val="lowerLetter"/>
      <w:lvlText w:val="%5."/>
      <w:lvlJc w:val="left"/>
      <w:pPr>
        <w:ind w:left="3240" w:hanging="360"/>
      </w:pPr>
    </w:lvl>
    <w:lvl w:ilvl="5" w:tplc="0B7612AE" w:tentative="1">
      <w:start w:val="1"/>
      <w:numFmt w:val="lowerRoman"/>
      <w:lvlText w:val="%6."/>
      <w:lvlJc w:val="right"/>
      <w:pPr>
        <w:ind w:left="3960" w:hanging="180"/>
      </w:pPr>
    </w:lvl>
    <w:lvl w:ilvl="6" w:tplc="F75AC058" w:tentative="1">
      <w:start w:val="1"/>
      <w:numFmt w:val="decimal"/>
      <w:lvlText w:val="%7."/>
      <w:lvlJc w:val="left"/>
      <w:pPr>
        <w:ind w:left="4680" w:hanging="360"/>
      </w:pPr>
    </w:lvl>
    <w:lvl w:ilvl="7" w:tplc="8EBE9CBA" w:tentative="1">
      <w:start w:val="1"/>
      <w:numFmt w:val="lowerLetter"/>
      <w:lvlText w:val="%8."/>
      <w:lvlJc w:val="left"/>
      <w:pPr>
        <w:ind w:left="5400" w:hanging="360"/>
      </w:pPr>
    </w:lvl>
    <w:lvl w:ilvl="8" w:tplc="0EECB6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69C3EA0">
      <w:start w:val="1"/>
      <w:numFmt w:val="bullet"/>
      <w:lvlText w:val=""/>
      <w:lvlJc w:val="left"/>
      <w:pPr>
        <w:ind w:left="720" w:hanging="360"/>
      </w:pPr>
      <w:rPr>
        <w:rFonts w:ascii="Symbol" w:hAnsi="Symbol" w:hint="default"/>
      </w:rPr>
    </w:lvl>
    <w:lvl w:ilvl="1" w:tplc="FE14F81C" w:tentative="1">
      <w:start w:val="1"/>
      <w:numFmt w:val="bullet"/>
      <w:lvlText w:val="o"/>
      <w:lvlJc w:val="left"/>
      <w:pPr>
        <w:ind w:left="1440" w:hanging="360"/>
      </w:pPr>
      <w:rPr>
        <w:rFonts w:ascii="Courier New" w:hAnsi="Courier New" w:cs="Courier New" w:hint="default"/>
      </w:rPr>
    </w:lvl>
    <w:lvl w:ilvl="2" w:tplc="F94EBF02" w:tentative="1">
      <w:start w:val="1"/>
      <w:numFmt w:val="bullet"/>
      <w:lvlText w:val=""/>
      <w:lvlJc w:val="left"/>
      <w:pPr>
        <w:ind w:left="2160" w:hanging="360"/>
      </w:pPr>
      <w:rPr>
        <w:rFonts w:ascii="Wingdings" w:hAnsi="Wingdings" w:hint="default"/>
      </w:rPr>
    </w:lvl>
    <w:lvl w:ilvl="3" w:tplc="1FA8CCA2" w:tentative="1">
      <w:start w:val="1"/>
      <w:numFmt w:val="bullet"/>
      <w:lvlText w:val=""/>
      <w:lvlJc w:val="left"/>
      <w:pPr>
        <w:ind w:left="2880" w:hanging="360"/>
      </w:pPr>
      <w:rPr>
        <w:rFonts w:ascii="Symbol" w:hAnsi="Symbol" w:hint="default"/>
      </w:rPr>
    </w:lvl>
    <w:lvl w:ilvl="4" w:tplc="069CF032" w:tentative="1">
      <w:start w:val="1"/>
      <w:numFmt w:val="bullet"/>
      <w:lvlText w:val="o"/>
      <w:lvlJc w:val="left"/>
      <w:pPr>
        <w:ind w:left="3600" w:hanging="360"/>
      </w:pPr>
      <w:rPr>
        <w:rFonts w:ascii="Courier New" w:hAnsi="Courier New" w:cs="Courier New" w:hint="default"/>
      </w:rPr>
    </w:lvl>
    <w:lvl w:ilvl="5" w:tplc="6F8E324E" w:tentative="1">
      <w:start w:val="1"/>
      <w:numFmt w:val="bullet"/>
      <w:lvlText w:val=""/>
      <w:lvlJc w:val="left"/>
      <w:pPr>
        <w:ind w:left="4320" w:hanging="360"/>
      </w:pPr>
      <w:rPr>
        <w:rFonts w:ascii="Wingdings" w:hAnsi="Wingdings" w:hint="default"/>
      </w:rPr>
    </w:lvl>
    <w:lvl w:ilvl="6" w:tplc="48EAD15E" w:tentative="1">
      <w:start w:val="1"/>
      <w:numFmt w:val="bullet"/>
      <w:lvlText w:val=""/>
      <w:lvlJc w:val="left"/>
      <w:pPr>
        <w:ind w:left="5040" w:hanging="360"/>
      </w:pPr>
      <w:rPr>
        <w:rFonts w:ascii="Symbol" w:hAnsi="Symbol" w:hint="default"/>
      </w:rPr>
    </w:lvl>
    <w:lvl w:ilvl="7" w:tplc="8A5C6A06" w:tentative="1">
      <w:start w:val="1"/>
      <w:numFmt w:val="bullet"/>
      <w:lvlText w:val="o"/>
      <w:lvlJc w:val="left"/>
      <w:pPr>
        <w:ind w:left="5760" w:hanging="360"/>
      </w:pPr>
      <w:rPr>
        <w:rFonts w:ascii="Courier New" w:hAnsi="Courier New" w:cs="Courier New" w:hint="default"/>
      </w:rPr>
    </w:lvl>
    <w:lvl w:ilvl="8" w:tplc="03D0B946" w:tentative="1">
      <w:start w:val="1"/>
      <w:numFmt w:val="bullet"/>
      <w:lvlText w:val=""/>
      <w:lvlJc w:val="left"/>
      <w:pPr>
        <w:ind w:left="6480" w:hanging="360"/>
      </w:pPr>
      <w:rPr>
        <w:rFonts w:ascii="Wingdings" w:hAnsi="Wingdings" w:hint="default"/>
      </w:rPr>
    </w:lvl>
  </w:abstractNum>
  <w:num w:numId="1" w16cid:durableId="1857844112">
    <w:abstractNumId w:val="1"/>
  </w:num>
  <w:num w:numId="2" w16cid:durableId="194669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1"/>
    <w:rsid w:val="00027383"/>
    <w:rsid w:val="00196BD6"/>
    <w:rsid w:val="00BC18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3C43"/>
  <w15:docId w15:val="{C2A2E54F-0DCA-4E12-8189-A6F7E6F0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7577</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2025-07-16T01:22:00Z</dcterms:created>
  <dcterms:modified xsi:type="dcterms:W3CDTF">2025-07-16T01:22:00Z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