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ED63" w14:textId="77777777" w:rsidR="00000000" w:rsidRDefault="00000000">
      <w:pPr>
        <w:pStyle w:val="Heading1"/>
        <w:rPr>
          <w:rFonts w:cs="Arial"/>
        </w:rPr>
      </w:pPr>
      <w:bookmarkStart w:id="0" w:name="PRMS_RIName"/>
      <w:r>
        <w:rPr>
          <w:rFonts w:cs="Arial"/>
        </w:rPr>
        <w:t>Summerset Care Limited - Summerset on the Landing Kenepuru</w:t>
      </w:r>
      <w:bookmarkEnd w:id="0"/>
    </w:p>
    <w:p w14:paraId="32D3C1B0" w14:textId="77777777" w:rsidR="00000000" w:rsidRDefault="00000000">
      <w:pPr>
        <w:pStyle w:val="Heading2"/>
        <w:spacing w:after="0"/>
        <w:rPr>
          <w:rFonts w:cs="Arial"/>
        </w:rPr>
      </w:pPr>
      <w:r>
        <w:rPr>
          <w:rFonts w:cs="Arial"/>
        </w:rPr>
        <w:t>Introduction</w:t>
      </w:r>
    </w:p>
    <w:p w14:paraId="00BA44C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4EE010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9A9545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016405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0AE5DC8" w14:textId="77777777" w:rsidR="00000000" w:rsidRDefault="00000000">
      <w:pPr>
        <w:spacing w:before="240" w:after="240"/>
        <w:rPr>
          <w:rFonts w:cs="Arial"/>
          <w:lang w:eastAsia="en-NZ"/>
        </w:rPr>
      </w:pPr>
      <w:r>
        <w:rPr>
          <w:rFonts w:cs="Arial"/>
          <w:lang w:eastAsia="en-NZ"/>
        </w:rPr>
        <w:t>The specifics of this audit included:</w:t>
      </w:r>
    </w:p>
    <w:p w14:paraId="1C50B34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EF95F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1FDD85E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on the Landing Kenepuru</w:t>
      </w:r>
      <w:bookmarkEnd w:id="5"/>
    </w:p>
    <w:p w14:paraId="1067CD5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93E0A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May 2025</w:t>
      </w:r>
      <w:bookmarkEnd w:id="7"/>
      <w:r w:rsidRPr="009418D4">
        <w:rPr>
          <w:rFonts w:cs="Arial"/>
        </w:rPr>
        <w:tab/>
        <w:t xml:space="preserve">End date: </w:t>
      </w:r>
      <w:bookmarkStart w:id="8" w:name="AuditEndDate"/>
      <w:r>
        <w:rPr>
          <w:rFonts w:cs="Arial"/>
        </w:rPr>
        <w:t>27 May 2025</w:t>
      </w:r>
      <w:bookmarkEnd w:id="8"/>
    </w:p>
    <w:p w14:paraId="5C2006E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3B658AF" w14:textId="77777777" w:rsidR="0068170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87</w:t>
      </w:r>
      <w:bookmarkEnd w:id="10"/>
    </w:p>
    <w:p w14:paraId="1575205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965AF19" w14:textId="77777777" w:rsidR="00000000" w:rsidRDefault="00000000">
      <w:pPr>
        <w:pStyle w:val="Heading1"/>
        <w:rPr>
          <w:rFonts w:cs="Arial"/>
        </w:rPr>
      </w:pPr>
      <w:r>
        <w:rPr>
          <w:rFonts w:cs="Arial"/>
        </w:rPr>
        <w:lastRenderedPageBreak/>
        <w:t>Executive summary of the audit</w:t>
      </w:r>
    </w:p>
    <w:p w14:paraId="5CFB2C98" w14:textId="77777777" w:rsidR="00000000" w:rsidRDefault="00000000">
      <w:pPr>
        <w:pStyle w:val="Heading2"/>
        <w:rPr>
          <w:rFonts w:cs="Arial"/>
        </w:rPr>
      </w:pPr>
      <w:r>
        <w:rPr>
          <w:rFonts w:cs="Arial"/>
        </w:rPr>
        <w:t>Introduction</w:t>
      </w:r>
    </w:p>
    <w:p w14:paraId="2AEAAD3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04FE3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98490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736B0B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82548A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960D3B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A5B01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60980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9B5173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8170A" w14:paraId="6D5AC748" w14:textId="77777777">
        <w:trPr>
          <w:cantSplit/>
          <w:tblHeader/>
        </w:trPr>
        <w:tc>
          <w:tcPr>
            <w:tcW w:w="1260" w:type="dxa"/>
            <w:tcBorders>
              <w:bottom w:val="single" w:sz="4" w:space="0" w:color="000000"/>
            </w:tcBorders>
            <w:vAlign w:val="center"/>
          </w:tcPr>
          <w:p w14:paraId="134773B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72E0C5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9B500C" w14:textId="77777777" w:rsidR="00000000" w:rsidRDefault="00000000">
            <w:pPr>
              <w:spacing w:before="60" w:after="60"/>
              <w:rPr>
                <w:rFonts w:eastAsia="Calibri"/>
                <w:b/>
                <w:szCs w:val="24"/>
              </w:rPr>
            </w:pPr>
            <w:r>
              <w:rPr>
                <w:rFonts w:eastAsia="Calibri"/>
                <w:b/>
                <w:szCs w:val="24"/>
              </w:rPr>
              <w:t>Definition</w:t>
            </w:r>
          </w:p>
        </w:tc>
      </w:tr>
      <w:tr w:rsidR="0068170A" w14:paraId="67641D8F" w14:textId="77777777">
        <w:trPr>
          <w:cantSplit/>
          <w:trHeight w:val="964"/>
        </w:trPr>
        <w:tc>
          <w:tcPr>
            <w:tcW w:w="1260" w:type="dxa"/>
            <w:tcBorders>
              <w:bottom w:val="single" w:sz="4" w:space="0" w:color="000000"/>
            </w:tcBorders>
            <w:shd w:val="clear" w:color="0066FF" w:fill="0000FF"/>
            <w:vAlign w:val="center"/>
          </w:tcPr>
          <w:p w14:paraId="4E9BF6C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5770E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5945A9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8170A" w14:paraId="3B6E797B" w14:textId="77777777">
        <w:trPr>
          <w:cantSplit/>
          <w:trHeight w:val="964"/>
        </w:trPr>
        <w:tc>
          <w:tcPr>
            <w:tcW w:w="1260" w:type="dxa"/>
            <w:shd w:val="clear" w:color="33CC33" w:fill="00FF00"/>
            <w:vAlign w:val="center"/>
          </w:tcPr>
          <w:p w14:paraId="06CED477" w14:textId="77777777" w:rsidR="00000000" w:rsidRDefault="00000000">
            <w:pPr>
              <w:spacing w:before="60" w:after="60"/>
              <w:rPr>
                <w:rFonts w:eastAsia="Calibri"/>
                <w:szCs w:val="24"/>
              </w:rPr>
            </w:pPr>
          </w:p>
        </w:tc>
        <w:tc>
          <w:tcPr>
            <w:tcW w:w="7095" w:type="dxa"/>
            <w:shd w:val="clear" w:color="auto" w:fill="auto"/>
            <w:vAlign w:val="center"/>
          </w:tcPr>
          <w:p w14:paraId="47B980B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8BE21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8170A" w14:paraId="5855BD35" w14:textId="77777777">
        <w:trPr>
          <w:cantSplit/>
          <w:trHeight w:val="964"/>
        </w:trPr>
        <w:tc>
          <w:tcPr>
            <w:tcW w:w="1260" w:type="dxa"/>
            <w:tcBorders>
              <w:bottom w:val="single" w:sz="4" w:space="0" w:color="000000"/>
            </w:tcBorders>
            <w:shd w:val="clear" w:color="auto" w:fill="FFFF00"/>
            <w:vAlign w:val="center"/>
          </w:tcPr>
          <w:p w14:paraId="183742B2" w14:textId="77777777" w:rsidR="00000000" w:rsidRDefault="00000000">
            <w:pPr>
              <w:spacing w:before="60" w:after="60"/>
              <w:rPr>
                <w:rFonts w:eastAsia="Calibri"/>
                <w:szCs w:val="24"/>
              </w:rPr>
            </w:pPr>
          </w:p>
        </w:tc>
        <w:tc>
          <w:tcPr>
            <w:tcW w:w="7095" w:type="dxa"/>
            <w:shd w:val="clear" w:color="auto" w:fill="auto"/>
            <w:vAlign w:val="center"/>
          </w:tcPr>
          <w:p w14:paraId="1B06666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F94538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8170A" w14:paraId="56B10EF6" w14:textId="77777777">
        <w:trPr>
          <w:cantSplit/>
          <w:trHeight w:val="964"/>
        </w:trPr>
        <w:tc>
          <w:tcPr>
            <w:tcW w:w="1260" w:type="dxa"/>
            <w:tcBorders>
              <w:bottom w:val="single" w:sz="4" w:space="0" w:color="000000"/>
            </w:tcBorders>
            <w:shd w:val="clear" w:color="auto" w:fill="FFC800"/>
            <w:vAlign w:val="center"/>
          </w:tcPr>
          <w:p w14:paraId="6C487F8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4525A9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6AB51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8170A" w14:paraId="2079B785" w14:textId="77777777">
        <w:trPr>
          <w:cantSplit/>
          <w:trHeight w:val="964"/>
        </w:trPr>
        <w:tc>
          <w:tcPr>
            <w:tcW w:w="1260" w:type="dxa"/>
            <w:shd w:val="clear" w:color="auto" w:fill="FF0000"/>
            <w:vAlign w:val="center"/>
          </w:tcPr>
          <w:p w14:paraId="6197DFA3" w14:textId="77777777" w:rsidR="00000000" w:rsidRDefault="00000000">
            <w:pPr>
              <w:spacing w:before="60" w:after="60"/>
              <w:rPr>
                <w:rFonts w:eastAsia="Calibri"/>
                <w:szCs w:val="24"/>
              </w:rPr>
            </w:pPr>
          </w:p>
        </w:tc>
        <w:tc>
          <w:tcPr>
            <w:tcW w:w="7095" w:type="dxa"/>
            <w:shd w:val="clear" w:color="auto" w:fill="auto"/>
            <w:vAlign w:val="center"/>
          </w:tcPr>
          <w:p w14:paraId="1A6B5C1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3B98D9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8821EBD" w14:textId="77777777" w:rsidR="00000000" w:rsidRDefault="00000000">
      <w:pPr>
        <w:pStyle w:val="Heading2"/>
        <w:spacing w:after="0"/>
        <w:rPr>
          <w:rFonts w:cs="Arial"/>
        </w:rPr>
      </w:pPr>
      <w:r>
        <w:rPr>
          <w:rFonts w:cs="Arial"/>
        </w:rPr>
        <w:t>General overview of the audit</w:t>
      </w:r>
    </w:p>
    <w:p w14:paraId="32E2260E" w14:textId="77777777" w:rsidR="00000000" w:rsidRDefault="00000000">
      <w:pPr>
        <w:spacing w:before="240" w:line="276" w:lineRule="auto"/>
        <w:rPr>
          <w:rFonts w:eastAsia="Calibri"/>
        </w:rPr>
      </w:pPr>
      <w:bookmarkStart w:id="13" w:name="GeneralOverview"/>
      <w:r w:rsidRPr="00A4268A">
        <w:rPr>
          <w:rFonts w:eastAsia="Calibri"/>
        </w:rPr>
        <w:t xml:space="preserve">Summerset on the Landing Kenepuru is certified to provide for dementia, hospital (geriatric and medical), and rest home level of care for up to 116 residents. There were 87 residents in care on the days of audit. </w:t>
      </w:r>
    </w:p>
    <w:p w14:paraId="28DAC86B" w14:textId="77777777" w:rsidR="0068170A"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 Te Whatu Ora. The audit process included the review of policies and procedures, the review of resident and staff files, observations, and interviews with residents, family/whānau, management, staff, and a general practitioner. </w:t>
      </w:r>
    </w:p>
    <w:p w14:paraId="6C4788D6" w14:textId="00DE69AB" w:rsidR="0068170A" w:rsidRPr="00A4268A" w:rsidRDefault="00000000">
      <w:pPr>
        <w:spacing w:before="240" w:line="276" w:lineRule="auto"/>
        <w:rPr>
          <w:rFonts w:eastAsia="Calibri"/>
        </w:rPr>
      </w:pPr>
      <w:r w:rsidRPr="00A4268A">
        <w:rPr>
          <w:rFonts w:eastAsia="Calibri"/>
        </w:rPr>
        <w:t xml:space="preserve">The village manager is supported by clinical nurse leads, and </w:t>
      </w:r>
      <w:r w:rsidR="00F172E7">
        <w:rPr>
          <w:rFonts w:eastAsia="Calibri"/>
        </w:rPr>
        <w:t xml:space="preserve">the </w:t>
      </w:r>
      <w:r w:rsidRPr="00A4268A">
        <w:rPr>
          <w:rFonts w:eastAsia="Calibri"/>
        </w:rPr>
        <w:t xml:space="preserve">regional quality manager. </w:t>
      </w:r>
    </w:p>
    <w:p w14:paraId="0F595D07" w14:textId="77777777" w:rsidR="0068170A"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72527C94" w14:textId="77777777" w:rsidR="0068170A" w:rsidRPr="00A4268A" w:rsidRDefault="00000000">
      <w:pPr>
        <w:spacing w:before="240" w:line="276" w:lineRule="auto"/>
        <w:rPr>
          <w:rFonts w:eastAsia="Calibri"/>
        </w:rPr>
      </w:pPr>
      <w:r w:rsidRPr="00A4268A">
        <w:rPr>
          <w:rFonts w:eastAsia="Calibri"/>
        </w:rPr>
        <w:t xml:space="preserve">The areas for improvement identified at the previous audit relating to care plan interventions, monitoring and medication management still require improvements. </w:t>
      </w:r>
    </w:p>
    <w:p w14:paraId="61822BF4" w14:textId="77777777" w:rsidR="0068170A" w:rsidRPr="00A4268A" w:rsidRDefault="00000000">
      <w:pPr>
        <w:spacing w:before="240" w:line="276" w:lineRule="auto"/>
        <w:rPr>
          <w:rFonts w:eastAsia="Calibri"/>
        </w:rPr>
      </w:pPr>
      <w:r w:rsidRPr="00A4268A">
        <w:rPr>
          <w:rFonts w:eastAsia="Calibri"/>
        </w:rPr>
        <w:t xml:space="preserve">This audit identified shortfalls related to implementation of the quality management framework, adverse event reporting, staff roster, staff training, implementation of care plans and care plan evaluations. </w:t>
      </w:r>
    </w:p>
    <w:bookmarkEnd w:id="13"/>
    <w:p w14:paraId="59DD28F3" w14:textId="77777777" w:rsidR="0068170A" w:rsidRPr="00A4268A" w:rsidRDefault="0068170A">
      <w:pPr>
        <w:spacing w:before="240" w:line="276" w:lineRule="auto"/>
        <w:rPr>
          <w:rFonts w:eastAsia="Calibri"/>
        </w:rPr>
      </w:pPr>
    </w:p>
    <w:p w14:paraId="1478CF0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70A" w14:paraId="690F2621" w14:textId="77777777" w:rsidTr="00A4268A">
        <w:trPr>
          <w:cantSplit/>
        </w:trPr>
        <w:tc>
          <w:tcPr>
            <w:tcW w:w="10206" w:type="dxa"/>
            <w:vAlign w:val="center"/>
          </w:tcPr>
          <w:p w14:paraId="79AB878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47B182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5AE01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653D49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5369D34"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w:t>
      </w:r>
    </w:p>
    <w:p w14:paraId="1B3985DF" w14:textId="77777777" w:rsidR="0068170A" w:rsidRPr="00A4268A" w:rsidRDefault="00000000">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Summerset on the Landing Kenepuru demonstrates their knowledge and understanding of resident’s rights and ensures that residents are well informed in respect of these. Residents are kept safe from abuse, and staff are aware of professional boundaries. </w:t>
      </w:r>
    </w:p>
    <w:p w14:paraId="08D17569" w14:textId="77777777" w:rsidR="0068170A" w:rsidRPr="00A4268A" w:rsidRDefault="00000000">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Consumers’ Rights, and complainants are kept fully informed.</w:t>
      </w:r>
    </w:p>
    <w:bookmarkEnd w:id="16"/>
    <w:p w14:paraId="6691F5DD" w14:textId="77777777" w:rsidR="0068170A" w:rsidRPr="00A4268A" w:rsidRDefault="0068170A">
      <w:pPr>
        <w:spacing w:before="240" w:line="276" w:lineRule="auto"/>
        <w:rPr>
          <w:rFonts w:eastAsia="Calibri"/>
        </w:rPr>
      </w:pPr>
    </w:p>
    <w:p w14:paraId="08920C6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70A" w14:paraId="3634C7A8" w14:textId="77777777" w:rsidTr="00A4268A">
        <w:trPr>
          <w:cantSplit/>
        </w:trPr>
        <w:tc>
          <w:tcPr>
            <w:tcW w:w="10206" w:type="dxa"/>
            <w:vAlign w:val="center"/>
          </w:tcPr>
          <w:p w14:paraId="65F1D1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8EE14E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0A49D5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1DC4296" w14:textId="77777777" w:rsidR="00000000" w:rsidRDefault="00000000">
      <w:pPr>
        <w:spacing w:before="240" w:line="276" w:lineRule="auto"/>
        <w:rPr>
          <w:rFonts w:eastAsia="Calibri"/>
        </w:rPr>
      </w:pPr>
      <w:bookmarkStart w:id="19" w:name="OrganisationalManagement"/>
      <w:r w:rsidRPr="00A4268A">
        <w:rPr>
          <w:rFonts w:eastAsia="Calibri"/>
        </w:rPr>
        <w:t xml:space="preserve">Summerset on the Landing Kenepuru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There are quality and risk management systems in place that take a risk-based approach. </w:t>
      </w:r>
    </w:p>
    <w:p w14:paraId="19F34412" w14:textId="77777777" w:rsidR="0068170A" w:rsidRPr="00A4268A" w:rsidRDefault="00000000">
      <w:pPr>
        <w:spacing w:before="240" w:line="276" w:lineRule="auto"/>
        <w:rPr>
          <w:rFonts w:eastAsia="Calibri"/>
        </w:rPr>
      </w:pPr>
      <w:r w:rsidRPr="00A4268A">
        <w:rPr>
          <w:rFonts w:eastAsia="Calibri"/>
        </w:rPr>
        <w:t>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24871645" w14:textId="77777777" w:rsidR="0068170A" w:rsidRPr="00A4268A" w:rsidRDefault="0068170A">
      <w:pPr>
        <w:spacing w:before="240" w:line="276" w:lineRule="auto"/>
        <w:rPr>
          <w:rFonts w:eastAsia="Calibri"/>
        </w:rPr>
      </w:pPr>
    </w:p>
    <w:p w14:paraId="6D6E2397"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70A" w14:paraId="628F5346" w14:textId="77777777" w:rsidTr="00A4268A">
        <w:trPr>
          <w:cantSplit/>
        </w:trPr>
        <w:tc>
          <w:tcPr>
            <w:tcW w:w="10206" w:type="dxa"/>
            <w:vAlign w:val="center"/>
          </w:tcPr>
          <w:p w14:paraId="35583F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588339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30F763"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F7A9B1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and/or nurse practitioner and visiting allied health professionals. </w:t>
      </w:r>
    </w:p>
    <w:p w14:paraId="0D9D9CF4" w14:textId="77777777" w:rsidR="0068170A"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medication competency. The electronic medicine charts reviewed were reviewed at least three-monthly by the general practitioner or nurse practitioner. The kitchen staff cater to individual cultural and dietary requirements. The service has a current food control plan. </w:t>
      </w:r>
    </w:p>
    <w:p w14:paraId="729AE1F4" w14:textId="77777777" w:rsidR="0068170A"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3ADB3903" w14:textId="77777777" w:rsidR="0068170A" w:rsidRPr="00A4268A" w:rsidRDefault="0068170A" w:rsidP="00621629">
      <w:pPr>
        <w:spacing w:before="240" w:line="276" w:lineRule="auto"/>
        <w:rPr>
          <w:rFonts w:eastAsia="Calibri"/>
        </w:rPr>
      </w:pPr>
    </w:p>
    <w:p w14:paraId="07270D2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70A" w14:paraId="0FF1E3BE" w14:textId="77777777" w:rsidTr="00A4268A">
        <w:trPr>
          <w:cantSplit/>
        </w:trPr>
        <w:tc>
          <w:tcPr>
            <w:tcW w:w="10206" w:type="dxa"/>
            <w:vAlign w:val="center"/>
          </w:tcPr>
          <w:p w14:paraId="003105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3B5D25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5333A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DBAA17A"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0BD19AAB" w14:textId="77777777" w:rsidR="0068170A" w:rsidRPr="00A4268A" w:rsidRDefault="0068170A">
      <w:pPr>
        <w:spacing w:before="240" w:line="276" w:lineRule="auto"/>
        <w:rPr>
          <w:rFonts w:eastAsia="Calibri"/>
        </w:rPr>
      </w:pPr>
    </w:p>
    <w:p w14:paraId="0327415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70A" w14:paraId="61A733DF" w14:textId="77777777" w:rsidTr="00A4268A">
        <w:trPr>
          <w:cantSplit/>
        </w:trPr>
        <w:tc>
          <w:tcPr>
            <w:tcW w:w="10206" w:type="dxa"/>
            <w:vAlign w:val="center"/>
          </w:tcPr>
          <w:p w14:paraId="1401F7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A85933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16E5B0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67DD66A"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049789A3" w14:textId="77777777" w:rsidR="0068170A"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4487DF9F" w14:textId="77777777" w:rsidR="0068170A" w:rsidRPr="00A4268A" w:rsidRDefault="0068170A">
      <w:pPr>
        <w:spacing w:before="240" w:line="276" w:lineRule="auto"/>
        <w:rPr>
          <w:rFonts w:eastAsia="Calibri"/>
        </w:rPr>
      </w:pPr>
    </w:p>
    <w:p w14:paraId="2B9AB37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70A" w14:paraId="42CC6A72" w14:textId="77777777" w:rsidTr="00A4268A">
        <w:trPr>
          <w:cantSplit/>
        </w:trPr>
        <w:tc>
          <w:tcPr>
            <w:tcW w:w="10206" w:type="dxa"/>
            <w:vAlign w:val="center"/>
          </w:tcPr>
          <w:p w14:paraId="68E310B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A049FA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E6CE65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71C7A05"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5A81ED27" w14:textId="77777777" w:rsidR="0068170A" w:rsidRPr="00A4268A" w:rsidRDefault="0068170A">
      <w:pPr>
        <w:spacing w:before="240" w:line="276" w:lineRule="auto"/>
        <w:rPr>
          <w:rFonts w:eastAsia="Calibri"/>
        </w:rPr>
      </w:pPr>
    </w:p>
    <w:p w14:paraId="4573DB1E" w14:textId="77777777" w:rsidR="00000000" w:rsidRDefault="00000000" w:rsidP="000E6E02">
      <w:pPr>
        <w:pStyle w:val="Heading2"/>
        <w:spacing w:before="0"/>
        <w:rPr>
          <w:rFonts w:cs="Arial"/>
        </w:rPr>
      </w:pPr>
      <w:r>
        <w:rPr>
          <w:rFonts w:cs="Arial"/>
        </w:rPr>
        <w:t>Summary of attainment</w:t>
      </w:r>
    </w:p>
    <w:p w14:paraId="08A9E19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8170A" w14:paraId="65097B70" w14:textId="77777777">
        <w:tc>
          <w:tcPr>
            <w:tcW w:w="1384" w:type="dxa"/>
            <w:vAlign w:val="center"/>
          </w:tcPr>
          <w:p w14:paraId="784059E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7C71E3C" w14:textId="77777777" w:rsidR="00000000" w:rsidRDefault="00000000">
            <w:pPr>
              <w:keepNext/>
              <w:spacing w:before="60" w:after="60"/>
              <w:jc w:val="center"/>
              <w:rPr>
                <w:rFonts w:cs="Arial"/>
                <w:b/>
                <w:sz w:val="20"/>
                <w:szCs w:val="20"/>
              </w:rPr>
            </w:pPr>
            <w:r>
              <w:rPr>
                <w:rFonts w:cs="Arial"/>
                <w:b/>
                <w:sz w:val="20"/>
                <w:szCs w:val="20"/>
              </w:rPr>
              <w:t>Continuous Improvement</w:t>
            </w:r>
          </w:p>
          <w:p w14:paraId="0CDFB9B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DE56E9C" w14:textId="77777777" w:rsidR="00000000" w:rsidRDefault="00000000">
            <w:pPr>
              <w:keepNext/>
              <w:spacing w:before="60" w:after="60"/>
              <w:jc w:val="center"/>
              <w:rPr>
                <w:rFonts w:cs="Arial"/>
                <w:b/>
                <w:sz w:val="20"/>
                <w:szCs w:val="20"/>
              </w:rPr>
            </w:pPr>
            <w:r>
              <w:rPr>
                <w:rFonts w:cs="Arial"/>
                <w:b/>
                <w:sz w:val="20"/>
                <w:szCs w:val="20"/>
              </w:rPr>
              <w:t>Fully Attained</w:t>
            </w:r>
          </w:p>
          <w:p w14:paraId="65D1468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88BFD5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D81D67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90D0BA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85455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7C1C02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EF5255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DA6ECB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D3644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3BB863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C188DEC" w14:textId="77777777" w:rsidR="00000000" w:rsidRDefault="00000000">
            <w:pPr>
              <w:keepNext/>
              <w:spacing w:before="60" w:after="60"/>
              <w:jc w:val="center"/>
              <w:rPr>
                <w:rFonts w:cs="Arial"/>
                <w:b/>
                <w:sz w:val="20"/>
                <w:szCs w:val="20"/>
              </w:rPr>
            </w:pPr>
            <w:r>
              <w:rPr>
                <w:rFonts w:cs="Arial"/>
                <w:b/>
                <w:sz w:val="20"/>
                <w:szCs w:val="20"/>
              </w:rPr>
              <w:t>(PA Critical)</w:t>
            </w:r>
          </w:p>
        </w:tc>
      </w:tr>
      <w:tr w:rsidR="0068170A" w14:paraId="360D6809" w14:textId="77777777">
        <w:tc>
          <w:tcPr>
            <w:tcW w:w="1384" w:type="dxa"/>
            <w:vAlign w:val="center"/>
          </w:tcPr>
          <w:p w14:paraId="37D1565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4E9716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B1B3D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4E4E584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9DE66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A9CB6E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6921088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50991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8170A" w14:paraId="4E50B042" w14:textId="77777777">
        <w:tc>
          <w:tcPr>
            <w:tcW w:w="1384" w:type="dxa"/>
            <w:vAlign w:val="center"/>
          </w:tcPr>
          <w:p w14:paraId="3B5CFDF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9876DE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B9119B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41</w:t>
            </w:r>
            <w:bookmarkEnd w:id="40"/>
          </w:p>
        </w:tc>
        <w:tc>
          <w:tcPr>
            <w:tcW w:w="1843" w:type="dxa"/>
            <w:vAlign w:val="center"/>
          </w:tcPr>
          <w:p w14:paraId="6893EAE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DA86C7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1155564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11DB240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02ED2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886AB9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8170A" w14:paraId="22656530" w14:textId="77777777">
        <w:tc>
          <w:tcPr>
            <w:tcW w:w="1384" w:type="dxa"/>
            <w:vAlign w:val="center"/>
          </w:tcPr>
          <w:p w14:paraId="3170C07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94EA4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4EB829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FE1042" w14:textId="77777777" w:rsidR="00000000" w:rsidRDefault="00000000">
            <w:pPr>
              <w:keepNext/>
              <w:spacing w:before="60" w:after="60"/>
              <w:jc w:val="center"/>
              <w:rPr>
                <w:rFonts w:cs="Arial"/>
                <w:b/>
                <w:sz w:val="20"/>
                <w:szCs w:val="20"/>
              </w:rPr>
            </w:pPr>
            <w:r>
              <w:rPr>
                <w:rFonts w:cs="Arial"/>
                <w:b/>
                <w:sz w:val="20"/>
                <w:szCs w:val="20"/>
              </w:rPr>
              <w:t>Unattained Low Risk</w:t>
            </w:r>
          </w:p>
          <w:p w14:paraId="62C2844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5A4D05" w14:textId="77777777" w:rsidR="00000000" w:rsidRDefault="00000000">
            <w:pPr>
              <w:keepNext/>
              <w:spacing w:before="60" w:after="60"/>
              <w:jc w:val="center"/>
              <w:rPr>
                <w:rFonts w:cs="Arial"/>
                <w:b/>
                <w:sz w:val="20"/>
                <w:szCs w:val="20"/>
              </w:rPr>
            </w:pPr>
            <w:r>
              <w:rPr>
                <w:rFonts w:cs="Arial"/>
                <w:b/>
                <w:sz w:val="20"/>
                <w:szCs w:val="20"/>
              </w:rPr>
              <w:t>Unattained Moderate Risk</w:t>
            </w:r>
          </w:p>
          <w:p w14:paraId="3249AAD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F2C7EEE" w14:textId="77777777" w:rsidR="00000000" w:rsidRDefault="00000000">
            <w:pPr>
              <w:keepNext/>
              <w:spacing w:before="60" w:after="60"/>
              <w:jc w:val="center"/>
              <w:rPr>
                <w:rFonts w:cs="Arial"/>
                <w:b/>
                <w:sz w:val="20"/>
                <w:szCs w:val="20"/>
              </w:rPr>
            </w:pPr>
            <w:r>
              <w:rPr>
                <w:rFonts w:cs="Arial"/>
                <w:b/>
                <w:sz w:val="20"/>
                <w:szCs w:val="20"/>
              </w:rPr>
              <w:t>Unattained High Risk</w:t>
            </w:r>
          </w:p>
          <w:p w14:paraId="790E557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5F18A60" w14:textId="77777777" w:rsidR="00000000" w:rsidRDefault="00000000">
            <w:pPr>
              <w:keepNext/>
              <w:spacing w:before="60" w:after="60"/>
              <w:jc w:val="center"/>
              <w:rPr>
                <w:rFonts w:cs="Arial"/>
                <w:b/>
                <w:sz w:val="20"/>
                <w:szCs w:val="20"/>
              </w:rPr>
            </w:pPr>
            <w:r>
              <w:rPr>
                <w:rFonts w:cs="Arial"/>
                <w:b/>
                <w:sz w:val="20"/>
                <w:szCs w:val="20"/>
              </w:rPr>
              <w:t>Unattained Critical Risk</w:t>
            </w:r>
          </w:p>
          <w:p w14:paraId="0E565E1E" w14:textId="77777777" w:rsidR="00000000" w:rsidRDefault="00000000">
            <w:pPr>
              <w:keepNext/>
              <w:spacing w:before="60" w:after="60"/>
              <w:jc w:val="center"/>
              <w:rPr>
                <w:rFonts w:cs="Arial"/>
                <w:b/>
                <w:sz w:val="20"/>
                <w:szCs w:val="20"/>
              </w:rPr>
            </w:pPr>
            <w:r>
              <w:rPr>
                <w:rFonts w:cs="Arial"/>
                <w:b/>
                <w:sz w:val="20"/>
                <w:szCs w:val="20"/>
              </w:rPr>
              <w:t>(UA Critical)</w:t>
            </w:r>
          </w:p>
        </w:tc>
      </w:tr>
      <w:tr w:rsidR="0068170A" w14:paraId="25FE8F22" w14:textId="77777777">
        <w:tc>
          <w:tcPr>
            <w:tcW w:w="1384" w:type="dxa"/>
            <w:vAlign w:val="center"/>
          </w:tcPr>
          <w:p w14:paraId="26E7B66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4E8B8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4C882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0FF12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A3F6E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43040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8170A" w14:paraId="7EC5F73C" w14:textId="77777777">
        <w:tc>
          <w:tcPr>
            <w:tcW w:w="1384" w:type="dxa"/>
            <w:vAlign w:val="center"/>
          </w:tcPr>
          <w:p w14:paraId="31C5D83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E051F3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58C056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B9357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45BED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B84F4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BAAAB9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D857DD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538C37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AEC44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68170A" w14:paraId="055EC161" w14:textId="77777777">
        <w:tc>
          <w:tcPr>
            <w:tcW w:w="0" w:type="auto"/>
          </w:tcPr>
          <w:p w14:paraId="54ADC0B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8C751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9327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8170A" w14:paraId="5182D603" w14:textId="77777777">
        <w:tc>
          <w:tcPr>
            <w:tcW w:w="0" w:type="auto"/>
          </w:tcPr>
          <w:p w14:paraId="1F2D46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708FEF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2ABE09" w14:textId="77777777" w:rsidR="00000000" w:rsidRPr="00BE00C7" w:rsidRDefault="00000000" w:rsidP="00BE00C7">
            <w:pPr>
              <w:pStyle w:val="OutcomeDescription"/>
              <w:spacing w:before="120" w:after="120"/>
              <w:rPr>
                <w:rFonts w:cs="Arial"/>
                <w:lang w:eastAsia="en-NZ"/>
              </w:rPr>
            </w:pPr>
          </w:p>
        </w:tc>
        <w:tc>
          <w:tcPr>
            <w:tcW w:w="0" w:type="auto"/>
          </w:tcPr>
          <w:p w14:paraId="45C92F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20FA1C"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Summerset on the Landing Kenepuru utilise as part of their strategy to embed and enact Te Tiriti o Waitangi in all aspects of service delivery. The service recognises Māori mana motuhake, and this is reflected in the Māori health plan. At the time of the audit the service had staff and residents who identified as Māori.</w:t>
            </w:r>
          </w:p>
          <w:p w14:paraId="5627D77E" w14:textId="77777777" w:rsidR="00000000" w:rsidRPr="00BE00C7" w:rsidRDefault="00000000" w:rsidP="00BE00C7">
            <w:pPr>
              <w:pStyle w:val="OutcomeDescription"/>
              <w:spacing w:before="120" w:after="120"/>
              <w:rPr>
                <w:rFonts w:cs="Arial"/>
                <w:lang w:eastAsia="en-NZ"/>
              </w:rPr>
            </w:pPr>
          </w:p>
        </w:tc>
      </w:tr>
      <w:tr w:rsidR="0068170A" w14:paraId="04EE93A5" w14:textId="77777777">
        <w:tc>
          <w:tcPr>
            <w:tcW w:w="0" w:type="auto"/>
          </w:tcPr>
          <w:p w14:paraId="235917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BF0A8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A6A930B" w14:textId="77777777" w:rsidR="00000000" w:rsidRPr="00BE00C7" w:rsidRDefault="00000000" w:rsidP="00BE00C7">
            <w:pPr>
              <w:pStyle w:val="OutcomeDescription"/>
              <w:spacing w:before="120" w:after="120"/>
              <w:rPr>
                <w:rFonts w:cs="Arial"/>
                <w:lang w:eastAsia="en-NZ"/>
              </w:rPr>
            </w:pPr>
          </w:p>
        </w:tc>
        <w:tc>
          <w:tcPr>
            <w:tcW w:w="0" w:type="auto"/>
          </w:tcPr>
          <w:p w14:paraId="7597F4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9BD9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staff who identified as Pasifika. There were no residents who identified as Pasifika. Twelve staff interviewed (five caregivers, four registered nurses [including two clinical nurse leads], chef manager, property manager and business manager) and two managers (village manager, regional quality manager) confirmed that they were informed about Pacific peoples, their worldviews, cultural and spiritual beliefs and were equipped with knowledge on how to support residents who identify as Pasifika </w:t>
            </w:r>
            <w:r w:rsidRPr="00BE00C7">
              <w:rPr>
                <w:rFonts w:cs="Arial"/>
                <w:lang w:eastAsia="en-NZ"/>
              </w:rPr>
              <w:lastRenderedPageBreak/>
              <w:t xml:space="preserve">should they be admitted. </w:t>
            </w:r>
          </w:p>
          <w:p w14:paraId="32E48C7E" w14:textId="77777777" w:rsidR="00000000" w:rsidRPr="00BE00C7" w:rsidRDefault="00000000" w:rsidP="00BE00C7">
            <w:pPr>
              <w:pStyle w:val="OutcomeDescription"/>
              <w:spacing w:before="120" w:after="120"/>
              <w:rPr>
                <w:rFonts w:cs="Arial"/>
                <w:lang w:eastAsia="en-NZ"/>
              </w:rPr>
            </w:pPr>
          </w:p>
        </w:tc>
      </w:tr>
      <w:tr w:rsidR="0068170A" w14:paraId="281A1725" w14:textId="77777777">
        <w:tc>
          <w:tcPr>
            <w:tcW w:w="0" w:type="auto"/>
          </w:tcPr>
          <w:p w14:paraId="4FA2DA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5A793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E33EEB" w14:textId="77777777" w:rsidR="00000000" w:rsidRPr="00BE00C7" w:rsidRDefault="00000000" w:rsidP="00BE00C7">
            <w:pPr>
              <w:pStyle w:val="OutcomeDescription"/>
              <w:spacing w:before="120" w:after="120"/>
              <w:rPr>
                <w:rFonts w:cs="Arial"/>
                <w:lang w:eastAsia="en-NZ"/>
              </w:rPr>
            </w:pPr>
          </w:p>
        </w:tc>
        <w:tc>
          <w:tcPr>
            <w:tcW w:w="0" w:type="auto"/>
          </w:tcPr>
          <w:p w14:paraId="40F1AA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1FC3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village manager and regional quality manager (interviewed) demonstrated how it is also provided within welcome packs in the language most appropriate for the resident to ensure they are fully informed of their rights. Interviews with four family/whānau (three hospital, one dementia) and ten residents (four rest home, six hospital) confirmed they are informed of their rights and their choices are respected.</w:t>
            </w:r>
          </w:p>
          <w:p w14:paraId="679A5E21" w14:textId="77777777" w:rsidR="00000000" w:rsidRPr="00BE00C7" w:rsidRDefault="00000000" w:rsidP="00BE00C7">
            <w:pPr>
              <w:pStyle w:val="OutcomeDescription"/>
              <w:spacing w:before="120" w:after="120"/>
              <w:rPr>
                <w:rFonts w:cs="Arial"/>
                <w:lang w:eastAsia="en-NZ"/>
              </w:rPr>
            </w:pPr>
          </w:p>
        </w:tc>
      </w:tr>
      <w:tr w:rsidR="0068170A" w14:paraId="082FD381" w14:textId="77777777">
        <w:tc>
          <w:tcPr>
            <w:tcW w:w="0" w:type="auto"/>
          </w:tcPr>
          <w:p w14:paraId="0BF6A3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FE2ED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FCC99B9" w14:textId="77777777" w:rsidR="00000000" w:rsidRPr="00BE00C7" w:rsidRDefault="00000000" w:rsidP="00BE00C7">
            <w:pPr>
              <w:pStyle w:val="OutcomeDescription"/>
              <w:spacing w:before="120" w:after="120"/>
              <w:rPr>
                <w:rFonts w:cs="Arial"/>
                <w:lang w:eastAsia="en-NZ"/>
              </w:rPr>
            </w:pPr>
          </w:p>
        </w:tc>
        <w:tc>
          <w:tcPr>
            <w:tcW w:w="0" w:type="auto"/>
          </w:tcPr>
          <w:p w14:paraId="3731FE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FEADAE"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on the Landing Kenepuru policies aim to prevent any form of discrimination and acknowledge the impact of institutional racism on Māori wellbeing. There are established policies and protocols to respect resident’s property, including an established process to manage and protect resident finances. All staff at Summerset on the Landing Kenepuru are aware of professional boundaries, as evidenced in orientation documents. Interview with staff demonstrated an understanding of professional boundaries.</w:t>
            </w:r>
          </w:p>
          <w:p w14:paraId="2C59B2DF" w14:textId="77777777" w:rsidR="00000000" w:rsidRPr="00BE00C7" w:rsidRDefault="00000000" w:rsidP="00BE00C7">
            <w:pPr>
              <w:pStyle w:val="OutcomeDescription"/>
              <w:spacing w:before="120" w:after="120"/>
              <w:rPr>
                <w:rFonts w:cs="Arial"/>
                <w:lang w:eastAsia="en-NZ"/>
              </w:rPr>
            </w:pPr>
          </w:p>
        </w:tc>
      </w:tr>
      <w:tr w:rsidR="0068170A" w14:paraId="223A7E5C" w14:textId="77777777">
        <w:tc>
          <w:tcPr>
            <w:tcW w:w="0" w:type="auto"/>
          </w:tcPr>
          <w:p w14:paraId="2DD1C2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30F0D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5396DBD9" w14:textId="77777777" w:rsidR="00000000" w:rsidRPr="00BE00C7" w:rsidRDefault="00000000" w:rsidP="00BE00C7">
            <w:pPr>
              <w:pStyle w:val="OutcomeDescription"/>
              <w:spacing w:before="120" w:after="120"/>
              <w:rPr>
                <w:rFonts w:cs="Arial"/>
                <w:lang w:eastAsia="en-NZ"/>
              </w:rPr>
            </w:pPr>
          </w:p>
        </w:tc>
        <w:tc>
          <w:tcPr>
            <w:tcW w:w="0" w:type="auto"/>
          </w:tcPr>
          <w:p w14:paraId="5D7CF2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82C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and for residents in the memory care unit. All documentation regarding EPOA and activation is on file. </w:t>
            </w:r>
          </w:p>
          <w:p w14:paraId="3D3E8329" w14:textId="77777777" w:rsidR="00000000" w:rsidRPr="00BE00C7" w:rsidRDefault="00000000" w:rsidP="00BE00C7">
            <w:pPr>
              <w:pStyle w:val="OutcomeDescription"/>
              <w:spacing w:before="120" w:after="120"/>
              <w:rPr>
                <w:rFonts w:cs="Arial"/>
                <w:lang w:eastAsia="en-NZ"/>
              </w:rPr>
            </w:pPr>
          </w:p>
        </w:tc>
      </w:tr>
      <w:tr w:rsidR="0068170A" w14:paraId="503DF1EF" w14:textId="77777777">
        <w:tc>
          <w:tcPr>
            <w:tcW w:w="0" w:type="auto"/>
          </w:tcPr>
          <w:p w14:paraId="390E47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3D2DB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3F4901" w14:textId="77777777" w:rsidR="00000000" w:rsidRPr="00BE00C7" w:rsidRDefault="00000000" w:rsidP="00BE00C7">
            <w:pPr>
              <w:pStyle w:val="OutcomeDescription"/>
              <w:spacing w:before="120" w:after="120"/>
              <w:rPr>
                <w:rFonts w:cs="Arial"/>
                <w:lang w:eastAsia="en-NZ"/>
              </w:rPr>
            </w:pPr>
          </w:p>
        </w:tc>
        <w:tc>
          <w:tcPr>
            <w:tcW w:w="0" w:type="auto"/>
          </w:tcPr>
          <w:p w14:paraId="45E0B6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B519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w:t>
            </w:r>
          </w:p>
          <w:p w14:paraId="369917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have been 21 internal complaints received since last audit in December 2023: four in 2025 year to date and seventeen in 2024. Documentation including follow-up letters and resolution demonstrates that complaints are being managed in accordance with guidelines set by the Health and Disability Commissioner. </w:t>
            </w:r>
          </w:p>
          <w:p w14:paraId="2A1F2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external complaints received from the Health and Disability Commissioner that remain open: June 2024, July 2024, August 2024 and September 2024. Care has been the main theme related to both internal and external complaints received by the service. Summerset has a current team, that includes General Operations Manager, Regional quality manager, Head of Clinical Delivery, Village Manager, Care Centre Manager, General Manager clinical and human resources that have been introspectively looking at risk (including complaints) and service delivery at Summerset on the Landing Kenepuru with strategies being implemented to address identified issues. </w:t>
            </w:r>
          </w:p>
          <w:p w14:paraId="07A9CEF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 members confirmed that they were provided with information on the complaints process and remarked that any concerns or issues they had, were addressed. Information about the support resources for Māori is available to staff to assist Māori in the complaints process. Interpreters contact details are available. The village manager and regional quality manager acknowledged their understanding that for Māori, there is a preference for face-to-face communication and to include whānau participation.</w:t>
            </w:r>
          </w:p>
          <w:p w14:paraId="1874B484" w14:textId="77777777" w:rsidR="00000000" w:rsidRPr="00BE00C7" w:rsidRDefault="00000000" w:rsidP="00BE00C7">
            <w:pPr>
              <w:pStyle w:val="OutcomeDescription"/>
              <w:spacing w:before="120" w:after="120"/>
              <w:rPr>
                <w:rFonts w:cs="Arial"/>
                <w:lang w:eastAsia="en-NZ"/>
              </w:rPr>
            </w:pPr>
          </w:p>
        </w:tc>
      </w:tr>
      <w:tr w:rsidR="0068170A" w14:paraId="76251508" w14:textId="77777777">
        <w:tc>
          <w:tcPr>
            <w:tcW w:w="0" w:type="auto"/>
          </w:tcPr>
          <w:p w14:paraId="737750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35F5B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C3BEAD5" w14:textId="77777777" w:rsidR="00000000" w:rsidRPr="00BE00C7" w:rsidRDefault="00000000" w:rsidP="00BE00C7">
            <w:pPr>
              <w:pStyle w:val="OutcomeDescription"/>
              <w:spacing w:before="120" w:after="120"/>
              <w:rPr>
                <w:rFonts w:cs="Arial"/>
                <w:lang w:eastAsia="en-NZ"/>
              </w:rPr>
            </w:pPr>
          </w:p>
        </w:tc>
        <w:tc>
          <w:tcPr>
            <w:tcW w:w="0" w:type="auto"/>
          </w:tcPr>
          <w:p w14:paraId="61ACC5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2723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Landing Kenepuru is part of the Summerset organisation and is certified to provide dementia, rest home and hospital (medical and geriatric) level care for up to 116 residents. The service has 22 dementia beds, 75 dual purpose beds (43 rooms in the care centre and 29 serviced apartments) and 19 serviced apartments on the ground floor certified for rest home level of care beds. There are five double rooms reserved for couples. </w:t>
            </w:r>
          </w:p>
          <w:p w14:paraId="4492A0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87 residents; 32 rest home level of care including one resident on respite; 40 hospital level of care including one resident on respite; and 15 residents at dementia level of care. All the remaining residents were under the age-related residential care (ARRC) contract. </w:t>
            </w:r>
          </w:p>
          <w:p w14:paraId="48164B70" w14:textId="5C863EE3"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the management team since the last audit. The overall management is provided by a village manager (non-clinical) who has been in the role since August 2023. They have years of experience in business management and senior executive roles in New Zealand and Australia. There was a relieving village manager in place from January to April 2025. Since last audit there was an acting care centre manager from January to November 2024; a permanent care centre manager was appointed and worked from August 2024 to May 2025; at the time of the audit the regional quality manager was providing clinical oversight and support while awaiting the start of a new care centre manager in June 2025 (Summerset internal transfer). Due to the changes in </w:t>
            </w:r>
            <w:r w:rsidR="00F172E7">
              <w:rPr>
                <w:rFonts w:cs="Arial"/>
                <w:lang w:eastAsia="en-NZ"/>
              </w:rPr>
              <w:t xml:space="preserve">the </w:t>
            </w:r>
            <w:r w:rsidRPr="00BE00C7">
              <w:rPr>
                <w:rFonts w:cs="Arial"/>
                <w:lang w:eastAsia="en-NZ"/>
              </w:rPr>
              <w:t xml:space="preserve">senior team Summerset has a team that includes the general operations manager, regional quality manager, head of clinical delivery, village manager, care centre manager, general manager clinical services and human resources who have been monitoring and introspectively looking at risk and service delivery at Summerset on the Landing Kenepuru. Strategies are being implemented to address identified issues. The core group has been meeting fortnightly with minutes (sighted) reflecting a robust process of review of the services at Summerset on the Landing Kenepuru and sign off of actions when completed to ensure service continuity. There is a team of unit coordinators, registered nurses, caregivers and experienced staff supporting the management team. </w:t>
            </w:r>
          </w:p>
          <w:p w14:paraId="1A58D0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for Summerset is the national clinical review committee who meet monthly and chaired by Summerset’s general manager (GM) of clinical services. There is also Māori representation on the group and there </w:t>
            </w:r>
            <w:r w:rsidRPr="00BE00C7">
              <w:rPr>
                <w:rFonts w:cs="Arial"/>
                <w:lang w:eastAsia="en-NZ"/>
              </w:rPr>
              <w:lastRenderedPageBreak/>
              <w:t>are clearly documented terms of reference. The GM clinical services (chair of the group) reports to the chief operating officer. The GM clinical services works with the chief operating officer and Summerset’s chief executive officer to ensure the necessary resources, systems and processes are in place that support effective governance. These include operations, care/service standards and outcomes, mitigation of risks and a focus on continuous quality improvement.</w:t>
            </w:r>
          </w:p>
          <w:p w14:paraId="5C4A06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on the Landing Kenepuru has a site-specific business plan that includes goals which relate to clinical effectiveness, risk management and financial compliance. The village manager and care centre manager complete quarterly progress reports toward these goals. The 2024 goals have been evaluated, and the village is in the process of implementing goals for 2025 (sighted). </w:t>
            </w:r>
          </w:p>
          <w:p w14:paraId="1EF439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management.</w:t>
            </w:r>
          </w:p>
          <w:p w14:paraId="1A4D9D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has attended training in excess of eight hours over the past year related to managing an aged care facility and appropriate to their role. </w:t>
            </w:r>
          </w:p>
          <w:p w14:paraId="2EA474E4" w14:textId="77777777" w:rsidR="00000000" w:rsidRPr="00BE00C7" w:rsidRDefault="00000000" w:rsidP="00BE00C7">
            <w:pPr>
              <w:pStyle w:val="OutcomeDescription"/>
              <w:spacing w:before="120" w:after="120"/>
              <w:rPr>
                <w:rFonts w:cs="Arial"/>
                <w:lang w:eastAsia="en-NZ"/>
              </w:rPr>
            </w:pPr>
          </w:p>
        </w:tc>
      </w:tr>
      <w:tr w:rsidR="0068170A" w14:paraId="7C54DD80" w14:textId="77777777">
        <w:tc>
          <w:tcPr>
            <w:tcW w:w="0" w:type="auto"/>
          </w:tcPr>
          <w:p w14:paraId="07A4DB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A8C5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58389D0" w14:textId="77777777" w:rsidR="00000000" w:rsidRPr="00BE00C7" w:rsidRDefault="00000000" w:rsidP="00BE00C7">
            <w:pPr>
              <w:pStyle w:val="OutcomeDescription"/>
              <w:spacing w:before="120" w:after="120"/>
              <w:rPr>
                <w:rFonts w:cs="Arial"/>
                <w:lang w:eastAsia="en-NZ"/>
              </w:rPr>
            </w:pPr>
          </w:p>
        </w:tc>
        <w:tc>
          <w:tcPr>
            <w:tcW w:w="0" w:type="auto"/>
          </w:tcPr>
          <w:p w14:paraId="324AE4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E31B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Landing Kenepuru is implementing a quality and risk management programme. The quality and risk management systems include performance monitoring through internal audits and through the collection of clinical indicator data. Monthly quality improvement meetings, registered nurses and staff meetings provide an avenue for discussions in relation to </w:t>
            </w:r>
            <w:r w:rsidRPr="00BE00C7">
              <w:rPr>
                <w:rFonts w:cs="Arial"/>
                <w:lang w:eastAsia="en-NZ"/>
              </w:rPr>
              <w:lastRenderedPageBreak/>
              <w:t xml:space="preserve">(but not limited to); quality goals (key priorities), quality data, health and safety, infection control/pandemic strategies, complaints received (if any), cultural compliance, staffing, and education. Internal audits, meetings, and collation of data were documented as taking place; however, corrective actions were not always documented, implemented or signed off. Quality data and trends in data are posted on a noticeboard in staff areas. </w:t>
            </w:r>
          </w:p>
          <w:p w14:paraId="5419487A" w14:textId="3F207451" w:rsidR="00000000" w:rsidRPr="00BE00C7" w:rsidRDefault="00000000" w:rsidP="00BE00C7">
            <w:pPr>
              <w:pStyle w:val="OutcomeDescription"/>
              <w:spacing w:before="120" w:after="120"/>
              <w:rPr>
                <w:rFonts w:cs="Arial"/>
                <w:lang w:eastAsia="en-NZ"/>
              </w:rPr>
            </w:pPr>
            <w:r w:rsidRPr="00BE00C7">
              <w:rPr>
                <w:rFonts w:cs="Arial"/>
                <w:lang w:eastAsia="en-NZ"/>
              </w:rPr>
              <w:t>The resident and family/whānau satisfaction survey was completed in April 2025 for Summerset on the Landing Kenepuru and evidenced an overall satisfaction of 79%</w:t>
            </w:r>
            <w:r w:rsidR="00F172E7">
              <w:rPr>
                <w:rFonts w:cs="Arial"/>
                <w:lang w:eastAsia="en-NZ"/>
              </w:rPr>
              <w:t xml:space="preserve">, </w:t>
            </w:r>
            <w:r w:rsidRPr="00BE00C7">
              <w:rPr>
                <w:rFonts w:cs="Arial"/>
                <w:lang w:eastAsia="en-NZ"/>
              </w:rPr>
              <w:t xml:space="preserve">an increase from 65% with the previous audit. Results of the satisfaction survey were on the agenda for discussion at the next resident and staff meeting. A health and safety system is in place. There is a health and safety committee that meets monthly. Hazard identification forms are completed electronically, and an up-to-date hazard register was sighted. There is a process of ongoing review of hazards through the electronic system guided by the national health and safety team. Health and safety policies are implemented and monitored by the health and safety committee. There are regular meetings with the national health and safety manager. Staff incident, hazards and risk information is collated at care centre level, reported to national level and a consolidated report and analysis of all care centres are then provided to the governance body. Electronic reports are completed for each incident/accident and immediate action is documented; however, not all incidents or accident forms reviewed had been fully completed and closed off as evidenced in the twelve accident/incident forms reviewed. Results are discussed in the health and safety, quality improvement and staff meetings and at handover. Incident and accident data is collated monthly and analysed. </w:t>
            </w:r>
          </w:p>
          <w:p w14:paraId="68FE4EA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regional quality manager evidenced awareness of their requirement to notify relevant authorities in relation to essential notifications. There have been section 31 and Severity Assessment Code (SAC) notifications to Health Quality and Safety Commission (HQSC) reported. These include (but not limited to) reporting related to power outage, change in management, police involvement, pressure injury grade three and above, medication and health and safety risk to resident. There have been two outbreaks since the previous audit. All the outbreaks were well managed and reported appropriately.</w:t>
            </w:r>
          </w:p>
          <w:p w14:paraId="7F1C50CE" w14:textId="77777777" w:rsidR="00000000" w:rsidRPr="00BE00C7" w:rsidRDefault="00000000" w:rsidP="00BE00C7">
            <w:pPr>
              <w:pStyle w:val="OutcomeDescription"/>
              <w:spacing w:before="120" w:after="120"/>
              <w:rPr>
                <w:rFonts w:cs="Arial"/>
                <w:lang w:eastAsia="en-NZ"/>
              </w:rPr>
            </w:pPr>
          </w:p>
        </w:tc>
      </w:tr>
      <w:tr w:rsidR="0068170A" w14:paraId="75992AC5" w14:textId="77777777">
        <w:tc>
          <w:tcPr>
            <w:tcW w:w="0" w:type="auto"/>
          </w:tcPr>
          <w:p w14:paraId="5EC282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71AB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65BB11D" w14:textId="77777777" w:rsidR="00000000" w:rsidRPr="00BE00C7" w:rsidRDefault="00000000" w:rsidP="00BE00C7">
            <w:pPr>
              <w:pStyle w:val="OutcomeDescription"/>
              <w:spacing w:before="120" w:after="120"/>
              <w:rPr>
                <w:rFonts w:cs="Arial"/>
                <w:lang w:eastAsia="en-NZ"/>
              </w:rPr>
            </w:pPr>
          </w:p>
        </w:tc>
        <w:tc>
          <w:tcPr>
            <w:tcW w:w="0" w:type="auto"/>
          </w:tcPr>
          <w:p w14:paraId="06A6599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6C89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and outbreak management. The business manager interviewed confirmed staff needs and shortages are reported to the village manager and national senior team. Review of the previous two-week roster does not currently provide sufficient and appropriate coverage for the effective delivery of care and support. </w:t>
            </w:r>
          </w:p>
          <w:p w14:paraId="4897F6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regional quality manager (temporarily providing clinical oversight) work full time Monday to Friday. The three clinical nurse leads roster ensure a seven-day cover for the service. The service aims to ensure that any absences and sick leave are covered through extending working hours by mutual agreement with employees, use of the casual pool of staff and agency; however, this has not been the case in the rosters reviewed. Residents interviewed confirmed that there is use of agency by the service and their care requirements are attended to in a timely manner. The Summerset Nursing Care Service (NCS) team provide clinical on call cover after hours and on the weekends for the team with escalation to regional quality manager as required. The village manager is on call for any operational concerns. </w:t>
            </w:r>
          </w:p>
          <w:p w14:paraId="08D2D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Staff complete electronic cultural awareness training at orientation and annually. External training opportunities for care staff include training through Health New Zealand – Te Whatu Ora and hospice. Review of the training records since last audit demonstrates that not all staff have completed the required training. Summerset on the Landing Kenepuru supports all employees to transition through the New Zealand Qualification Authority (NZQA) Careerforce Certificate for Health and Wellbeing. Of the 49 caregivers employed, 17 have achieved a level three NZQA qualification or higher. There is a national learning and development team that support staff with online training resources. </w:t>
            </w:r>
          </w:p>
          <w:p w14:paraId="1AD9EA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professional development policy is being implemented. All staff are required to complete competency assessments as part of their orientation and annually. Registered nurses’ complete specific competencies that include restraint, medication administration, wound care, syringe driver and interRAI assessment competency. Eight of fourteen registered nurses (including three clinical nurse leads) are interRAI trained. All registered nurses are encouraged to attend in-service training and complete additional training, </w:t>
            </w:r>
            <w:r w:rsidRPr="00BE00C7">
              <w:rPr>
                <w:rFonts w:cs="Arial"/>
                <w:lang w:eastAsia="en-NZ"/>
              </w:rPr>
              <w:lastRenderedPageBreak/>
              <w:t>including critical thinking; infection prevention and control, including Covid-19 preparedness and identifying and assessing the unwell resident. All caregivers are required to complete annual competencies, including (but not limited to) restraint, moving and handling, culture, and handwashing. These have been completed, and a record of completion is maintained on an electronic human resources system.</w:t>
            </w:r>
          </w:p>
          <w:p w14:paraId="34F6A809" w14:textId="77777777" w:rsidR="00000000" w:rsidRPr="00BE00C7" w:rsidRDefault="00000000" w:rsidP="00BE00C7">
            <w:pPr>
              <w:pStyle w:val="OutcomeDescription"/>
              <w:spacing w:before="120" w:after="120"/>
              <w:rPr>
                <w:rFonts w:cs="Arial"/>
                <w:lang w:eastAsia="en-NZ"/>
              </w:rPr>
            </w:pPr>
          </w:p>
        </w:tc>
      </w:tr>
      <w:tr w:rsidR="0068170A" w14:paraId="5EE8E11B" w14:textId="77777777">
        <w:tc>
          <w:tcPr>
            <w:tcW w:w="0" w:type="auto"/>
          </w:tcPr>
          <w:p w14:paraId="100ACF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9B575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170F6F2" w14:textId="77777777" w:rsidR="00000000" w:rsidRPr="00BE00C7" w:rsidRDefault="00000000" w:rsidP="00BE00C7">
            <w:pPr>
              <w:pStyle w:val="OutcomeDescription"/>
              <w:spacing w:before="120" w:after="120"/>
              <w:rPr>
                <w:rFonts w:cs="Arial"/>
                <w:lang w:eastAsia="en-NZ"/>
              </w:rPr>
            </w:pPr>
          </w:p>
        </w:tc>
        <w:tc>
          <w:tcPr>
            <w:tcW w:w="0" w:type="auto"/>
          </w:tcPr>
          <w:p w14:paraId="35BE6E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934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staff files (one clinical nurse lead, one registered nurse, three caregivers, one chef manager and one property manager)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5DB0EC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caregivers to provide a culturally safe environment for Māori. All staff who have been employed for a year or more having a current performance appraisal on file.</w:t>
            </w:r>
          </w:p>
          <w:p w14:paraId="67666977" w14:textId="77777777" w:rsidR="00000000" w:rsidRPr="00BE00C7" w:rsidRDefault="00000000" w:rsidP="00BE00C7">
            <w:pPr>
              <w:pStyle w:val="OutcomeDescription"/>
              <w:spacing w:before="120" w:after="120"/>
              <w:rPr>
                <w:rFonts w:cs="Arial"/>
                <w:lang w:eastAsia="en-NZ"/>
              </w:rPr>
            </w:pPr>
          </w:p>
        </w:tc>
      </w:tr>
      <w:tr w:rsidR="0068170A" w14:paraId="4B45918F" w14:textId="77777777">
        <w:tc>
          <w:tcPr>
            <w:tcW w:w="0" w:type="auto"/>
          </w:tcPr>
          <w:p w14:paraId="2710B1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67E51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71BF33B" w14:textId="77777777" w:rsidR="00000000" w:rsidRPr="00BE00C7" w:rsidRDefault="00000000" w:rsidP="00BE00C7">
            <w:pPr>
              <w:pStyle w:val="OutcomeDescription"/>
              <w:spacing w:before="120" w:after="120"/>
              <w:rPr>
                <w:rFonts w:cs="Arial"/>
                <w:lang w:eastAsia="en-NZ"/>
              </w:rPr>
            </w:pPr>
          </w:p>
        </w:tc>
        <w:tc>
          <w:tcPr>
            <w:tcW w:w="0" w:type="auto"/>
          </w:tcPr>
          <w:p w14:paraId="064F11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262F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two rest home, two hospital (including one respite), and two memory care. The registered nurses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4A55D8C0" w14:textId="460DAACC"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care plans were completed for residents, detailing needs, and preferences. The individualised long-term care plans (LTCPs) are developed with information gathered during the initial assessments and the interRAI assessment. In five of the six files reviewed the LTCP and interRAI assessments had been completed within three weeks of the residents’ admission to the facility. Overall, documented interventions and early warning </w:t>
            </w:r>
            <w:r w:rsidRPr="00BE00C7">
              <w:rPr>
                <w:rFonts w:cs="Arial"/>
                <w:lang w:eastAsia="en-NZ"/>
              </w:rPr>
              <w:lastRenderedPageBreak/>
              <w:t>signs meet the residents’ assessed needs were recorded in the LTCP. The activity assessments include a cultural assessment which gathers information about cultural needs, values, and beliefs. Information from these assessments is used to develop the resident’s individual activity care plan</w:t>
            </w:r>
            <w:r w:rsidR="00F172E7">
              <w:rPr>
                <w:rFonts w:cs="Arial"/>
                <w:lang w:eastAsia="en-NZ"/>
              </w:rPr>
              <w:t>. P</w:t>
            </w:r>
            <w:r w:rsidRPr="00BE00C7">
              <w:rPr>
                <w:rFonts w:cs="Arial"/>
                <w:lang w:eastAsia="en-NZ"/>
              </w:rPr>
              <w:t xml:space="preserve">lans in Memory Care do not always include individual diversional strategies across the 24-hour period. The previous shortfall (3.2.3) remains ongoing. </w:t>
            </w:r>
          </w:p>
          <w:p w14:paraId="5A6913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the degree of achievement towards meeting desired goals and outcomes; however, these are not always completed as required. Residents interviewed confirmed assessments are completed according to their needs and in the privacy of their bedrooms.</w:t>
            </w:r>
          </w:p>
          <w:p w14:paraId="0C19D4C6" w14:textId="1C2B0D70"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A physiotherapist visits the facility weekly and on request, to review residents referred by the registered nurses. There is access to a continence specialist as required. A podiatrist visits regularly and a dietitian, speech language therapist, mental health services for older people, palliative care nurse and medical specialists are available as required through Health New Zealand.</w:t>
            </w:r>
          </w:p>
          <w:p w14:paraId="560463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either a nurse practitioner (NP) or general practitioner (GP) within the required timeframe following admission. Residents have timely ongoing reviews by the NP/ GP and when their health status changes. The GP/NP visits weekly and as required. Medical documentation and records reviewed were current. The GP interviewed stated that there was good communication with the service and that they were informed of medical concerns in a timely manner. The GP/NP is also available after hours for the facility. </w:t>
            </w:r>
          </w:p>
          <w:p w14:paraId="016C1E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promptly and reviewed at appropriate intervals. Photos were taken when this </w:t>
            </w:r>
            <w:r w:rsidRPr="00BE00C7">
              <w:rPr>
                <w:rFonts w:cs="Arial"/>
                <w:lang w:eastAsia="en-NZ"/>
              </w:rPr>
              <w:lastRenderedPageBreak/>
              <w:t xml:space="preserve">was required; however, not all wound assessments have been fully completed as per policy. Where wounds required additional specialist input, this was initiated, and the wound care nurse specialist was consulted. At the time of the audit there were twenty-two active wounds, including three chronic wounds and the remaining skin tears. There were no pressure injuries. </w:t>
            </w:r>
          </w:p>
          <w:p w14:paraId="2BCF35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Neurological observations are recorded following un-witnessed falls. Short-term care plans are developed for acute problems, for example infections, wounds, and weight loss; however, short term care plans have always not been reviewed or interventions transferred to the long- term care plan. </w:t>
            </w:r>
          </w:p>
          <w:p w14:paraId="473D0D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current. A range of monitoring charts are available for the care staff to utilise. These include (but not limited to) monthly blood pressure; weight monitoring; behaviour; bowel records; blood glucose levels, food intake charts and fluid balance monitoring. Monitoring charts have not always been completed as per care plan instructions.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568BC65C" w14:textId="77777777" w:rsidR="00000000" w:rsidRPr="00BE00C7" w:rsidRDefault="00000000" w:rsidP="007666E7">
            <w:pPr>
              <w:pStyle w:val="OutcomeDescription"/>
              <w:spacing w:before="120" w:after="120"/>
              <w:rPr>
                <w:rFonts w:cs="Arial"/>
                <w:lang w:eastAsia="en-NZ"/>
              </w:rPr>
            </w:pPr>
          </w:p>
        </w:tc>
      </w:tr>
      <w:tr w:rsidR="0068170A" w14:paraId="7E5EB0C4" w14:textId="77777777">
        <w:tc>
          <w:tcPr>
            <w:tcW w:w="0" w:type="auto"/>
          </w:tcPr>
          <w:p w14:paraId="46EE08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4C8B9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6FAAB9" w14:textId="77777777" w:rsidR="00000000" w:rsidRPr="00BE00C7" w:rsidRDefault="00000000" w:rsidP="00BE00C7">
            <w:pPr>
              <w:pStyle w:val="OutcomeDescription"/>
              <w:spacing w:before="120" w:after="120"/>
              <w:rPr>
                <w:rFonts w:cs="Arial"/>
                <w:lang w:eastAsia="en-NZ"/>
              </w:rPr>
            </w:pPr>
          </w:p>
        </w:tc>
        <w:tc>
          <w:tcPr>
            <w:tcW w:w="0" w:type="auto"/>
          </w:tcPr>
          <w:p w14:paraId="3DF538E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393AF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have been assessed for competency on an annual basis. Education around safe medication administration has been provided as part of the competency process. </w:t>
            </w:r>
          </w:p>
          <w:p w14:paraId="53C6A8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however, insulin was observed to be given by one staff member without a second-person check. The registered nurses interviewed could describe their role regarding medication management. All medications are checked on delivery against the medication chart and any discrepancies are fed back to the supplying pharmacy; however, the controlled drug register stock take had not been completed weekly as required.</w:t>
            </w:r>
          </w:p>
          <w:p w14:paraId="07377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The medication rooms and medication fridge temperatures are monitored daily and within acceptable standards. Eyedrops have been dated on opening. </w:t>
            </w:r>
          </w:p>
          <w:p w14:paraId="761A3EC0" w14:textId="2E6C558B"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Twelve electronic medication charts were reviewed. The medication charts reviewed identified that the GP/NP had reviewed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however there were instances where the effectiveness was recorded several hours post administration. There were no residents self-administering their medication. No vaccines are kept on site and no standing orders are used. </w:t>
            </w:r>
          </w:p>
          <w:p w14:paraId="67E63C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06A3DC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those residents, including Māori residents and their whānau, are supported to understand their medications. The clinical nurse lead and registered nurses reported that when requested by Māori residents or family/whānau, appropriate support for Māori treatment and advice will be provided.</w:t>
            </w:r>
          </w:p>
          <w:p w14:paraId="574EA00B" w14:textId="77777777" w:rsidR="00000000" w:rsidRPr="00BE00C7" w:rsidRDefault="00000000" w:rsidP="00BE00C7">
            <w:pPr>
              <w:pStyle w:val="OutcomeDescription"/>
              <w:spacing w:before="120" w:after="120"/>
              <w:rPr>
                <w:rFonts w:cs="Arial"/>
                <w:lang w:eastAsia="en-NZ"/>
              </w:rPr>
            </w:pPr>
          </w:p>
        </w:tc>
      </w:tr>
      <w:tr w:rsidR="0068170A" w14:paraId="3BD2B852" w14:textId="77777777">
        <w:tc>
          <w:tcPr>
            <w:tcW w:w="0" w:type="auto"/>
          </w:tcPr>
          <w:p w14:paraId="11B049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2F485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A6589A" w14:textId="77777777" w:rsidR="00000000" w:rsidRPr="00BE00C7" w:rsidRDefault="00000000" w:rsidP="00BE00C7">
            <w:pPr>
              <w:pStyle w:val="OutcomeDescription"/>
              <w:spacing w:before="120" w:after="120"/>
              <w:rPr>
                <w:rFonts w:cs="Arial"/>
                <w:lang w:eastAsia="en-NZ"/>
              </w:rPr>
            </w:pPr>
          </w:p>
        </w:tc>
        <w:tc>
          <w:tcPr>
            <w:tcW w:w="0" w:type="auto"/>
          </w:tcPr>
          <w:p w14:paraId="2DA207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1226FA"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included in the menu. The kitchen receives resident dietary forms and is notified of any dietary changes for residents. Food preferences and cultural preferences are encompassed into the menu. Dislikes and special dietary requirements are accommodated, including food allergies. The chef manager interviewed reported they accommodate residents’ requests, and the kitchen staff reported that the service prepares food that is culturally specific to different cultures.</w:t>
            </w:r>
          </w:p>
          <w:p w14:paraId="1F6E27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21 July 2025.</w:t>
            </w:r>
          </w:p>
          <w:p w14:paraId="5FDCFC95" w14:textId="77777777" w:rsidR="00000000" w:rsidRPr="00BE00C7" w:rsidRDefault="00000000" w:rsidP="00BE00C7">
            <w:pPr>
              <w:pStyle w:val="OutcomeDescription"/>
              <w:spacing w:before="120" w:after="120"/>
              <w:rPr>
                <w:rFonts w:cs="Arial"/>
                <w:lang w:eastAsia="en-NZ"/>
              </w:rPr>
            </w:pPr>
          </w:p>
        </w:tc>
      </w:tr>
      <w:tr w:rsidR="0068170A" w14:paraId="10DCBADA" w14:textId="77777777">
        <w:tc>
          <w:tcPr>
            <w:tcW w:w="0" w:type="auto"/>
          </w:tcPr>
          <w:p w14:paraId="1DF5F3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F8F8E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16DB8FC" w14:textId="77777777" w:rsidR="00000000" w:rsidRPr="00BE00C7" w:rsidRDefault="00000000" w:rsidP="00BE00C7">
            <w:pPr>
              <w:pStyle w:val="OutcomeDescription"/>
              <w:spacing w:before="120" w:after="120"/>
              <w:rPr>
                <w:rFonts w:cs="Arial"/>
                <w:lang w:eastAsia="en-NZ"/>
              </w:rPr>
            </w:pPr>
          </w:p>
        </w:tc>
        <w:tc>
          <w:tcPr>
            <w:tcW w:w="0" w:type="auto"/>
          </w:tcPr>
          <w:p w14:paraId="295E68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D03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w:t>
            </w:r>
            <w:r w:rsidRPr="00BE00C7">
              <w:rPr>
                <w:rFonts w:cs="Arial"/>
                <w:lang w:eastAsia="en-NZ"/>
              </w:rPr>
              <w:lastRenderedPageBreak/>
              <w:t>to ensure continuity of care. The service uses a standardised transfer form that includes the resident`s profile, family/whānau contact numbers and medication chart.</w:t>
            </w:r>
          </w:p>
          <w:p w14:paraId="411D01D9" w14:textId="77777777" w:rsidR="00000000" w:rsidRPr="00BE00C7" w:rsidRDefault="00000000" w:rsidP="00BE00C7">
            <w:pPr>
              <w:pStyle w:val="OutcomeDescription"/>
              <w:spacing w:before="120" w:after="120"/>
              <w:rPr>
                <w:rFonts w:cs="Arial"/>
                <w:lang w:eastAsia="en-NZ"/>
              </w:rPr>
            </w:pPr>
          </w:p>
        </w:tc>
      </w:tr>
      <w:tr w:rsidR="0068170A" w14:paraId="0F8AE71A" w14:textId="77777777">
        <w:tc>
          <w:tcPr>
            <w:tcW w:w="0" w:type="auto"/>
          </w:tcPr>
          <w:p w14:paraId="7EF8E8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DFF56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797D3E1" w14:textId="77777777" w:rsidR="00000000" w:rsidRPr="00BE00C7" w:rsidRDefault="00000000" w:rsidP="00BE00C7">
            <w:pPr>
              <w:pStyle w:val="OutcomeDescription"/>
              <w:spacing w:before="120" w:after="120"/>
              <w:rPr>
                <w:rFonts w:cs="Arial"/>
                <w:lang w:eastAsia="en-NZ"/>
              </w:rPr>
            </w:pPr>
          </w:p>
        </w:tc>
        <w:tc>
          <w:tcPr>
            <w:tcW w:w="0" w:type="auto"/>
          </w:tcPr>
          <w:p w14:paraId="56A838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97F7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Summerset on the Landing Kenepuru and comply with legislation relevant to the services being provided. The environment is inclusive of people’s cultures and supports cultural practices. The building warrant of fitness is current, expiring on 19 September 2025. Any maintenance requests are entered into the electronic maintenance system. This is checked daily and signed off when repairs have been completed. Equipment failure or issues are also recorded in the electronic system. There 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w:t>
            </w:r>
          </w:p>
          <w:p w14:paraId="76ED7ABF" w14:textId="77777777" w:rsidR="00000000" w:rsidRPr="00BE00C7" w:rsidRDefault="00000000" w:rsidP="00BE00C7">
            <w:pPr>
              <w:pStyle w:val="OutcomeDescription"/>
              <w:spacing w:before="120" w:after="120"/>
              <w:rPr>
                <w:rFonts w:cs="Arial"/>
                <w:lang w:eastAsia="en-NZ"/>
              </w:rPr>
            </w:pPr>
          </w:p>
        </w:tc>
      </w:tr>
      <w:tr w:rsidR="0068170A" w14:paraId="29C55A22" w14:textId="77777777">
        <w:tc>
          <w:tcPr>
            <w:tcW w:w="0" w:type="auto"/>
          </w:tcPr>
          <w:p w14:paraId="5ED091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272AE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w:t>
            </w:r>
            <w:r w:rsidRPr="00BE00C7">
              <w:rPr>
                <w:rFonts w:cs="Arial"/>
                <w:lang w:eastAsia="en-NZ"/>
              </w:rPr>
              <w:lastRenderedPageBreak/>
              <w:t>and scope of our services.</w:t>
            </w:r>
          </w:p>
          <w:p w14:paraId="04A1790F" w14:textId="77777777" w:rsidR="00000000" w:rsidRPr="00BE00C7" w:rsidRDefault="00000000" w:rsidP="00BE00C7">
            <w:pPr>
              <w:pStyle w:val="OutcomeDescription"/>
              <w:spacing w:before="120" w:after="120"/>
              <w:rPr>
                <w:rFonts w:cs="Arial"/>
                <w:lang w:eastAsia="en-NZ"/>
              </w:rPr>
            </w:pPr>
          </w:p>
        </w:tc>
        <w:tc>
          <w:tcPr>
            <w:tcW w:w="0" w:type="auto"/>
          </w:tcPr>
          <w:p w14:paraId="41ADD4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BED9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improvement who acts as the national infection prevention and control lead for the Summerset Group. The infection prevention and control programme links to the overarching quality programme. The infection control programme is reviewed, evaluated, and reported on annually (sighted).</w:t>
            </w:r>
          </w:p>
          <w:p w14:paraId="68A199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however, not all staff have completed the </w:t>
            </w:r>
            <w:r w:rsidRPr="00BE00C7">
              <w:rPr>
                <w:rFonts w:cs="Arial"/>
                <w:lang w:eastAsia="en-NZ"/>
              </w:rPr>
              <w:lastRenderedPageBreak/>
              <w:t xml:space="preserve">required training (link 2.3.4). Staff education includes (but is not limited to): standard precautions; isolation procedures; hand hygiene competencies; and donning and doffing personal protective equipment (PPE). </w:t>
            </w:r>
          </w:p>
          <w:p w14:paraId="1A8CE1F6" w14:textId="77777777" w:rsidR="00000000" w:rsidRPr="00BE00C7" w:rsidRDefault="00000000" w:rsidP="00BE00C7">
            <w:pPr>
              <w:pStyle w:val="OutcomeDescription"/>
              <w:spacing w:before="120" w:after="120"/>
              <w:rPr>
                <w:rFonts w:cs="Arial"/>
                <w:lang w:eastAsia="en-NZ"/>
              </w:rPr>
            </w:pPr>
          </w:p>
        </w:tc>
      </w:tr>
      <w:tr w:rsidR="0068170A" w14:paraId="006A301E" w14:textId="77777777">
        <w:tc>
          <w:tcPr>
            <w:tcW w:w="0" w:type="auto"/>
          </w:tcPr>
          <w:p w14:paraId="131F93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D7AF9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C3E213" w14:textId="77777777" w:rsidR="00000000" w:rsidRPr="00BE00C7" w:rsidRDefault="00000000" w:rsidP="00BE00C7">
            <w:pPr>
              <w:pStyle w:val="OutcomeDescription"/>
              <w:spacing w:before="120" w:after="120"/>
              <w:rPr>
                <w:rFonts w:cs="Arial"/>
                <w:lang w:eastAsia="en-NZ"/>
              </w:rPr>
            </w:pPr>
          </w:p>
        </w:tc>
        <w:tc>
          <w:tcPr>
            <w:tcW w:w="0" w:type="auto"/>
          </w:tcPr>
          <w:p w14:paraId="42C4BC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282A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Prevention and Control policies. Monthly infection data is collected for all infections based on signs, symptoms, and definition of infection. Infections are entered into the register on the electronic database; however, these have not always been closed off when completed (link 2.2.5). Surveillance of all infections (including organisms) is collated onto a monthly infection summary. Infection and antimicrobial data are monitored and analysed for trends, monthly and annually. Comparison of data occurs with other Summerset Group facilities. External benchmarking occurs. The service incorporates ethnicity data into surveillance methods and data captured around infections. Infection control surveillance is discussed at the infection control meeting, clinical and staff/quality meetings. Any infections of concern are reported to the head of clinical improvement and discussed at the monthly national infection control meetings. Meeting minutes and graphs are displayed for staff. Action plans are required for any infection rates of concern. Internal infection control audits are completed with corrective actions for areas of improvement; however, these have not been fully implemented (2.2.2). The service receives regular notifications and alerts from Health New Zealand.</w:t>
            </w:r>
          </w:p>
          <w:p w14:paraId="79DA3B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two outbreaks reported since the last audit: Covid-19 and scabies both in February 2025. Both outbreaks were contained, well managed and reported appropriately. Daily outbreak meetings occurred. </w:t>
            </w:r>
          </w:p>
          <w:p w14:paraId="442FFF83" w14:textId="77777777" w:rsidR="00000000" w:rsidRPr="00BE00C7" w:rsidRDefault="00000000" w:rsidP="00BE00C7">
            <w:pPr>
              <w:pStyle w:val="OutcomeDescription"/>
              <w:spacing w:before="120" w:after="120"/>
              <w:rPr>
                <w:rFonts w:cs="Arial"/>
                <w:lang w:eastAsia="en-NZ"/>
              </w:rPr>
            </w:pPr>
          </w:p>
        </w:tc>
      </w:tr>
      <w:tr w:rsidR="0068170A" w14:paraId="6784F9BE" w14:textId="77777777">
        <w:tc>
          <w:tcPr>
            <w:tcW w:w="0" w:type="auto"/>
          </w:tcPr>
          <w:p w14:paraId="04C495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49945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09BF1A" w14:textId="77777777" w:rsidR="00000000" w:rsidRPr="00BE00C7" w:rsidRDefault="00000000" w:rsidP="00BE00C7">
            <w:pPr>
              <w:pStyle w:val="OutcomeDescription"/>
              <w:spacing w:before="120" w:after="120"/>
              <w:rPr>
                <w:rFonts w:cs="Arial"/>
                <w:lang w:eastAsia="en-NZ"/>
              </w:rPr>
            </w:pPr>
          </w:p>
        </w:tc>
        <w:tc>
          <w:tcPr>
            <w:tcW w:w="0" w:type="auto"/>
          </w:tcPr>
          <w:p w14:paraId="1BF501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50AE5E" w14:textId="0D1A9003"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and </w:t>
            </w:r>
            <w:r w:rsidR="00F172E7">
              <w:rPr>
                <w:rFonts w:cs="Arial"/>
                <w:lang w:eastAsia="en-NZ"/>
              </w:rPr>
              <w:t>are</w:t>
            </w:r>
            <w:r w:rsidRPr="00BE00C7">
              <w:rPr>
                <w:rFonts w:cs="Arial"/>
                <w:lang w:eastAsia="en-NZ"/>
              </w:rPr>
              <w:t xml:space="preserve"> approved by head of clinical improvement. Restraint use within Summerset Group is discussed and monitored at the national clinical review meeting. There is also a national restraint group which monitors restraint use and/or that restraint </w:t>
            </w:r>
            <w:r w:rsidRPr="00BE00C7">
              <w:rPr>
                <w:rFonts w:cs="Arial"/>
                <w:lang w:eastAsia="en-NZ"/>
              </w:rPr>
              <w:lastRenderedPageBreak/>
              <w:t xml:space="preserve">free strategies are maintained. </w:t>
            </w:r>
          </w:p>
          <w:p w14:paraId="2F3E05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the registered nurse. </w:t>
            </w:r>
          </w:p>
          <w:p w14:paraId="79678494"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(link: 2.3.4). Restraint competencies are completed as part of training.</w:t>
            </w:r>
          </w:p>
          <w:p w14:paraId="13560EDD" w14:textId="77777777" w:rsidR="00000000" w:rsidRPr="00BE00C7" w:rsidRDefault="00000000" w:rsidP="00BE00C7">
            <w:pPr>
              <w:pStyle w:val="OutcomeDescription"/>
              <w:spacing w:before="120" w:after="120"/>
              <w:rPr>
                <w:rFonts w:cs="Arial"/>
                <w:lang w:eastAsia="en-NZ"/>
              </w:rPr>
            </w:pPr>
          </w:p>
        </w:tc>
      </w:tr>
    </w:tbl>
    <w:p w14:paraId="736DD67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7C9C1BD" w14:textId="77777777" w:rsidR="00000000" w:rsidRDefault="00000000">
      <w:pPr>
        <w:pStyle w:val="Heading1"/>
        <w:rPr>
          <w:rFonts w:cs="Arial"/>
        </w:rPr>
      </w:pPr>
      <w:r>
        <w:rPr>
          <w:rFonts w:cs="Arial"/>
        </w:rPr>
        <w:lastRenderedPageBreak/>
        <w:t>Specific results for criterion where corrective actions are required</w:t>
      </w:r>
    </w:p>
    <w:p w14:paraId="721A4B2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5C1C25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2548DBF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303"/>
        <w:gridCol w:w="3771"/>
        <w:gridCol w:w="3436"/>
        <w:gridCol w:w="2425"/>
      </w:tblGrid>
      <w:tr w:rsidR="0068170A" w14:paraId="5311A0DD" w14:textId="77777777">
        <w:tc>
          <w:tcPr>
            <w:tcW w:w="0" w:type="auto"/>
          </w:tcPr>
          <w:p w14:paraId="772B8FA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D3232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BC2A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2B6C9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94D3C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8170A" w14:paraId="0108599C" w14:textId="77777777">
        <w:tc>
          <w:tcPr>
            <w:tcW w:w="0" w:type="auto"/>
          </w:tcPr>
          <w:p w14:paraId="6655196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9BC331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40126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2107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Landing Kenepuru is implementing a quality and risk management programme. The quality and risk management systems include performance monitoring through internal audits and through the collection of clinical indicator data. Monthly quality improvement meetings, registered nurses and staff meetings provide an avenue for discussions in relation to (but not limited to); quality goals (key priorities), quality data, health and safety, infection control/pandemic strategies, complaints received (if any), cultural compliance, staffing and education. </w:t>
            </w:r>
          </w:p>
          <w:p w14:paraId="6D302E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meeting minutes show evidence that where actions have been </w:t>
            </w:r>
            <w:r w:rsidRPr="00BE00C7">
              <w:rPr>
                <w:rFonts w:cs="Arial"/>
                <w:lang w:eastAsia="en-NZ"/>
              </w:rPr>
              <w:lastRenderedPageBreak/>
              <w:t xml:space="preserve">identified, these are not always carried through to the next meeting to evidence actioning and sign off as applicable when completed. Internal audits have been completed as scheduled; however, four audits did not have corrective actions documented, eleven audits did not have evidence of corrective actions being signed off when completed and audit forms were not always signed off by the care centre manager or village manager. </w:t>
            </w:r>
          </w:p>
          <w:p w14:paraId="6C681BFB" w14:textId="77777777" w:rsidR="00000000" w:rsidRPr="00BE00C7" w:rsidRDefault="00000000" w:rsidP="00BE00C7">
            <w:pPr>
              <w:pStyle w:val="OutcomeDescription"/>
              <w:spacing w:before="120" w:after="120"/>
              <w:rPr>
                <w:rFonts w:cs="Arial"/>
                <w:lang w:eastAsia="en-NZ"/>
              </w:rPr>
            </w:pPr>
          </w:p>
        </w:tc>
        <w:tc>
          <w:tcPr>
            <w:tcW w:w="0" w:type="auto"/>
          </w:tcPr>
          <w:p w14:paraId="71066F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Corrective actions from meeting minutes have not been consistently documented and there is no evidence of sign off when completed. </w:t>
            </w:r>
          </w:p>
          <w:p w14:paraId="1EFD1DC4"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Internal audit corrective actions have not always been documented.</w:t>
            </w:r>
          </w:p>
          <w:p w14:paraId="6F6BA485" w14:textId="77777777" w:rsidR="00000000" w:rsidRPr="00BE00C7" w:rsidRDefault="00000000" w:rsidP="00BE00C7">
            <w:pPr>
              <w:pStyle w:val="OutcomeDescription"/>
              <w:spacing w:before="120" w:after="120"/>
              <w:rPr>
                <w:rFonts w:cs="Arial"/>
                <w:lang w:eastAsia="en-NZ"/>
              </w:rPr>
            </w:pPr>
            <w:r w:rsidRPr="00BE00C7">
              <w:rPr>
                <w:rFonts w:cs="Arial"/>
                <w:lang w:eastAsia="en-NZ"/>
              </w:rPr>
              <w:t>(iii). Where corrective actions have been documented there is no evidence of being signed off when completed</w:t>
            </w:r>
          </w:p>
          <w:p w14:paraId="0F9364A0" w14:textId="4F1386C0" w:rsidR="00000000" w:rsidRPr="00BE00C7" w:rsidRDefault="00000000" w:rsidP="00BE00C7">
            <w:pPr>
              <w:pStyle w:val="OutcomeDescription"/>
              <w:spacing w:before="120" w:after="120"/>
              <w:rPr>
                <w:rFonts w:cs="Arial"/>
                <w:lang w:eastAsia="en-NZ"/>
              </w:rPr>
            </w:pPr>
            <w:r w:rsidRPr="00BE00C7">
              <w:rPr>
                <w:rFonts w:cs="Arial"/>
                <w:lang w:eastAsia="en-NZ"/>
              </w:rPr>
              <w:t>(iv). Internal audit forms have not been consistently signed off by the care centre manager/village manager</w:t>
            </w:r>
          </w:p>
          <w:p w14:paraId="24880D97" w14:textId="77777777" w:rsidR="00000000" w:rsidRPr="00BE00C7" w:rsidRDefault="00000000" w:rsidP="00BE00C7">
            <w:pPr>
              <w:pStyle w:val="OutcomeDescription"/>
              <w:spacing w:before="120" w:after="120"/>
              <w:rPr>
                <w:rFonts w:cs="Arial"/>
                <w:lang w:eastAsia="en-NZ"/>
              </w:rPr>
            </w:pPr>
          </w:p>
        </w:tc>
        <w:tc>
          <w:tcPr>
            <w:tcW w:w="0" w:type="auto"/>
          </w:tcPr>
          <w:p w14:paraId="127E2DEE" w14:textId="77777777" w:rsidR="00000000" w:rsidRPr="00BE00C7" w:rsidRDefault="00000000" w:rsidP="00BE00C7">
            <w:pPr>
              <w:pStyle w:val="OutcomeDescription"/>
              <w:spacing w:before="120" w:after="120"/>
              <w:rPr>
                <w:rFonts w:cs="Arial"/>
                <w:lang w:eastAsia="en-NZ"/>
              </w:rPr>
            </w:pPr>
            <w:r w:rsidRPr="00BE00C7">
              <w:rPr>
                <w:rFonts w:cs="Arial"/>
                <w:lang w:eastAsia="en-NZ"/>
              </w:rPr>
              <w:t>(i)-(iii)Ensure corrective actions are documented, implemented and signed off when completed.</w:t>
            </w:r>
          </w:p>
          <w:p w14:paraId="0DB4AF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Ensure the internal audit forms are fully completed. </w:t>
            </w:r>
          </w:p>
          <w:p w14:paraId="67B5B40C" w14:textId="77777777" w:rsidR="00000000" w:rsidRPr="00BE00C7" w:rsidRDefault="00000000" w:rsidP="00BE00C7">
            <w:pPr>
              <w:pStyle w:val="OutcomeDescription"/>
              <w:spacing w:before="120" w:after="120"/>
              <w:rPr>
                <w:rFonts w:cs="Arial"/>
                <w:lang w:eastAsia="en-NZ"/>
              </w:rPr>
            </w:pPr>
          </w:p>
          <w:p w14:paraId="40C92E7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8170A" w14:paraId="0004BA27" w14:textId="77777777">
        <w:tc>
          <w:tcPr>
            <w:tcW w:w="0" w:type="auto"/>
          </w:tcPr>
          <w:p w14:paraId="3862690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3262E8B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1787616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FB02526"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there is an accident or incident, electronic reports are completed by staff, with evidence of registered nurse follow up and immediate action is documented. At the time of the audit there were three events related to infections in April 2025 that had not been closed off. A behaviour related incident involving two residents had one accident / incident form documented for one resident, but no accident/incident form was documented for the other resident.</w:t>
            </w:r>
          </w:p>
          <w:p w14:paraId="638E0B41"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from accidents/incidents are discussed in the health and safety, quality improvement and staff meetings and at handover. Incident and accident data is collated monthly and analysed.</w:t>
            </w:r>
          </w:p>
          <w:p w14:paraId="5B529E65" w14:textId="77777777" w:rsidR="00000000" w:rsidRPr="00BE00C7" w:rsidRDefault="00000000" w:rsidP="00BE00C7">
            <w:pPr>
              <w:pStyle w:val="OutcomeDescription"/>
              <w:spacing w:before="120" w:after="120"/>
              <w:rPr>
                <w:rFonts w:cs="Arial"/>
                <w:lang w:eastAsia="en-NZ"/>
              </w:rPr>
            </w:pPr>
          </w:p>
        </w:tc>
        <w:tc>
          <w:tcPr>
            <w:tcW w:w="0" w:type="auto"/>
          </w:tcPr>
          <w:p w14:paraId="0B93641C" w14:textId="77777777" w:rsidR="00000000" w:rsidRPr="00BE00C7" w:rsidRDefault="00000000" w:rsidP="00BE00C7">
            <w:pPr>
              <w:pStyle w:val="OutcomeDescription"/>
              <w:spacing w:before="120" w:after="120"/>
              <w:rPr>
                <w:rFonts w:cs="Arial"/>
                <w:lang w:eastAsia="en-NZ"/>
              </w:rPr>
            </w:pPr>
            <w:r w:rsidRPr="00BE00C7">
              <w:rPr>
                <w:rFonts w:cs="Arial"/>
                <w:lang w:eastAsia="en-NZ"/>
              </w:rPr>
              <w:t>(i). Three events related to infections in April 2025 have not been closed off.</w:t>
            </w:r>
          </w:p>
          <w:p w14:paraId="30742A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Behaviour related incident involving two residents has one accident/incident form documented for one resident but no corresponding accident/incident form for the second resident. </w:t>
            </w:r>
          </w:p>
          <w:p w14:paraId="738A015B" w14:textId="77777777" w:rsidR="00000000" w:rsidRPr="00BE00C7" w:rsidRDefault="00000000" w:rsidP="00BE00C7">
            <w:pPr>
              <w:pStyle w:val="OutcomeDescription"/>
              <w:spacing w:before="120" w:after="120"/>
              <w:rPr>
                <w:rFonts w:cs="Arial"/>
                <w:lang w:eastAsia="en-NZ"/>
              </w:rPr>
            </w:pPr>
          </w:p>
        </w:tc>
        <w:tc>
          <w:tcPr>
            <w:tcW w:w="0" w:type="auto"/>
          </w:tcPr>
          <w:p w14:paraId="1062FC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events are closed off. </w:t>
            </w:r>
          </w:p>
          <w:p w14:paraId="407E228E" w14:textId="58C181D8"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there are separate accident/ incident forms documented where an accident/incident involves two or more residents. </w:t>
            </w:r>
          </w:p>
          <w:p w14:paraId="420069D1" w14:textId="77777777" w:rsidR="00000000" w:rsidRPr="00BE00C7" w:rsidRDefault="00000000" w:rsidP="00BE00C7">
            <w:pPr>
              <w:pStyle w:val="OutcomeDescription"/>
              <w:spacing w:before="120" w:after="120"/>
              <w:rPr>
                <w:rFonts w:cs="Arial"/>
                <w:lang w:eastAsia="en-NZ"/>
              </w:rPr>
            </w:pPr>
          </w:p>
          <w:p w14:paraId="24E854A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8170A" w14:paraId="212242CD" w14:textId="77777777">
        <w:tc>
          <w:tcPr>
            <w:tcW w:w="0" w:type="auto"/>
          </w:tcPr>
          <w:p w14:paraId="50662D1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7ADC3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w:t>
            </w:r>
            <w:r w:rsidRPr="00BE00C7">
              <w:rPr>
                <w:rFonts w:cs="Arial"/>
                <w:lang w:eastAsia="en-NZ"/>
              </w:rPr>
              <w:lastRenderedPageBreak/>
              <w:t>there are sufficient health care and support workers on duty at all times to provide culturally and clinically safe services.</w:t>
            </w:r>
          </w:p>
        </w:tc>
        <w:tc>
          <w:tcPr>
            <w:tcW w:w="0" w:type="auto"/>
          </w:tcPr>
          <w:p w14:paraId="6DA8E7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3D009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w:t>
            </w:r>
            <w:r w:rsidRPr="00BE00C7">
              <w:rPr>
                <w:rFonts w:cs="Arial"/>
                <w:lang w:eastAsia="en-NZ"/>
              </w:rPr>
              <w:lastRenderedPageBreak/>
              <w:t>and outbreak management. The business manager interviewed confirmed staff needs and shortages are reported to the village manager and national senior team. At the time of the audit the previous two-week roster was reviewed and evidenced eight caregiver shifts where staff had not been replaced when they rang in sick.</w:t>
            </w:r>
          </w:p>
          <w:p w14:paraId="5F0FB9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 service was orientating three new caregivers to ensure enough staff are available to cover the roster. </w:t>
            </w:r>
          </w:p>
          <w:p w14:paraId="79433EDD" w14:textId="77777777" w:rsidR="00000000" w:rsidRPr="00BE00C7" w:rsidRDefault="00000000" w:rsidP="00BE00C7">
            <w:pPr>
              <w:pStyle w:val="OutcomeDescription"/>
              <w:spacing w:before="120" w:after="120"/>
              <w:rPr>
                <w:rFonts w:cs="Arial"/>
                <w:lang w:eastAsia="en-NZ"/>
              </w:rPr>
            </w:pPr>
          </w:p>
        </w:tc>
        <w:tc>
          <w:tcPr>
            <w:tcW w:w="0" w:type="auto"/>
          </w:tcPr>
          <w:p w14:paraId="23CFAA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Review of the roster confirms eight caregiver shifts over a two-week period when staff have not been </w:t>
            </w:r>
            <w:r w:rsidRPr="00BE00C7">
              <w:rPr>
                <w:rFonts w:cs="Arial"/>
                <w:lang w:eastAsia="en-NZ"/>
              </w:rPr>
              <w:lastRenderedPageBreak/>
              <w:t xml:space="preserve">replaced to cover sick leave. </w:t>
            </w:r>
          </w:p>
          <w:p w14:paraId="70C65711" w14:textId="77777777" w:rsidR="00000000" w:rsidRPr="00BE00C7" w:rsidRDefault="00000000" w:rsidP="00BE00C7">
            <w:pPr>
              <w:pStyle w:val="OutcomeDescription"/>
              <w:spacing w:before="120" w:after="120"/>
              <w:rPr>
                <w:rFonts w:cs="Arial"/>
                <w:lang w:eastAsia="en-NZ"/>
              </w:rPr>
            </w:pPr>
          </w:p>
        </w:tc>
        <w:tc>
          <w:tcPr>
            <w:tcW w:w="0" w:type="auto"/>
          </w:tcPr>
          <w:p w14:paraId="04071F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there are sufficient staff at all times to provide </w:t>
            </w:r>
            <w:r w:rsidRPr="00BE00C7">
              <w:rPr>
                <w:rFonts w:cs="Arial"/>
                <w:lang w:eastAsia="en-NZ"/>
              </w:rPr>
              <w:lastRenderedPageBreak/>
              <w:t xml:space="preserve">culturally and clinically safe service. </w:t>
            </w:r>
          </w:p>
          <w:p w14:paraId="204AF3C0" w14:textId="77777777" w:rsidR="00000000" w:rsidRPr="00BE00C7" w:rsidRDefault="00000000" w:rsidP="00BE00C7">
            <w:pPr>
              <w:pStyle w:val="OutcomeDescription"/>
              <w:spacing w:before="120" w:after="120"/>
              <w:rPr>
                <w:rFonts w:cs="Arial"/>
                <w:lang w:eastAsia="en-NZ"/>
              </w:rPr>
            </w:pPr>
          </w:p>
          <w:p w14:paraId="7675D2B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8170A" w14:paraId="5CC22282" w14:textId="77777777">
        <w:tc>
          <w:tcPr>
            <w:tcW w:w="0" w:type="auto"/>
          </w:tcPr>
          <w:p w14:paraId="3A69777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7B198EA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E83CA1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EC60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Review of the training records demonstrates that not all staff have completed the required mandatory training since last audit. Most of the training had completion rates between 20% and 75% with the majority sitting in the 40% range of staff who had completed the training. </w:t>
            </w:r>
          </w:p>
          <w:p w14:paraId="474D0B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training opportunities for care staff includes training through Health New Zealand – Te Whatu Ora and hospice. </w:t>
            </w:r>
          </w:p>
          <w:p w14:paraId="71B75CF7" w14:textId="77777777" w:rsidR="00000000" w:rsidRPr="00BE00C7" w:rsidRDefault="00000000" w:rsidP="00BE00C7">
            <w:pPr>
              <w:pStyle w:val="OutcomeDescription"/>
              <w:spacing w:before="120" w:after="120"/>
              <w:rPr>
                <w:rFonts w:cs="Arial"/>
                <w:lang w:eastAsia="en-NZ"/>
              </w:rPr>
            </w:pPr>
          </w:p>
        </w:tc>
        <w:tc>
          <w:tcPr>
            <w:tcW w:w="0" w:type="auto"/>
          </w:tcPr>
          <w:p w14:paraId="227661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records indicate a low compliance rate with completion of the required mandatory training. </w:t>
            </w:r>
          </w:p>
          <w:p w14:paraId="32806EB7" w14:textId="77777777" w:rsidR="00000000" w:rsidRPr="00BE00C7" w:rsidRDefault="00000000" w:rsidP="00BE00C7">
            <w:pPr>
              <w:pStyle w:val="OutcomeDescription"/>
              <w:spacing w:before="120" w:after="120"/>
              <w:rPr>
                <w:rFonts w:cs="Arial"/>
                <w:lang w:eastAsia="en-NZ"/>
              </w:rPr>
            </w:pPr>
          </w:p>
        </w:tc>
        <w:tc>
          <w:tcPr>
            <w:tcW w:w="0" w:type="auto"/>
          </w:tcPr>
          <w:p w14:paraId="042439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all staff complete the required training to support their ongoing learning and development so they can provide high quality safe service. </w:t>
            </w:r>
          </w:p>
          <w:p w14:paraId="7CCC0BBA" w14:textId="77777777" w:rsidR="00000000" w:rsidRPr="00BE00C7" w:rsidRDefault="00000000" w:rsidP="00BE00C7">
            <w:pPr>
              <w:pStyle w:val="OutcomeDescription"/>
              <w:spacing w:before="120" w:after="120"/>
              <w:rPr>
                <w:rFonts w:cs="Arial"/>
                <w:lang w:eastAsia="en-NZ"/>
              </w:rPr>
            </w:pPr>
          </w:p>
          <w:p w14:paraId="3AEACCD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8170A" w14:paraId="6C98E7F6" w14:textId="77777777">
        <w:tc>
          <w:tcPr>
            <w:tcW w:w="0" w:type="auto"/>
          </w:tcPr>
          <w:p w14:paraId="1EB2C87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4BC165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Fundamental to the development </w:t>
            </w:r>
            <w:r w:rsidRPr="00BE00C7">
              <w:rPr>
                <w:rFonts w:cs="Arial"/>
                <w:lang w:eastAsia="en-NZ"/>
              </w:rPr>
              <w:lastRenderedPageBreak/>
              <w:t>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54CC728" w14:textId="77777777" w:rsidR="00000000" w:rsidRPr="00BE00C7" w:rsidRDefault="00000000" w:rsidP="00BE00C7">
            <w:pPr>
              <w:pStyle w:val="OutcomeDescription"/>
              <w:spacing w:before="120" w:after="120"/>
              <w:rPr>
                <w:rFonts w:cs="Arial"/>
                <w:lang w:eastAsia="en-NZ"/>
              </w:rPr>
            </w:pPr>
          </w:p>
        </w:tc>
        <w:tc>
          <w:tcPr>
            <w:tcW w:w="0" w:type="auto"/>
          </w:tcPr>
          <w:p w14:paraId="7D8123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E4244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are developed with information </w:t>
            </w:r>
            <w:r w:rsidRPr="00BE00C7">
              <w:rPr>
                <w:rFonts w:cs="Arial"/>
                <w:lang w:eastAsia="en-NZ"/>
              </w:rPr>
              <w:lastRenderedPageBreak/>
              <w:t>gathered during the initial assessments and the interRAI assessment. In five of the six files reviewed the long-term care plan and interRAI assessments had been completed within three weeks of the residents’ admission to the facility. Oral health is a required aspect of the assessment and care planning process. Activity plans are developed with residents and family and the goals identified in the long-term care plan; however not all care plan interventions were detailed to guide staff, and not all monitoring charts were completed as per care plan instructions.</w:t>
            </w:r>
          </w:p>
          <w:p w14:paraId="2F511D2D" w14:textId="77777777" w:rsidR="00000000" w:rsidRPr="00BE00C7" w:rsidRDefault="00000000" w:rsidP="00BE00C7">
            <w:pPr>
              <w:pStyle w:val="OutcomeDescription"/>
              <w:spacing w:before="120" w:after="120"/>
              <w:rPr>
                <w:rFonts w:cs="Arial"/>
                <w:lang w:eastAsia="en-NZ"/>
              </w:rPr>
            </w:pPr>
          </w:p>
        </w:tc>
        <w:tc>
          <w:tcPr>
            <w:tcW w:w="0" w:type="auto"/>
          </w:tcPr>
          <w:p w14:paraId="55D925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One rest home resident did not have an interRAI assessment </w:t>
            </w:r>
            <w:r w:rsidRPr="00BE00C7">
              <w:rPr>
                <w:rFonts w:cs="Arial"/>
                <w:lang w:eastAsia="en-NZ"/>
              </w:rPr>
              <w:lastRenderedPageBreak/>
              <w:t xml:space="preserve">completed until 12 weeks after admission. </w:t>
            </w:r>
          </w:p>
          <w:p w14:paraId="066D9984" w14:textId="77777777" w:rsidR="00000000" w:rsidRPr="00BE00C7" w:rsidRDefault="00000000" w:rsidP="00BE00C7">
            <w:pPr>
              <w:pStyle w:val="OutcomeDescription"/>
              <w:spacing w:before="120" w:after="120"/>
              <w:rPr>
                <w:rFonts w:cs="Arial"/>
                <w:lang w:eastAsia="en-NZ"/>
              </w:rPr>
            </w:pPr>
            <w:r w:rsidRPr="00BE00C7">
              <w:rPr>
                <w:rFonts w:cs="Arial"/>
                <w:lang w:eastAsia="en-NZ"/>
              </w:rPr>
              <w:t>(ii). Two rest home resident care plans showed no assessment or care planning for oral health.</w:t>
            </w:r>
          </w:p>
          <w:p w14:paraId="35A723F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rest home resident with a 10kg weight loss since admission six months ago had a). No interventions addressing this documented in the care plan. b). A malnutrition assessment had not been completed since December 2024 and, c). The malnutrition assessment identified a low risk despite 10% weight loss in one month.</w:t>
            </w:r>
          </w:p>
          <w:p w14:paraId="681C5BE0" w14:textId="77777777" w:rsidR="00000000" w:rsidRPr="00BE00C7" w:rsidRDefault="00000000" w:rsidP="00BE00C7">
            <w:pPr>
              <w:pStyle w:val="OutcomeDescription"/>
              <w:spacing w:before="120" w:after="120"/>
              <w:rPr>
                <w:rFonts w:cs="Arial"/>
                <w:lang w:eastAsia="en-NZ"/>
              </w:rPr>
            </w:pPr>
            <w:r w:rsidRPr="00BE00C7">
              <w:rPr>
                <w:rFonts w:cs="Arial"/>
                <w:lang w:eastAsia="en-NZ"/>
              </w:rPr>
              <w:t>(iv). Three memory care resident care plans did not have sufficient diversional strategies (including: diversion, motivation, and recreation) across the 24-hour period.</w:t>
            </w:r>
          </w:p>
          <w:p w14:paraId="22FD9E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One rest home resident did not have a food and fluid chart completed as per care plan instructions. </w:t>
            </w:r>
          </w:p>
          <w:p w14:paraId="76BE42AB" w14:textId="77777777" w:rsidR="00000000" w:rsidRPr="00BE00C7" w:rsidRDefault="00000000" w:rsidP="00BE00C7">
            <w:pPr>
              <w:pStyle w:val="OutcomeDescription"/>
              <w:spacing w:before="120" w:after="120"/>
              <w:rPr>
                <w:rFonts w:cs="Arial"/>
                <w:lang w:eastAsia="en-NZ"/>
              </w:rPr>
            </w:pPr>
          </w:p>
        </w:tc>
        <w:tc>
          <w:tcPr>
            <w:tcW w:w="0" w:type="auto"/>
          </w:tcPr>
          <w:p w14:paraId="7C108D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interRAI assessment is </w:t>
            </w:r>
            <w:r w:rsidRPr="00BE00C7">
              <w:rPr>
                <w:rFonts w:cs="Arial"/>
                <w:lang w:eastAsia="en-NZ"/>
              </w:rPr>
              <w:lastRenderedPageBreak/>
              <w:t>completed within three weeks of admission.</w:t>
            </w:r>
          </w:p>
          <w:p w14:paraId="221D296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oral assessment and care planning is included in the long-term care planning process.</w:t>
            </w:r>
          </w:p>
          <w:p w14:paraId="53CAEB60"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detailed interventions are recorded that support resident need.</w:t>
            </w:r>
          </w:p>
          <w:p w14:paraId="2AB4A53B"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activity plans in memory care are individualised to support the 24-hour period.</w:t>
            </w:r>
          </w:p>
          <w:p w14:paraId="6F339C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Ensure food and fluid charts are completed as per care plan instructions. </w:t>
            </w:r>
          </w:p>
          <w:p w14:paraId="2A1072AC" w14:textId="77777777" w:rsidR="00000000" w:rsidRPr="00BE00C7" w:rsidRDefault="00000000" w:rsidP="00BE00C7">
            <w:pPr>
              <w:pStyle w:val="OutcomeDescription"/>
              <w:spacing w:before="120" w:after="120"/>
              <w:rPr>
                <w:rFonts w:cs="Arial"/>
                <w:lang w:eastAsia="en-NZ"/>
              </w:rPr>
            </w:pPr>
          </w:p>
          <w:p w14:paraId="540C07E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8170A" w14:paraId="3C9608C7" w14:textId="77777777">
        <w:tc>
          <w:tcPr>
            <w:tcW w:w="0" w:type="auto"/>
          </w:tcPr>
          <w:p w14:paraId="4107B2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3.2.4</w:t>
            </w:r>
          </w:p>
          <w:p w14:paraId="5F5940CE"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7E181585" w14:textId="77777777" w:rsidR="00000000" w:rsidRPr="00BE00C7" w:rsidRDefault="00000000" w:rsidP="00BE00C7">
            <w:pPr>
              <w:pStyle w:val="OutcomeDescription"/>
              <w:spacing w:before="120" w:after="120"/>
              <w:rPr>
                <w:rFonts w:cs="Arial"/>
                <w:lang w:eastAsia="en-NZ"/>
              </w:rPr>
            </w:pPr>
          </w:p>
        </w:tc>
        <w:tc>
          <w:tcPr>
            <w:tcW w:w="0" w:type="auto"/>
          </w:tcPr>
          <w:p w14:paraId="7CFE84B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B36C5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such as infections, wounds, and weight loss; however, one infection event reviewed did not have a short-term care plan developed. </w:t>
            </w:r>
          </w:p>
          <w:p w14:paraId="0F4AB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short-term wound plans are used for wounds and skin tears. The plans include the product used to dress the wound, the frequency of re-dressing and photographs, and initial measurements; however, for one hospital wound care plan there were no wound measurements documented. </w:t>
            </w:r>
          </w:p>
          <w:p w14:paraId="41411DC3" w14:textId="77777777" w:rsidR="00000000" w:rsidRPr="00BE00C7" w:rsidRDefault="00000000" w:rsidP="00BE00C7">
            <w:pPr>
              <w:pStyle w:val="OutcomeDescription"/>
              <w:spacing w:before="120" w:after="120"/>
              <w:rPr>
                <w:rFonts w:cs="Arial"/>
                <w:lang w:eastAsia="en-NZ"/>
              </w:rPr>
            </w:pPr>
          </w:p>
        </w:tc>
        <w:tc>
          <w:tcPr>
            <w:tcW w:w="0" w:type="auto"/>
          </w:tcPr>
          <w:p w14:paraId="7A1F923C" w14:textId="77777777" w:rsidR="00000000" w:rsidRPr="00BE00C7" w:rsidRDefault="00000000" w:rsidP="00BE00C7">
            <w:pPr>
              <w:pStyle w:val="OutcomeDescription"/>
              <w:spacing w:before="120" w:after="120"/>
              <w:rPr>
                <w:rFonts w:cs="Arial"/>
                <w:lang w:eastAsia="en-NZ"/>
              </w:rPr>
            </w:pPr>
            <w:r w:rsidRPr="00BE00C7">
              <w:rPr>
                <w:rFonts w:cs="Arial"/>
                <w:lang w:eastAsia="en-NZ"/>
              </w:rPr>
              <w:t>(i). One infection event did not have a short-term care plan developed.</w:t>
            </w:r>
          </w:p>
          <w:p w14:paraId="283A042E"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hospital resident with a wound plan did not include ongoing wound measurement as part of the wound monitoring and management.</w:t>
            </w:r>
          </w:p>
          <w:p w14:paraId="54BF2044" w14:textId="77777777" w:rsidR="00000000" w:rsidRPr="00BE00C7" w:rsidRDefault="00000000" w:rsidP="00BE00C7">
            <w:pPr>
              <w:pStyle w:val="OutcomeDescription"/>
              <w:spacing w:before="120" w:after="120"/>
              <w:rPr>
                <w:rFonts w:cs="Arial"/>
                <w:lang w:eastAsia="en-NZ"/>
              </w:rPr>
            </w:pPr>
          </w:p>
        </w:tc>
        <w:tc>
          <w:tcPr>
            <w:tcW w:w="0" w:type="auto"/>
          </w:tcPr>
          <w:p w14:paraId="4345BC73"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short term care plans and wound care plans are completed according to policy.</w:t>
            </w:r>
          </w:p>
          <w:p w14:paraId="655B6942" w14:textId="77777777" w:rsidR="00000000" w:rsidRPr="00BE00C7" w:rsidRDefault="00000000" w:rsidP="00BE00C7">
            <w:pPr>
              <w:pStyle w:val="OutcomeDescription"/>
              <w:spacing w:before="120" w:after="120"/>
              <w:rPr>
                <w:rFonts w:cs="Arial"/>
                <w:lang w:eastAsia="en-NZ"/>
              </w:rPr>
            </w:pPr>
          </w:p>
          <w:p w14:paraId="7EE1EEE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8170A" w14:paraId="23334D5D" w14:textId="77777777">
        <w:tc>
          <w:tcPr>
            <w:tcW w:w="0" w:type="auto"/>
          </w:tcPr>
          <w:p w14:paraId="62DB887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1B0E423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 xml:space="preserve">(b) Include the use of a range of </w:t>
            </w:r>
            <w:r w:rsidRPr="00BE00C7">
              <w:rPr>
                <w:rFonts w:cs="Arial"/>
                <w:lang w:eastAsia="en-NZ"/>
              </w:rPr>
              <w:lastRenderedPageBreak/>
              <w:t>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0D0E6EA1" w14:textId="77777777" w:rsidR="00000000" w:rsidRPr="00BE00C7" w:rsidRDefault="00000000" w:rsidP="00BE00C7">
            <w:pPr>
              <w:pStyle w:val="OutcomeDescription"/>
              <w:spacing w:before="120" w:after="120"/>
              <w:rPr>
                <w:rFonts w:cs="Arial"/>
                <w:lang w:eastAsia="en-NZ"/>
              </w:rPr>
            </w:pPr>
          </w:p>
        </w:tc>
        <w:tc>
          <w:tcPr>
            <w:tcW w:w="0" w:type="auto"/>
          </w:tcPr>
          <w:p w14:paraId="7DB6D0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96EAE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registered nurse. </w:t>
            </w:r>
          </w:p>
          <w:p w14:paraId="56384B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evaluated and either resolved or transferred to the long-term care plan; however, three short term care plans reviewed were </w:t>
            </w:r>
            <w:r w:rsidRPr="00BE00C7">
              <w:rPr>
                <w:rFonts w:cs="Arial"/>
                <w:lang w:eastAsia="en-NZ"/>
              </w:rPr>
              <w:lastRenderedPageBreak/>
              <w:t xml:space="preserve">not evaluated or transferred to the long-term care plan. Long-term care plans are formally evaluated every six months in conjunction with the interRAI re-assessments and when there is a change in the resident’s condition. Evaluations are documented by a registered nurse; however, care plan evaluations where not completed for two memory care files. </w:t>
            </w:r>
          </w:p>
          <w:p w14:paraId="48A7E757" w14:textId="77777777" w:rsidR="00000000" w:rsidRPr="00BE00C7" w:rsidRDefault="00000000" w:rsidP="00BE00C7">
            <w:pPr>
              <w:pStyle w:val="OutcomeDescription"/>
              <w:spacing w:before="120" w:after="120"/>
              <w:rPr>
                <w:rFonts w:cs="Arial"/>
                <w:lang w:eastAsia="en-NZ"/>
              </w:rPr>
            </w:pPr>
          </w:p>
        </w:tc>
        <w:tc>
          <w:tcPr>
            <w:tcW w:w="0" w:type="auto"/>
          </w:tcPr>
          <w:p w14:paraId="6C62DC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Three short term care plans reviewed were not evaluated or transferred to the long-term plan after three weeks.</w:t>
            </w:r>
          </w:p>
          <w:p w14:paraId="27A1E58D"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 two memory care files evaluation of long-term care plan goals were not evidenced.</w:t>
            </w:r>
          </w:p>
          <w:p w14:paraId="08F0167C" w14:textId="77777777" w:rsidR="00000000" w:rsidRPr="00BE00C7" w:rsidRDefault="00000000" w:rsidP="00BE00C7">
            <w:pPr>
              <w:pStyle w:val="OutcomeDescription"/>
              <w:spacing w:before="120" w:after="120"/>
              <w:rPr>
                <w:rFonts w:cs="Arial"/>
                <w:lang w:eastAsia="en-NZ"/>
              </w:rPr>
            </w:pPr>
          </w:p>
        </w:tc>
        <w:tc>
          <w:tcPr>
            <w:tcW w:w="0" w:type="auto"/>
          </w:tcPr>
          <w:p w14:paraId="7D9B58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(i)-(ii). Ensure evaluations are completed for both short-term and long-term care plans.</w:t>
            </w:r>
          </w:p>
          <w:p w14:paraId="4BA7D4ED" w14:textId="77777777" w:rsidR="00000000" w:rsidRPr="00BE00C7" w:rsidRDefault="00000000" w:rsidP="00BE00C7">
            <w:pPr>
              <w:pStyle w:val="OutcomeDescription"/>
              <w:spacing w:before="120" w:after="120"/>
              <w:rPr>
                <w:rFonts w:cs="Arial"/>
                <w:lang w:eastAsia="en-NZ"/>
              </w:rPr>
            </w:pPr>
          </w:p>
          <w:p w14:paraId="00A05D9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8170A" w14:paraId="2CC73233" w14:textId="77777777">
        <w:tc>
          <w:tcPr>
            <w:tcW w:w="0" w:type="auto"/>
          </w:tcPr>
          <w:p w14:paraId="022BA4A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F588507"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1F444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2F04C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is being implemented with policies in place to guide practice. GP/NP review of resident medications occur three monthly including PRN medication. When PRN analgesia is given, the effectiveness was consistently documented in the electronic medication management system, however there were instances where the effectiveness of PRN analgesia was recorded several hours post administration. For one resident in memory care prn analgesia was recorded as given at 1330 hours and effectiveness recorded at 1724 and for </w:t>
            </w:r>
            <w:r w:rsidRPr="00BE00C7">
              <w:rPr>
                <w:rFonts w:cs="Arial"/>
                <w:lang w:eastAsia="en-NZ"/>
              </w:rPr>
              <w:lastRenderedPageBreak/>
              <w:t>one hospital level care resident PRN analgesia was recorded as given at 2213 and effectiveness recorded at 0517.</w:t>
            </w:r>
          </w:p>
          <w:p w14:paraId="07BF2F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are stored in a safe. Controlled drug registers had not been completed weekly as per policy for four medicines reviewed in the month of May 2025. </w:t>
            </w:r>
          </w:p>
          <w:p w14:paraId="4C8303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administration was observed during the audit. Administration of insulin at the lunch time medication round in the care centre did not evidence the two person check process as per policy. </w:t>
            </w:r>
          </w:p>
          <w:p w14:paraId="5920D03E" w14:textId="77777777" w:rsidR="00000000" w:rsidRPr="00BE00C7" w:rsidRDefault="00000000" w:rsidP="00BE00C7">
            <w:pPr>
              <w:pStyle w:val="OutcomeDescription"/>
              <w:spacing w:before="120" w:after="120"/>
              <w:rPr>
                <w:rFonts w:cs="Arial"/>
                <w:lang w:eastAsia="en-NZ"/>
              </w:rPr>
            </w:pPr>
          </w:p>
        </w:tc>
        <w:tc>
          <w:tcPr>
            <w:tcW w:w="0" w:type="auto"/>
          </w:tcPr>
          <w:p w14:paraId="5AE1C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Insulin administration observed during the medication round did not show a two person check process as per policy. </w:t>
            </w:r>
          </w:p>
          <w:p w14:paraId="23E1B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controlled drug register in the care centre shows that weekly stocktake has not been completed consistently. </w:t>
            </w:r>
          </w:p>
          <w:p w14:paraId="25288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has been a delayed follow-up on the effectiveness of PRN medicines on two occasions sighted in the medication administration record (one in memory care and one in hospital </w:t>
            </w:r>
            <w:r w:rsidRPr="00BE00C7">
              <w:rPr>
                <w:rFonts w:cs="Arial"/>
                <w:lang w:eastAsia="en-NZ"/>
              </w:rPr>
              <w:lastRenderedPageBreak/>
              <w:t xml:space="preserve">level care). </w:t>
            </w:r>
          </w:p>
          <w:p w14:paraId="200ED2D2" w14:textId="77777777" w:rsidR="00000000" w:rsidRPr="00BE00C7" w:rsidRDefault="00000000" w:rsidP="00BE00C7">
            <w:pPr>
              <w:pStyle w:val="OutcomeDescription"/>
              <w:spacing w:before="120" w:after="120"/>
              <w:rPr>
                <w:rFonts w:cs="Arial"/>
                <w:lang w:eastAsia="en-NZ"/>
              </w:rPr>
            </w:pPr>
          </w:p>
        </w:tc>
        <w:tc>
          <w:tcPr>
            <w:tcW w:w="0" w:type="auto"/>
          </w:tcPr>
          <w:p w14:paraId="73BA85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(i)-(iii). Ensure compliance with medication policy and legislative requirements. </w:t>
            </w:r>
          </w:p>
          <w:p w14:paraId="5594D73C" w14:textId="77777777" w:rsidR="00000000" w:rsidRPr="00BE00C7" w:rsidRDefault="00000000" w:rsidP="00BE00C7">
            <w:pPr>
              <w:pStyle w:val="OutcomeDescription"/>
              <w:spacing w:before="120" w:after="120"/>
              <w:rPr>
                <w:rFonts w:cs="Arial"/>
                <w:lang w:eastAsia="en-NZ"/>
              </w:rPr>
            </w:pPr>
          </w:p>
          <w:p w14:paraId="4A11ED3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70DD9DB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0F8C230" w14:textId="77777777" w:rsidR="00000000" w:rsidRDefault="00000000">
      <w:pPr>
        <w:pStyle w:val="Heading1"/>
        <w:rPr>
          <w:rFonts w:cs="Arial"/>
        </w:rPr>
      </w:pPr>
      <w:r>
        <w:rPr>
          <w:rFonts w:cs="Arial"/>
        </w:rPr>
        <w:lastRenderedPageBreak/>
        <w:t>Specific results for criterion where a continuous improvement has been recorded</w:t>
      </w:r>
    </w:p>
    <w:p w14:paraId="623E683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3078A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912A8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8170A" w14:paraId="4DAD8CC3" w14:textId="77777777">
        <w:tc>
          <w:tcPr>
            <w:tcW w:w="0" w:type="auto"/>
          </w:tcPr>
          <w:p w14:paraId="49188B8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5FE031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CC837B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9427" w14:textId="77777777" w:rsidR="00086AAC" w:rsidRDefault="00086AAC">
      <w:r>
        <w:separator/>
      </w:r>
    </w:p>
  </w:endnote>
  <w:endnote w:type="continuationSeparator" w:id="0">
    <w:p w14:paraId="1A95FB5E" w14:textId="77777777" w:rsidR="00086AAC" w:rsidRDefault="0008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1B42" w14:textId="77777777" w:rsidR="00000000" w:rsidRDefault="00000000">
    <w:pPr>
      <w:pStyle w:val="Footer"/>
    </w:pPr>
  </w:p>
  <w:p w14:paraId="298CBB0C" w14:textId="77777777" w:rsidR="00000000" w:rsidRDefault="00000000"/>
  <w:p w14:paraId="16F08FC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0C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on the Landing Kenepuru</w:t>
    </w:r>
    <w:bookmarkEnd w:id="59"/>
    <w:r>
      <w:rPr>
        <w:rFonts w:cs="Arial"/>
        <w:sz w:val="16"/>
        <w:szCs w:val="20"/>
      </w:rPr>
      <w:tab/>
      <w:t xml:space="preserve">Date of Audit: </w:t>
    </w:r>
    <w:bookmarkStart w:id="60" w:name="AuditStartDate1"/>
    <w:r>
      <w:rPr>
        <w:rFonts w:cs="Arial"/>
        <w:sz w:val="16"/>
        <w:szCs w:val="20"/>
      </w:rPr>
      <w:t>26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D026F0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852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BF50" w14:textId="77777777" w:rsidR="00086AAC" w:rsidRDefault="00086AAC">
      <w:r>
        <w:separator/>
      </w:r>
    </w:p>
  </w:footnote>
  <w:footnote w:type="continuationSeparator" w:id="0">
    <w:p w14:paraId="4030F6D7" w14:textId="77777777" w:rsidR="00086AAC" w:rsidRDefault="0008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CBD2" w14:textId="77777777" w:rsidR="00000000" w:rsidRDefault="00000000">
    <w:pPr>
      <w:pStyle w:val="Header"/>
    </w:pPr>
  </w:p>
  <w:p w14:paraId="09AA0C9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2175" w14:textId="77777777" w:rsidR="00000000" w:rsidRDefault="00000000">
    <w:pPr>
      <w:pStyle w:val="Header"/>
    </w:pPr>
  </w:p>
  <w:p w14:paraId="44E53CE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B7F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7E6CB42">
      <w:start w:val="1"/>
      <w:numFmt w:val="decimal"/>
      <w:lvlText w:val="%1."/>
      <w:lvlJc w:val="left"/>
      <w:pPr>
        <w:ind w:left="360" w:hanging="360"/>
      </w:pPr>
    </w:lvl>
    <w:lvl w:ilvl="1" w:tplc="167252E6" w:tentative="1">
      <w:start w:val="1"/>
      <w:numFmt w:val="lowerLetter"/>
      <w:lvlText w:val="%2."/>
      <w:lvlJc w:val="left"/>
      <w:pPr>
        <w:ind w:left="1080" w:hanging="360"/>
      </w:pPr>
    </w:lvl>
    <w:lvl w:ilvl="2" w:tplc="913E7020" w:tentative="1">
      <w:start w:val="1"/>
      <w:numFmt w:val="lowerRoman"/>
      <w:lvlText w:val="%3."/>
      <w:lvlJc w:val="right"/>
      <w:pPr>
        <w:ind w:left="1800" w:hanging="180"/>
      </w:pPr>
    </w:lvl>
    <w:lvl w:ilvl="3" w:tplc="F37C5BE8" w:tentative="1">
      <w:start w:val="1"/>
      <w:numFmt w:val="decimal"/>
      <w:lvlText w:val="%4."/>
      <w:lvlJc w:val="left"/>
      <w:pPr>
        <w:ind w:left="2520" w:hanging="360"/>
      </w:pPr>
    </w:lvl>
    <w:lvl w:ilvl="4" w:tplc="263A08FC" w:tentative="1">
      <w:start w:val="1"/>
      <w:numFmt w:val="lowerLetter"/>
      <w:lvlText w:val="%5."/>
      <w:lvlJc w:val="left"/>
      <w:pPr>
        <w:ind w:left="3240" w:hanging="360"/>
      </w:pPr>
    </w:lvl>
    <w:lvl w:ilvl="5" w:tplc="E9865608" w:tentative="1">
      <w:start w:val="1"/>
      <w:numFmt w:val="lowerRoman"/>
      <w:lvlText w:val="%6."/>
      <w:lvlJc w:val="right"/>
      <w:pPr>
        <w:ind w:left="3960" w:hanging="180"/>
      </w:pPr>
    </w:lvl>
    <w:lvl w:ilvl="6" w:tplc="F470FC88" w:tentative="1">
      <w:start w:val="1"/>
      <w:numFmt w:val="decimal"/>
      <w:lvlText w:val="%7."/>
      <w:lvlJc w:val="left"/>
      <w:pPr>
        <w:ind w:left="4680" w:hanging="360"/>
      </w:pPr>
    </w:lvl>
    <w:lvl w:ilvl="7" w:tplc="83BE717E" w:tentative="1">
      <w:start w:val="1"/>
      <w:numFmt w:val="lowerLetter"/>
      <w:lvlText w:val="%8."/>
      <w:lvlJc w:val="left"/>
      <w:pPr>
        <w:ind w:left="5400" w:hanging="360"/>
      </w:pPr>
    </w:lvl>
    <w:lvl w:ilvl="8" w:tplc="8AB01D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A381D10">
      <w:start w:val="1"/>
      <w:numFmt w:val="bullet"/>
      <w:lvlText w:val=""/>
      <w:lvlJc w:val="left"/>
      <w:pPr>
        <w:ind w:left="720" w:hanging="360"/>
      </w:pPr>
      <w:rPr>
        <w:rFonts w:ascii="Symbol" w:hAnsi="Symbol" w:hint="default"/>
      </w:rPr>
    </w:lvl>
    <w:lvl w:ilvl="1" w:tplc="76288218" w:tentative="1">
      <w:start w:val="1"/>
      <w:numFmt w:val="bullet"/>
      <w:lvlText w:val="o"/>
      <w:lvlJc w:val="left"/>
      <w:pPr>
        <w:ind w:left="1440" w:hanging="360"/>
      </w:pPr>
      <w:rPr>
        <w:rFonts w:ascii="Courier New" w:hAnsi="Courier New" w:cs="Courier New" w:hint="default"/>
      </w:rPr>
    </w:lvl>
    <w:lvl w:ilvl="2" w:tplc="5402685A" w:tentative="1">
      <w:start w:val="1"/>
      <w:numFmt w:val="bullet"/>
      <w:lvlText w:val=""/>
      <w:lvlJc w:val="left"/>
      <w:pPr>
        <w:ind w:left="2160" w:hanging="360"/>
      </w:pPr>
      <w:rPr>
        <w:rFonts w:ascii="Wingdings" w:hAnsi="Wingdings" w:hint="default"/>
      </w:rPr>
    </w:lvl>
    <w:lvl w:ilvl="3" w:tplc="AFBC2AE6" w:tentative="1">
      <w:start w:val="1"/>
      <w:numFmt w:val="bullet"/>
      <w:lvlText w:val=""/>
      <w:lvlJc w:val="left"/>
      <w:pPr>
        <w:ind w:left="2880" w:hanging="360"/>
      </w:pPr>
      <w:rPr>
        <w:rFonts w:ascii="Symbol" w:hAnsi="Symbol" w:hint="default"/>
      </w:rPr>
    </w:lvl>
    <w:lvl w:ilvl="4" w:tplc="415CD8A8" w:tentative="1">
      <w:start w:val="1"/>
      <w:numFmt w:val="bullet"/>
      <w:lvlText w:val="o"/>
      <w:lvlJc w:val="left"/>
      <w:pPr>
        <w:ind w:left="3600" w:hanging="360"/>
      </w:pPr>
      <w:rPr>
        <w:rFonts w:ascii="Courier New" w:hAnsi="Courier New" w:cs="Courier New" w:hint="default"/>
      </w:rPr>
    </w:lvl>
    <w:lvl w:ilvl="5" w:tplc="5220E4AA" w:tentative="1">
      <w:start w:val="1"/>
      <w:numFmt w:val="bullet"/>
      <w:lvlText w:val=""/>
      <w:lvlJc w:val="left"/>
      <w:pPr>
        <w:ind w:left="4320" w:hanging="360"/>
      </w:pPr>
      <w:rPr>
        <w:rFonts w:ascii="Wingdings" w:hAnsi="Wingdings" w:hint="default"/>
      </w:rPr>
    </w:lvl>
    <w:lvl w:ilvl="6" w:tplc="CA3C14AE" w:tentative="1">
      <w:start w:val="1"/>
      <w:numFmt w:val="bullet"/>
      <w:lvlText w:val=""/>
      <w:lvlJc w:val="left"/>
      <w:pPr>
        <w:ind w:left="5040" w:hanging="360"/>
      </w:pPr>
      <w:rPr>
        <w:rFonts w:ascii="Symbol" w:hAnsi="Symbol" w:hint="default"/>
      </w:rPr>
    </w:lvl>
    <w:lvl w:ilvl="7" w:tplc="BCEA0D16" w:tentative="1">
      <w:start w:val="1"/>
      <w:numFmt w:val="bullet"/>
      <w:lvlText w:val="o"/>
      <w:lvlJc w:val="left"/>
      <w:pPr>
        <w:ind w:left="5760" w:hanging="360"/>
      </w:pPr>
      <w:rPr>
        <w:rFonts w:ascii="Courier New" w:hAnsi="Courier New" w:cs="Courier New" w:hint="default"/>
      </w:rPr>
    </w:lvl>
    <w:lvl w:ilvl="8" w:tplc="61CA074E" w:tentative="1">
      <w:start w:val="1"/>
      <w:numFmt w:val="bullet"/>
      <w:lvlText w:val=""/>
      <w:lvlJc w:val="left"/>
      <w:pPr>
        <w:ind w:left="6480" w:hanging="360"/>
      </w:pPr>
      <w:rPr>
        <w:rFonts w:ascii="Wingdings" w:hAnsi="Wingdings" w:hint="default"/>
      </w:rPr>
    </w:lvl>
  </w:abstractNum>
  <w:num w:numId="1" w16cid:durableId="1661033514">
    <w:abstractNumId w:val="1"/>
  </w:num>
  <w:num w:numId="2" w16cid:durableId="192545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170A"/>
    <w:rsid w:val="00086AAC"/>
    <w:rsid w:val="00475DE8"/>
    <w:rsid w:val="0068170A"/>
    <w:rsid w:val="00685E08"/>
    <w:rsid w:val="007666E7"/>
    <w:rsid w:val="00C40199"/>
    <w:rsid w:val="00F172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1DE2"/>
  <w15:docId w15:val="{13CE00AD-1674-4305-8EA8-F9822952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9757</Words>
  <Characters>55617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2025-07-14T07:30:00Z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