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EA5D" w14:textId="77777777" w:rsidR="00000000" w:rsidRDefault="00000000">
      <w:pPr>
        <w:pStyle w:val="Heading1"/>
        <w:rPr>
          <w:rFonts w:cs="Arial"/>
        </w:rPr>
      </w:pPr>
      <w:bookmarkStart w:id="0" w:name="PRMS_RIName"/>
      <w:r>
        <w:rPr>
          <w:rFonts w:cs="Arial"/>
        </w:rPr>
        <w:t>ERH Care Limited - The Greenwood Home</w:t>
      </w:r>
      <w:bookmarkEnd w:id="0"/>
    </w:p>
    <w:p w14:paraId="69DEE147" w14:textId="77777777" w:rsidR="00000000" w:rsidRDefault="00000000">
      <w:pPr>
        <w:pStyle w:val="Heading2"/>
        <w:spacing w:after="0"/>
        <w:rPr>
          <w:rFonts w:cs="Arial"/>
        </w:rPr>
      </w:pPr>
      <w:r>
        <w:rPr>
          <w:rFonts w:cs="Arial"/>
        </w:rPr>
        <w:t>Introduction</w:t>
      </w:r>
    </w:p>
    <w:p w14:paraId="2675456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F517E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A2C05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2B90E0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05C5FF6" w14:textId="77777777" w:rsidR="00000000" w:rsidRDefault="00000000">
      <w:pPr>
        <w:spacing w:before="240" w:after="240"/>
        <w:rPr>
          <w:rFonts w:cs="Arial"/>
          <w:lang w:eastAsia="en-NZ"/>
        </w:rPr>
      </w:pPr>
      <w:r>
        <w:rPr>
          <w:rFonts w:cs="Arial"/>
          <w:lang w:eastAsia="en-NZ"/>
        </w:rPr>
        <w:t>The specifics of this audit included:</w:t>
      </w:r>
    </w:p>
    <w:p w14:paraId="32DA416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A0BC88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ERH Care Limited</w:t>
      </w:r>
      <w:bookmarkEnd w:id="4"/>
    </w:p>
    <w:p w14:paraId="311816F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The </w:t>
      </w:r>
      <w:r>
        <w:rPr>
          <w:rFonts w:cs="Arial"/>
        </w:rPr>
        <w:t>Greenwood Home</w:t>
      </w:r>
      <w:bookmarkEnd w:id="5"/>
    </w:p>
    <w:p w14:paraId="0436DA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75CCA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June 2025</w:t>
      </w:r>
      <w:bookmarkEnd w:id="7"/>
      <w:r w:rsidRPr="009418D4">
        <w:rPr>
          <w:rFonts w:cs="Arial"/>
        </w:rPr>
        <w:tab/>
        <w:t xml:space="preserve">End date: </w:t>
      </w:r>
      <w:bookmarkStart w:id="8" w:name="AuditEndDate"/>
      <w:r>
        <w:rPr>
          <w:rFonts w:cs="Arial"/>
        </w:rPr>
        <w:t>6 June 2025</w:t>
      </w:r>
      <w:bookmarkEnd w:id="8"/>
    </w:p>
    <w:p w14:paraId="4DC844F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0B2674" w14:textId="77777777" w:rsidR="00611AD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21CEFEB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D0F8742" w14:textId="77777777" w:rsidR="00000000" w:rsidRDefault="00000000">
      <w:pPr>
        <w:pStyle w:val="Heading1"/>
        <w:rPr>
          <w:rFonts w:cs="Arial"/>
        </w:rPr>
      </w:pPr>
      <w:r>
        <w:rPr>
          <w:rFonts w:cs="Arial"/>
        </w:rPr>
        <w:lastRenderedPageBreak/>
        <w:t>Executive summary of the audit</w:t>
      </w:r>
    </w:p>
    <w:p w14:paraId="77C4A658" w14:textId="77777777" w:rsidR="00000000" w:rsidRDefault="00000000">
      <w:pPr>
        <w:pStyle w:val="Heading2"/>
        <w:rPr>
          <w:rFonts w:cs="Arial"/>
        </w:rPr>
      </w:pPr>
      <w:r>
        <w:rPr>
          <w:rFonts w:cs="Arial"/>
        </w:rPr>
        <w:t>Introduction</w:t>
      </w:r>
    </w:p>
    <w:p w14:paraId="4E2E871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A01406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11122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2F22E5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FE9C1F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5C1DC5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92EF2B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922FD2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E5769F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11AD0" w14:paraId="21FA4A80" w14:textId="77777777">
        <w:trPr>
          <w:cantSplit/>
          <w:tblHeader/>
        </w:trPr>
        <w:tc>
          <w:tcPr>
            <w:tcW w:w="1260" w:type="dxa"/>
            <w:tcBorders>
              <w:bottom w:val="single" w:sz="4" w:space="0" w:color="000000"/>
            </w:tcBorders>
            <w:vAlign w:val="center"/>
          </w:tcPr>
          <w:p w14:paraId="2A88C83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C75317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F722AF" w14:textId="77777777" w:rsidR="00000000" w:rsidRDefault="00000000">
            <w:pPr>
              <w:spacing w:before="60" w:after="60"/>
              <w:rPr>
                <w:rFonts w:eastAsia="Calibri"/>
                <w:b/>
                <w:szCs w:val="24"/>
              </w:rPr>
            </w:pPr>
            <w:r>
              <w:rPr>
                <w:rFonts w:eastAsia="Calibri"/>
                <w:b/>
                <w:szCs w:val="24"/>
              </w:rPr>
              <w:t>Definition</w:t>
            </w:r>
          </w:p>
        </w:tc>
      </w:tr>
      <w:tr w:rsidR="00611AD0" w14:paraId="61453E48" w14:textId="77777777">
        <w:trPr>
          <w:cantSplit/>
          <w:trHeight w:val="964"/>
        </w:trPr>
        <w:tc>
          <w:tcPr>
            <w:tcW w:w="1260" w:type="dxa"/>
            <w:tcBorders>
              <w:bottom w:val="single" w:sz="4" w:space="0" w:color="000000"/>
            </w:tcBorders>
            <w:shd w:val="clear" w:color="0066FF" w:fill="0000FF"/>
            <w:vAlign w:val="center"/>
          </w:tcPr>
          <w:p w14:paraId="1A08C97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E24F60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B00302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11AD0" w14:paraId="1F9AB64D" w14:textId="77777777">
        <w:trPr>
          <w:cantSplit/>
          <w:trHeight w:val="964"/>
        </w:trPr>
        <w:tc>
          <w:tcPr>
            <w:tcW w:w="1260" w:type="dxa"/>
            <w:shd w:val="clear" w:color="33CC33" w:fill="00FF00"/>
            <w:vAlign w:val="center"/>
          </w:tcPr>
          <w:p w14:paraId="38734DBD" w14:textId="77777777" w:rsidR="00000000" w:rsidRDefault="00000000">
            <w:pPr>
              <w:spacing w:before="60" w:after="60"/>
              <w:rPr>
                <w:rFonts w:eastAsia="Calibri"/>
                <w:szCs w:val="24"/>
              </w:rPr>
            </w:pPr>
          </w:p>
        </w:tc>
        <w:tc>
          <w:tcPr>
            <w:tcW w:w="7095" w:type="dxa"/>
            <w:shd w:val="clear" w:color="auto" w:fill="auto"/>
            <w:vAlign w:val="center"/>
          </w:tcPr>
          <w:p w14:paraId="3A7A0F9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7B616E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11AD0" w14:paraId="3B59D4D9" w14:textId="77777777">
        <w:trPr>
          <w:cantSplit/>
          <w:trHeight w:val="964"/>
        </w:trPr>
        <w:tc>
          <w:tcPr>
            <w:tcW w:w="1260" w:type="dxa"/>
            <w:tcBorders>
              <w:bottom w:val="single" w:sz="4" w:space="0" w:color="000000"/>
            </w:tcBorders>
            <w:shd w:val="clear" w:color="auto" w:fill="FFFF00"/>
            <w:vAlign w:val="center"/>
          </w:tcPr>
          <w:p w14:paraId="0D507BF8" w14:textId="77777777" w:rsidR="00000000" w:rsidRDefault="00000000">
            <w:pPr>
              <w:spacing w:before="60" w:after="60"/>
              <w:rPr>
                <w:rFonts w:eastAsia="Calibri"/>
                <w:szCs w:val="24"/>
              </w:rPr>
            </w:pPr>
          </w:p>
        </w:tc>
        <w:tc>
          <w:tcPr>
            <w:tcW w:w="7095" w:type="dxa"/>
            <w:shd w:val="clear" w:color="auto" w:fill="auto"/>
            <w:vAlign w:val="center"/>
          </w:tcPr>
          <w:p w14:paraId="63B0A45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A9CC5B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11AD0" w14:paraId="22D361DB" w14:textId="77777777">
        <w:trPr>
          <w:cantSplit/>
          <w:trHeight w:val="964"/>
        </w:trPr>
        <w:tc>
          <w:tcPr>
            <w:tcW w:w="1260" w:type="dxa"/>
            <w:tcBorders>
              <w:bottom w:val="single" w:sz="4" w:space="0" w:color="000000"/>
            </w:tcBorders>
            <w:shd w:val="clear" w:color="auto" w:fill="FFC800"/>
            <w:vAlign w:val="center"/>
          </w:tcPr>
          <w:p w14:paraId="00475AB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707FD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E6298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11AD0" w14:paraId="2D624684" w14:textId="77777777">
        <w:trPr>
          <w:cantSplit/>
          <w:trHeight w:val="964"/>
        </w:trPr>
        <w:tc>
          <w:tcPr>
            <w:tcW w:w="1260" w:type="dxa"/>
            <w:shd w:val="clear" w:color="auto" w:fill="FF0000"/>
            <w:vAlign w:val="center"/>
          </w:tcPr>
          <w:p w14:paraId="225DCB2D" w14:textId="77777777" w:rsidR="00000000" w:rsidRDefault="00000000">
            <w:pPr>
              <w:spacing w:before="60" w:after="60"/>
              <w:rPr>
                <w:rFonts w:eastAsia="Calibri"/>
                <w:szCs w:val="24"/>
              </w:rPr>
            </w:pPr>
          </w:p>
        </w:tc>
        <w:tc>
          <w:tcPr>
            <w:tcW w:w="7095" w:type="dxa"/>
            <w:shd w:val="clear" w:color="auto" w:fill="auto"/>
            <w:vAlign w:val="center"/>
          </w:tcPr>
          <w:p w14:paraId="0348552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F8019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E38110F" w14:textId="77777777" w:rsidR="00000000" w:rsidRDefault="00000000">
      <w:pPr>
        <w:pStyle w:val="Heading2"/>
        <w:spacing w:after="0"/>
        <w:rPr>
          <w:rFonts w:cs="Arial"/>
        </w:rPr>
      </w:pPr>
      <w:r>
        <w:rPr>
          <w:rFonts w:cs="Arial"/>
        </w:rPr>
        <w:t>General overview of the audit</w:t>
      </w:r>
    </w:p>
    <w:p w14:paraId="37F3323F" w14:textId="77777777" w:rsidR="00000000" w:rsidRDefault="00000000">
      <w:pPr>
        <w:spacing w:before="240" w:line="276" w:lineRule="auto"/>
        <w:rPr>
          <w:rFonts w:eastAsia="Calibri"/>
        </w:rPr>
      </w:pPr>
      <w:bookmarkStart w:id="13" w:name="GeneralOverview"/>
      <w:r w:rsidRPr="00A4268A">
        <w:rPr>
          <w:rFonts w:eastAsia="Calibri"/>
        </w:rPr>
        <w:t xml:space="preserve">The Greenwood Home provides care for up to 26 rest home residents. On the days of the audit, there were 23 residents. The service is one of three other facilities owned by ERH Care Limited. </w:t>
      </w:r>
    </w:p>
    <w:p w14:paraId="07DB6927" w14:textId="77777777" w:rsidR="00611AD0" w:rsidRPr="00A4268A" w:rsidRDefault="00000000">
      <w:pPr>
        <w:spacing w:before="240" w:line="276" w:lineRule="auto"/>
        <w:rPr>
          <w:rFonts w:eastAsia="Calibri"/>
        </w:rPr>
      </w:pPr>
      <w:r w:rsidRPr="00A4268A">
        <w:rPr>
          <w:rFonts w:eastAsia="Calibri"/>
        </w:rPr>
        <w:t>The service is managed by a business and care manager, supported by the clinical lead, the chief executive officer and the chief financial officer/chairman.</w:t>
      </w:r>
    </w:p>
    <w:p w14:paraId="075DB944" w14:textId="77777777" w:rsidR="00611AD0"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31990CBE" w14:textId="77777777" w:rsidR="00611AD0" w:rsidRPr="00A4268A" w:rsidRDefault="00000000">
      <w:pPr>
        <w:spacing w:before="240" w:line="276" w:lineRule="auto"/>
        <w:rPr>
          <w:rFonts w:eastAsia="Calibri"/>
        </w:rPr>
      </w:pPr>
      <w:r w:rsidRPr="00A4268A">
        <w:rPr>
          <w:rFonts w:eastAsia="Calibri"/>
        </w:rPr>
        <w:t xml:space="preserve">There were no areas requiring improvement from this audit. </w:t>
      </w:r>
    </w:p>
    <w:bookmarkEnd w:id="13"/>
    <w:p w14:paraId="578AA0DA" w14:textId="77777777" w:rsidR="00611AD0" w:rsidRPr="00A4268A" w:rsidRDefault="00611AD0">
      <w:pPr>
        <w:spacing w:before="240" w:line="276" w:lineRule="auto"/>
        <w:rPr>
          <w:rFonts w:eastAsia="Calibri"/>
        </w:rPr>
      </w:pPr>
    </w:p>
    <w:p w14:paraId="7C499E2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79B8AF16" w14:textId="77777777" w:rsidTr="00A4268A">
        <w:trPr>
          <w:cantSplit/>
        </w:trPr>
        <w:tc>
          <w:tcPr>
            <w:tcW w:w="10206" w:type="dxa"/>
            <w:vAlign w:val="center"/>
          </w:tcPr>
          <w:p w14:paraId="2F44A7D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7E7B82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F9069D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23A180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D21EA6F" w14:textId="77777777" w:rsidR="00000000" w:rsidRDefault="00000000">
      <w:pPr>
        <w:spacing w:before="240" w:line="276" w:lineRule="auto"/>
        <w:rPr>
          <w:rFonts w:eastAsia="Calibri"/>
        </w:rPr>
      </w:pPr>
      <w:bookmarkStart w:id="16" w:name="ConsumerRights"/>
      <w:r w:rsidRPr="00A4268A">
        <w:rPr>
          <w:rFonts w:eastAsia="Calibri"/>
        </w:rPr>
        <w:t xml:space="preserve">The service provides an environment that supports the rights of residents. Staff demonstrated an understanding of residents' rights and Treaty obligations. There is a Māori health plan and Pacific Health plan are in place. </w:t>
      </w:r>
    </w:p>
    <w:p w14:paraId="592B7F83" w14:textId="77777777" w:rsidR="00611AD0"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individuals in a manner that is inclusive and respects their identity and experiences. Care plans accommodate the choices of residents and/or their family/whānau. </w:t>
      </w:r>
    </w:p>
    <w:p w14:paraId="74C7A099" w14:textId="77777777" w:rsidR="00611AD0"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 documented.</w:t>
      </w:r>
    </w:p>
    <w:bookmarkEnd w:id="16"/>
    <w:p w14:paraId="29690FE2" w14:textId="77777777" w:rsidR="00611AD0" w:rsidRPr="00A4268A" w:rsidRDefault="00611AD0">
      <w:pPr>
        <w:spacing w:before="240" w:line="276" w:lineRule="auto"/>
        <w:rPr>
          <w:rFonts w:eastAsia="Calibri"/>
        </w:rPr>
      </w:pPr>
    </w:p>
    <w:p w14:paraId="3E93262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332B7CD6" w14:textId="77777777" w:rsidTr="00A4268A">
        <w:trPr>
          <w:cantSplit/>
        </w:trPr>
        <w:tc>
          <w:tcPr>
            <w:tcW w:w="10206" w:type="dxa"/>
            <w:vAlign w:val="center"/>
          </w:tcPr>
          <w:p w14:paraId="2E2B39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49B81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6284D5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660F81C" w14:textId="77777777" w:rsidR="00000000" w:rsidRDefault="00000000">
      <w:pPr>
        <w:spacing w:before="240" w:line="276" w:lineRule="auto"/>
        <w:rPr>
          <w:rFonts w:eastAsia="Calibri"/>
        </w:rPr>
      </w:pPr>
      <w:bookmarkStart w:id="19" w:name="OrganisationalManagement"/>
      <w:r w:rsidRPr="00A4268A">
        <w:rPr>
          <w:rFonts w:eastAsia="Calibri"/>
        </w:rPr>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711AFFE5" w14:textId="77777777" w:rsidR="00611AD0" w:rsidRPr="00A4268A" w:rsidRDefault="00000000">
      <w:pPr>
        <w:spacing w:before="240" w:line="276" w:lineRule="auto"/>
        <w:rPr>
          <w:rFonts w:eastAsia="Calibri"/>
        </w:rPr>
      </w:pPr>
      <w:r w:rsidRPr="00A4268A">
        <w:rPr>
          <w:rFonts w:eastAsia="Calibri"/>
        </w:rPr>
        <w:lastRenderedPageBreak/>
        <w:t xml:space="preserve">The service and management ensure the best outcomes for residents and that the health and safety of residents is a priority. Actual and potential risks are identified and mitigated. The service complies with all statutory and regulatory reporting obligations. </w:t>
      </w:r>
    </w:p>
    <w:p w14:paraId="33D7D719" w14:textId="77777777" w:rsidR="00611AD0" w:rsidRPr="00A4268A" w:rsidRDefault="00000000">
      <w:pPr>
        <w:spacing w:before="240" w:line="276" w:lineRule="auto"/>
        <w:rPr>
          <w:rFonts w:eastAsia="Calibri"/>
        </w:rPr>
      </w:pPr>
      <w:r w:rsidRPr="00A4268A">
        <w:rPr>
          <w:rFonts w:eastAsia="Calibri"/>
        </w:rPr>
        <w:t>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7A63AAED" w14:textId="77777777" w:rsidR="00611AD0" w:rsidRPr="00A4268A" w:rsidRDefault="00611AD0">
      <w:pPr>
        <w:spacing w:before="240" w:line="276" w:lineRule="auto"/>
        <w:rPr>
          <w:rFonts w:eastAsia="Calibri"/>
        </w:rPr>
      </w:pPr>
    </w:p>
    <w:p w14:paraId="5CA145E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30DC1A33" w14:textId="77777777" w:rsidTr="00A4268A">
        <w:trPr>
          <w:cantSplit/>
        </w:trPr>
        <w:tc>
          <w:tcPr>
            <w:tcW w:w="10206" w:type="dxa"/>
            <w:vAlign w:val="center"/>
          </w:tcPr>
          <w:p w14:paraId="32046A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E74469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DC605D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6E5D67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entering the service to determine the level of care required. The clinical lead is responsible for assessing, developing, and evaluating care plans. Care plans are individualised and based on the residents’ assessed needs and routines. Interventions are appropriate and evaluated promptly.</w:t>
      </w:r>
    </w:p>
    <w:p w14:paraId="3A608491" w14:textId="77777777" w:rsidR="00611AD0"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practitioners every three months. Staff involved in medication administration are assessed as competent to do so.</w:t>
      </w:r>
    </w:p>
    <w:p w14:paraId="23CA8E83" w14:textId="77777777" w:rsidR="00611AD0" w:rsidRPr="00A4268A" w:rsidRDefault="00000000" w:rsidP="00621629">
      <w:pPr>
        <w:spacing w:before="240" w:line="276" w:lineRule="auto"/>
        <w:rPr>
          <w:rFonts w:eastAsia="Calibri"/>
        </w:rPr>
      </w:pPr>
      <w:r w:rsidRPr="00A4268A">
        <w:rPr>
          <w:rFonts w:eastAsia="Calibri"/>
        </w:rPr>
        <w:t xml:space="preserve">The food service accommodates the specific dietary preferences and needs of the residents. A current food control plan is in place. </w:t>
      </w:r>
    </w:p>
    <w:p w14:paraId="2CC9F748" w14:textId="77777777" w:rsidR="00611AD0"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B2047C4" w14:textId="77777777" w:rsidR="00611AD0" w:rsidRPr="00A4268A" w:rsidRDefault="00611AD0" w:rsidP="00621629">
      <w:pPr>
        <w:spacing w:before="240" w:line="276" w:lineRule="auto"/>
        <w:rPr>
          <w:rFonts w:eastAsia="Calibri"/>
        </w:rPr>
      </w:pPr>
    </w:p>
    <w:p w14:paraId="006E1667"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264D623C" w14:textId="77777777" w:rsidTr="00A4268A">
        <w:trPr>
          <w:cantSplit/>
        </w:trPr>
        <w:tc>
          <w:tcPr>
            <w:tcW w:w="10206" w:type="dxa"/>
            <w:vAlign w:val="center"/>
          </w:tcPr>
          <w:p w14:paraId="1A5E2B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9CA2FB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C95B4F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1BE4D73"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w:t>
      </w:r>
    </w:p>
    <w:bookmarkEnd w:id="25"/>
    <w:p w14:paraId="7CADEA59" w14:textId="77777777" w:rsidR="00611AD0" w:rsidRPr="00A4268A" w:rsidRDefault="00611AD0">
      <w:pPr>
        <w:spacing w:before="240" w:line="276" w:lineRule="auto"/>
        <w:rPr>
          <w:rFonts w:eastAsia="Calibri"/>
        </w:rPr>
      </w:pPr>
    </w:p>
    <w:p w14:paraId="370453A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41198517" w14:textId="77777777" w:rsidTr="00A4268A">
        <w:trPr>
          <w:cantSplit/>
        </w:trPr>
        <w:tc>
          <w:tcPr>
            <w:tcW w:w="10206" w:type="dxa"/>
            <w:vAlign w:val="center"/>
          </w:tcPr>
          <w:p w14:paraId="3C0A90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C66AAB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B0076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B138871"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clinical lead coordinates the programme which is reviewed annually.</w:t>
      </w:r>
    </w:p>
    <w:p w14:paraId="07661CAA" w14:textId="77777777" w:rsidR="00611AD0"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73664F6A" w14:textId="77777777" w:rsidR="00611AD0" w:rsidRPr="00A4268A" w:rsidRDefault="00000000">
      <w:pPr>
        <w:spacing w:before="240" w:line="276" w:lineRule="auto"/>
        <w:rPr>
          <w:rFonts w:eastAsia="Calibri"/>
        </w:rPr>
      </w:pPr>
      <w:r w:rsidRPr="00A4268A">
        <w:rPr>
          <w:rFonts w:eastAsia="Calibri"/>
        </w:rPr>
        <w:t xml:space="preserve">Surveillance of health care-associated infections is undertaken, and results shared with all staff. Follow-up action is taken as and when required. there have been no outbreaks since the previous audit. </w:t>
      </w:r>
    </w:p>
    <w:bookmarkEnd w:id="28"/>
    <w:p w14:paraId="37019569" w14:textId="77777777" w:rsidR="00611AD0" w:rsidRPr="00A4268A" w:rsidRDefault="00611AD0">
      <w:pPr>
        <w:spacing w:before="240" w:line="276" w:lineRule="auto"/>
        <w:rPr>
          <w:rFonts w:eastAsia="Calibri"/>
        </w:rPr>
      </w:pPr>
    </w:p>
    <w:p w14:paraId="52CDB96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AD0" w14:paraId="5081023D" w14:textId="77777777" w:rsidTr="00A4268A">
        <w:trPr>
          <w:cantSplit/>
        </w:trPr>
        <w:tc>
          <w:tcPr>
            <w:tcW w:w="10206" w:type="dxa"/>
            <w:vAlign w:val="center"/>
          </w:tcPr>
          <w:p w14:paraId="394DAF1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42813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64B50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03FC950"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and this is supported by the management, policies, and procedures. There were no residents using restraint at the time of the audit. The staff interviewed demonstrated a sound knowledge and understanding of providing the least restrictive practice, de-escalation techniques, alternative interventions to restraint, and restraint monitoring.</w:t>
      </w:r>
    </w:p>
    <w:bookmarkEnd w:id="31"/>
    <w:p w14:paraId="2A1AABCD" w14:textId="77777777" w:rsidR="00611AD0" w:rsidRPr="00A4268A" w:rsidRDefault="00611AD0">
      <w:pPr>
        <w:spacing w:before="240" w:line="276" w:lineRule="auto"/>
        <w:rPr>
          <w:rFonts w:eastAsia="Calibri"/>
        </w:rPr>
      </w:pPr>
    </w:p>
    <w:p w14:paraId="5C3D919E" w14:textId="77777777" w:rsidR="00000000" w:rsidRDefault="00000000" w:rsidP="000E6E02">
      <w:pPr>
        <w:pStyle w:val="Heading2"/>
        <w:spacing w:before="0"/>
        <w:rPr>
          <w:rFonts w:cs="Arial"/>
        </w:rPr>
      </w:pPr>
      <w:r>
        <w:rPr>
          <w:rFonts w:cs="Arial"/>
        </w:rPr>
        <w:t>Summary of attainment</w:t>
      </w:r>
    </w:p>
    <w:p w14:paraId="410840D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11AD0" w14:paraId="66653A2A" w14:textId="77777777">
        <w:tc>
          <w:tcPr>
            <w:tcW w:w="1384" w:type="dxa"/>
            <w:vAlign w:val="center"/>
          </w:tcPr>
          <w:p w14:paraId="74ABC41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8F1765" w14:textId="77777777" w:rsidR="00000000" w:rsidRDefault="00000000">
            <w:pPr>
              <w:keepNext/>
              <w:spacing w:before="60" w:after="60"/>
              <w:jc w:val="center"/>
              <w:rPr>
                <w:rFonts w:cs="Arial"/>
                <w:b/>
                <w:sz w:val="20"/>
                <w:szCs w:val="20"/>
              </w:rPr>
            </w:pPr>
            <w:r>
              <w:rPr>
                <w:rFonts w:cs="Arial"/>
                <w:b/>
                <w:sz w:val="20"/>
                <w:szCs w:val="20"/>
              </w:rPr>
              <w:t>Continuous Improvement</w:t>
            </w:r>
          </w:p>
          <w:p w14:paraId="18818AE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BBB570" w14:textId="77777777" w:rsidR="00000000" w:rsidRDefault="00000000">
            <w:pPr>
              <w:keepNext/>
              <w:spacing w:before="60" w:after="60"/>
              <w:jc w:val="center"/>
              <w:rPr>
                <w:rFonts w:cs="Arial"/>
                <w:b/>
                <w:sz w:val="20"/>
                <w:szCs w:val="20"/>
              </w:rPr>
            </w:pPr>
            <w:r>
              <w:rPr>
                <w:rFonts w:cs="Arial"/>
                <w:b/>
                <w:sz w:val="20"/>
                <w:szCs w:val="20"/>
              </w:rPr>
              <w:t>Fully Attained</w:t>
            </w:r>
          </w:p>
          <w:p w14:paraId="082C4F8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6F3863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771EC1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879FF1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B3C416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1A574F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385073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171A62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000582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841864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4CA77DE" w14:textId="77777777" w:rsidR="00000000" w:rsidRDefault="00000000">
            <w:pPr>
              <w:keepNext/>
              <w:spacing w:before="60" w:after="60"/>
              <w:jc w:val="center"/>
              <w:rPr>
                <w:rFonts w:cs="Arial"/>
                <w:b/>
                <w:sz w:val="20"/>
                <w:szCs w:val="20"/>
              </w:rPr>
            </w:pPr>
            <w:r>
              <w:rPr>
                <w:rFonts w:cs="Arial"/>
                <w:b/>
                <w:sz w:val="20"/>
                <w:szCs w:val="20"/>
              </w:rPr>
              <w:t>(PA Critical)</w:t>
            </w:r>
          </w:p>
        </w:tc>
      </w:tr>
      <w:tr w:rsidR="00611AD0" w14:paraId="073EC9E2" w14:textId="77777777">
        <w:tc>
          <w:tcPr>
            <w:tcW w:w="1384" w:type="dxa"/>
            <w:vAlign w:val="center"/>
          </w:tcPr>
          <w:p w14:paraId="5475582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4C332B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7DAE4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394008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FE45AD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67D94E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AC5BDE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122C6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11AD0" w14:paraId="3BAF1761" w14:textId="77777777">
        <w:tc>
          <w:tcPr>
            <w:tcW w:w="1384" w:type="dxa"/>
            <w:vAlign w:val="center"/>
          </w:tcPr>
          <w:p w14:paraId="0ED3A1B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7F0CA2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B88ACC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5597AB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4C5238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9EFFD1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6CCD3B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E2D91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20BDC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11AD0" w14:paraId="219E2F05" w14:textId="77777777">
        <w:tc>
          <w:tcPr>
            <w:tcW w:w="1384" w:type="dxa"/>
            <w:vAlign w:val="center"/>
          </w:tcPr>
          <w:p w14:paraId="4E1D577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B0E70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B9B512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0862B8C" w14:textId="77777777" w:rsidR="00000000" w:rsidRDefault="00000000">
            <w:pPr>
              <w:keepNext/>
              <w:spacing w:before="60" w:after="60"/>
              <w:jc w:val="center"/>
              <w:rPr>
                <w:rFonts w:cs="Arial"/>
                <w:b/>
                <w:sz w:val="20"/>
                <w:szCs w:val="20"/>
              </w:rPr>
            </w:pPr>
            <w:r>
              <w:rPr>
                <w:rFonts w:cs="Arial"/>
                <w:b/>
                <w:sz w:val="20"/>
                <w:szCs w:val="20"/>
              </w:rPr>
              <w:t>Unattained Low Risk</w:t>
            </w:r>
          </w:p>
          <w:p w14:paraId="664191E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C86D7BA" w14:textId="77777777" w:rsidR="00000000" w:rsidRDefault="00000000">
            <w:pPr>
              <w:keepNext/>
              <w:spacing w:before="60" w:after="60"/>
              <w:jc w:val="center"/>
              <w:rPr>
                <w:rFonts w:cs="Arial"/>
                <w:b/>
                <w:sz w:val="20"/>
                <w:szCs w:val="20"/>
              </w:rPr>
            </w:pPr>
            <w:r>
              <w:rPr>
                <w:rFonts w:cs="Arial"/>
                <w:b/>
                <w:sz w:val="20"/>
                <w:szCs w:val="20"/>
              </w:rPr>
              <w:t>Unattained Moderate Risk</w:t>
            </w:r>
          </w:p>
          <w:p w14:paraId="5C0EFD1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6106BBE" w14:textId="77777777" w:rsidR="00000000" w:rsidRDefault="00000000">
            <w:pPr>
              <w:keepNext/>
              <w:spacing w:before="60" w:after="60"/>
              <w:jc w:val="center"/>
              <w:rPr>
                <w:rFonts w:cs="Arial"/>
                <w:b/>
                <w:sz w:val="20"/>
                <w:szCs w:val="20"/>
              </w:rPr>
            </w:pPr>
            <w:r>
              <w:rPr>
                <w:rFonts w:cs="Arial"/>
                <w:b/>
                <w:sz w:val="20"/>
                <w:szCs w:val="20"/>
              </w:rPr>
              <w:t>Unattained High Risk</w:t>
            </w:r>
          </w:p>
          <w:p w14:paraId="7F0232A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25F5B8A" w14:textId="77777777" w:rsidR="00000000" w:rsidRDefault="00000000">
            <w:pPr>
              <w:keepNext/>
              <w:spacing w:before="60" w:after="60"/>
              <w:jc w:val="center"/>
              <w:rPr>
                <w:rFonts w:cs="Arial"/>
                <w:b/>
                <w:sz w:val="20"/>
                <w:szCs w:val="20"/>
              </w:rPr>
            </w:pPr>
            <w:r>
              <w:rPr>
                <w:rFonts w:cs="Arial"/>
                <w:b/>
                <w:sz w:val="20"/>
                <w:szCs w:val="20"/>
              </w:rPr>
              <w:t>Unattained Critical Risk</w:t>
            </w:r>
          </w:p>
          <w:p w14:paraId="6F476943" w14:textId="77777777" w:rsidR="00000000" w:rsidRDefault="00000000">
            <w:pPr>
              <w:keepNext/>
              <w:spacing w:before="60" w:after="60"/>
              <w:jc w:val="center"/>
              <w:rPr>
                <w:rFonts w:cs="Arial"/>
                <w:b/>
                <w:sz w:val="20"/>
                <w:szCs w:val="20"/>
              </w:rPr>
            </w:pPr>
            <w:r>
              <w:rPr>
                <w:rFonts w:cs="Arial"/>
                <w:b/>
                <w:sz w:val="20"/>
                <w:szCs w:val="20"/>
              </w:rPr>
              <w:t>(UA Critical)</w:t>
            </w:r>
          </w:p>
        </w:tc>
      </w:tr>
      <w:tr w:rsidR="00611AD0" w14:paraId="67A83E58" w14:textId="77777777">
        <w:tc>
          <w:tcPr>
            <w:tcW w:w="1384" w:type="dxa"/>
            <w:vAlign w:val="center"/>
          </w:tcPr>
          <w:p w14:paraId="4C7E9A1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E99AC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E38FE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814289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66385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8C5BB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11AD0" w14:paraId="296D39FC" w14:textId="77777777">
        <w:tc>
          <w:tcPr>
            <w:tcW w:w="1384" w:type="dxa"/>
            <w:vAlign w:val="center"/>
          </w:tcPr>
          <w:p w14:paraId="3C6CAA4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FCC7C3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C64CC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7D5A3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FFAF8F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2D5D9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E564C3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FB7BC3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BD689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617E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368"/>
        <w:gridCol w:w="6979"/>
      </w:tblGrid>
      <w:tr w:rsidR="00611AD0" w14:paraId="3BEC18D5" w14:textId="77777777">
        <w:tc>
          <w:tcPr>
            <w:tcW w:w="0" w:type="auto"/>
          </w:tcPr>
          <w:p w14:paraId="064E6A4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94F805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FAF7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11AD0" w14:paraId="05AE4B0F" w14:textId="77777777">
        <w:tc>
          <w:tcPr>
            <w:tcW w:w="0" w:type="auto"/>
          </w:tcPr>
          <w:p w14:paraId="6B8181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248D80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948BF1" w14:textId="77777777" w:rsidR="00000000" w:rsidRPr="00BE00C7" w:rsidRDefault="00000000" w:rsidP="00BE00C7">
            <w:pPr>
              <w:pStyle w:val="OutcomeDescription"/>
              <w:spacing w:before="120" w:after="120"/>
              <w:rPr>
                <w:rFonts w:cs="Arial"/>
                <w:lang w:eastAsia="en-NZ"/>
              </w:rPr>
            </w:pPr>
          </w:p>
        </w:tc>
        <w:tc>
          <w:tcPr>
            <w:tcW w:w="0" w:type="auto"/>
          </w:tcPr>
          <w:p w14:paraId="20C958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A7F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Greenwood Home has a Māori Health Care Plan, which guides the delivery of care to Māori using Te Whare Tapa Whā and ensures their mana motuhake is respected. The documentation reviewed contained templates for cultural assessments, Māori health care plans, and New Zealand strategy documents to inform culturally safe practices. The organisation has developed policies, procedures and processes to embed and enact Te Tiriti o Waitangi in all aspects of its work. Documentation and interviews with the chief executive officer (CEO), clinical lead (CL), activities coordinator, two healthcare assistants (HCAs), the cook, and cleaner confirmed that the service delivers a care model focused on the health, well-being and cultural needs of its residents.</w:t>
            </w:r>
          </w:p>
          <w:p w14:paraId="15D41ECD" w14:textId="77777777" w:rsidR="00000000" w:rsidRPr="00BE00C7" w:rsidRDefault="00000000" w:rsidP="00BE00C7">
            <w:pPr>
              <w:pStyle w:val="OutcomeDescription"/>
              <w:spacing w:before="120" w:after="120"/>
              <w:rPr>
                <w:rFonts w:cs="Arial"/>
                <w:lang w:eastAsia="en-NZ"/>
              </w:rPr>
            </w:pPr>
          </w:p>
        </w:tc>
      </w:tr>
      <w:tr w:rsidR="00611AD0" w14:paraId="0764BE6B" w14:textId="77777777">
        <w:tc>
          <w:tcPr>
            <w:tcW w:w="0" w:type="auto"/>
          </w:tcPr>
          <w:p w14:paraId="0A8234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0323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6276DAB1" w14:textId="77777777" w:rsidR="00000000" w:rsidRPr="00BE00C7" w:rsidRDefault="00000000" w:rsidP="00BE00C7">
            <w:pPr>
              <w:pStyle w:val="OutcomeDescription"/>
              <w:spacing w:before="120" w:after="120"/>
              <w:rPr>
                <w:rFonts w:cs="Arial"/>
                <w:lang w:eastAsia="en-NZ"/>
              </w:rPr>
            </w:pPr>
          </w:p>
        </w:tc>
        <w:tc>
          <w:tcPr>
            <w:tcW w:w="0" w:type="auto"/>
          </w:tcPr>
          <w:p w14:paraId="04B095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563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peoples’ policy that commits to providing appropriate and equitable care for residents who identify as Pasifika. The Pacific People’s policy includes the Pacific health plan, which guides on how Pacific people who engage with the service are supported. The service had residents who identify as Pasifika. There are currently staff employed that identify as Pasifika. The staff interviewed highlighted the importance of understanding and supporting each other’s culture.</w:t>
            </w:r>
          </w:p>
          <w:p w14:paraId="58386AC4" w14:textId="77777777" w:rsidR="00000000" w:rsidRPr="00BE00C7" w:rsidRDefault="00000000" w:rsidP="00BE00C7">
            <w:pPr>
              <w:pStyle w:val="OutcomeDescription"/>
              <w:spacing w:before="120" w:after="120"/>
              <w:rPr>
                <w:rFonts w:cs="Arial"/>
                <w:lang w:eastAsia="en-NZ"/>
              </w:rPr>
            </w:pPr>
          </w:p>
        </w:tc>
      </w:tr>
      <w:tr w:rsidR="00611AD0" w14:paraId="052D4FDA" w14:textId="77777777">
        <w:tc>
          <w:tcPr>
            <w:tcW w:w="0" w:type="auto"/>
          </w:tcPr>
          <w:p w14:paraId="3EE9C0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89824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C093F0" w14:textId="77777777" w:rsidR="00000000" w:rsidRPr="00BE00C7" w:rsidRDefault="00000000" w:rsidP="00BE00C7">
            <w:pPr>
              <w:pStyle w:val="OutcomeDescription"/>
              <w:spacing w:before="120" w:after="120"/>
              <w:rPr>
                <w:rFonts w:cs="Arial"/>
                <w:lang w:eastAsia="en-NZ"/>
              </w:rPr>
            </w:pPr>
          </w:p>
        </w:tc>
        <w:tc>
          <w:tcPr>
            <w:tcW w:w="0" w:type="auto"/>
          </w:tcPr>
          <w:p w14:paraId="49F84B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6CF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at the service understood the requirements of the Code of Health and Disability Services Consumers’ Rights (the Code) and were observed supporting residents to follow their wishes. Two family/whānau and six residents reported being made aware of the Code and the Nationwide Health and Disability Advocacy Service (Advocacy Service), and confirmed they were provided with opportunities to discuss and clarify their rights.</w:t>
            </w:r>
          </w:p>
          <w:p w14:paraId="4FFF0345" w14:textId="77777777" w:rsidR="00000000" w:rsidRPr="00BE00C7" w:rsidRDefault="00000000" w:rsidP="00BE00C7">
            <w:pPr>
              <w:pStyle w:val="OutcomeDescription"/>
              <w:spacing w:before="120" w:after="120"/>
              <w:rPr>
                <w:rFonts w:cs="Arial"/>
                <w:lang w:eastAsia="en-NZ"/>
              </w:rPr>
            </w:pPr>
          </w:p>
        </w:tc>
      </w:tr>
      <w:tr w:rsidR="00611AD0" w14:paraId="15C25C33" w14:textId="77777777">
        <w:tc>
          <w:tcPr>
            <w:tcW w:w="0" w:type="auto"/>
          </w:tcPr>
          <w:p w14:paraId="365D13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BB822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20E18A0" w14:textId="77777777" w:rsidR="00000000" w:rsidRPr="00BE00C7" w:rsidRDefault="00000000" w:rsidP="00BE00C7">
            <w:pPr>
              <w:pStyle w:val="OutcomeDescription"/>
              <w:spacing w:before="120" w:after="120"/>
              <w:rPr>
                <w:rFonts w:cs="Arial"/>
                <w:lang w:eastAsia="en-NZ"/>
              </w:rPr>
            </w:pPr>
          </w:p>
        </w:tc>
        <w:tc>
          <w:tcPr>
            <w:tcW w:w="0" w:type="auto"/>
          </w:tcPr>
          <w:p w14:paraId="01D388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1D9AD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29CB1E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and CL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Policies and procedures, such as the harassment, discrimination and bullying policy are in place. This policy applies to all staff, contractors, visitors and residents.</w:t>
            </w:r>
          </w:p>
          <w:p w14:paraId="70555C49" w14:textId="77777777" w:rsidR="00000000" w:rsidRPr="00BE00C7" w:rsidRDefault="00000000" w:rsidP="00BE00C7">
            <w:pPr>
              <w:pStyle w:val="OutcomeDescription"/>
              <w:spacing w:before="120" w:after="120"/>
              <w:rPr>
                <w:rFonts w:cs="Arial"/>
                <w:lang w:eastAsia="en-NZ"/>
              </w:rPr>
            </w:pPr>
          </w:p>
        </w:tc>
      </w:tr>
      <w:tr w:rsidR="00611AD0" w14:paraId="0D912520" w14:textId="77777777">
        <w:tc>
          <w:tcPr>
            <w:tcW w:w="0" w:type="auto"/>
          </w:tcPr>
          <w:p w14:paraId="5C57D7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0FE09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CCE61CC" w14:textId="77777777" w:rsidR="00000000" w:rsidRPr="00BE00C7" w:rsidRDefault="00000000" w:rsidP="00BE00C7">
            <w:pPr>
              <w:pStyle w:val="OutcomeDescription"/>
              <w:spacing w:before="120" w:after="120"/>
              <w:rPr>
                <w:rFonts w:cs="Arial"/>
                <w:lang w:eastAsia="en-NZ"/>
              </w:rPr>
            </w:pPr>
          </w:p>
        </w:tc>
        <w:tc>
          <w:tcPr>
            <w:tcW w:w="0" w:type="auto"/>
          </w:tcPr>
          <w:p w14:paraId="348A8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55D3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had been gained appropriately. Resuscitation forms, and care plans were signed by residents who are competent and able to consent, and a medical decision was made </w:t>
            </w:r>
            <w:r w:rsidRPr="00BE00C7">
              <w:rPr>
                <w:rFonts w:cs="Arial"/>
                <w:lang w:eastAsia="en-NZ"/>
              </w:rPr>
              <w:lastRenderedPageBreak/>
              <w:t>by the general practitioner (GP) for residents who were unable to provide consent.</w:t>
            </w:r>
          </w:p>
          <w:p w14:paraId="71B0253A" w14:textId="77777777" w:rsidR="00000000" w:rsidRPr="00BE00C7" w:rsidRDefault="00000000" w:rsidP="00BE00C7">
            <w:pPr>
              <w:pStyle w:val="OutcomeDescription"/>
              <w:spacing w:before="120" w:after="120"/>
              <w:rPr>
                <w:rFonts w:cs="Arial"/>
                <w:lang w:eastAsia="en-NZ"/>
              </w:rPr>
            </w:pPr>
          </w:p>
        </w:tc>
      </w:tr>
      <w:tr w:rsidR="00611AD0" w14:paraId="42595356" w14:textId="77777777">
        <w:tc>
          <w:tcPr>
            <w:tcW w:w="0" w:type="auto"/>
          </w:tcPr>
          <w:p w14:paraId="1449E4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1C6BB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015E88F" w14:textId="77777777" w:rsidR="00000000" w:rsidRPr="00BE00C7" w:rsidRDefault="00000000" w:rsidP="00BE00C7">
            <w:pPr>
              <w:pStyle w:val="OutcomeDescription"/>
              <w:spacing w:before="120" w:after="120"/>
              <w:rPr>
                <w:rFonts w:cs="Arial"/>
                <w:lang w:eastAsia="en-NZ"/>
              </w:rPr>
            </w:pPr>
          </w:p>
        </w:tc>
        <w:tc>
          <w:tcPr>
            <w:tcW w:w="0" w:type="auto"/>
          </w:tcPr>
          <w:p w14:paraId="1387BC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49BD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complaints/compliments management policy and procedures were clearly documented to guide staff. The process complies with Right 10 of the Code of Rights, which is the right to complain, to be taken seriously, respected, and to receive a timely response. The service has a complaint register in place. There were nine complaints in 2024, and two in 2025 year to date. The complaint process timeframes is adhered to, and service improvement measures are implemented. Reviewed documentation, including follow-up letters and resolution for previous complaints, demonstrated that complaints were being managed in accordance with guidelines set by the Health and Disability Commissioner. Discussions with residents and family/whānau confirmed that they were provided with information on the complaints process and remarked that any concerns or issues they had, were addressed promptly. </w:t>
            </w:r>
          </w:p>
          <w:p w14:paraId="7CFA539E"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Families/whānau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whānau member, the service would seek the assistance of an interpreter or cultural advisor from the marae if needed. There have been no external complaints reported since the previous audit.</w:t>
            </w:r>
          </w:p>
          <w:p w14:paraId="2A66BC7A" w14:textId="77777777" w:rsidR="00000000" w:rsidRPr="00BE00C7" w:rsidRDefault="00000000" w:rsidP="00BE00C7">
            <w:pPr>
              <w:pStyle w:val="OutcomeDescription"/>
              <w:spacing w:before="120" w:after="120"/>
              <w:rPr>
                <w:rFonts w:cs="Arial"/>
                <w:lang w:eastAsia="en-NZ"/>
              </w:rPr>
            </w:pPr>
          </w:p>
        </w:tc>
      </w:tr>
      <w:tr w:rsidR="00611AD0" w14:paraId="695F03D6" w14:textId="77777777">
        <w:tc>
          <w:tcPr>
            <w:tcW w:w="0" w:type="auto"/>
          </w:tcPr>
          <w:p w14:paraId="77DEDA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B7F3B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0F41E3" w14:textId="77777777" w:rsidR="00000000" w:rsidRPr="00BE00C7" w:rsidRDefault="00000000" w:rsidP="00BE00C7">
            <w:pPr>
              <w:pStyle w:val="OutcomeDescription"/>
              <w:spacing w:before="120" w:after="120"/>
              <w:rPr>
                <w:rFonts w:cs="Arial"/>
                <w:lang w:eastAsia="en-NZ"/>
              </w:rPr>
            </w:pPr>
          </w:p>
        </w:tc>
        <w:tc>
          <w:tcPr>
            <w:tcW w:w="0" w:type="auto"/>
          </w:tcPr>
          <w:p w14:paraId="335F6E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2FE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Greenwood Home is one of four facilities owned by ERH Care Limited. The service provides care for up to 26 residents. On the days of the audit, there were 23 residents, including two residents on a younger person with a disability (YPD) contract, and five residents on long-term support-chronic health conditions (LTS-CHC). The remaining residents were under the age-related residential care (ARRC) contract. </w:t>
            </w:r>
          </w:p>
          <w:p w14:paraId="1BA4B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manages the service with the support of the CL. Two business partners own the service: one serves as the CEO, and the other is the chief financial officer/chairman. The facility has been in operation for over four years. The partners own four care homes in Auckland. </w:t>
            </w:r>
          </w:p>
          <w:p w14:paraId="1879E2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which is current and includes the scope, direction, goals, values, and mission statement of the organisation. The document outlines annual and long-term objectives, along with the associated operational plans. The sighted objectives were time-framed with action steps that the business and care manager report weekly to the senior management team.</w:t>
            </w:r>
          </w:p>
          <w:p w14:paraId="16F98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weekly management quality meetings, six weekly staff meetings and monthly resident meetings. The minutes showed a discussion of the objectives and progress. The CL is a registered nurse who reports to the business and care manager. They meet at least weekly. Management meetings monitor adverse events, restraint use, infections, and care plan timeframes. There is a quality and risk management plan updated as required and at least annually. The CEO and the clinical management team review all aspects of the quality programme annually. </w:t>
            </w:r>
          </w:p>
          <w:p w14:paraId="7E6944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Māori and Pacific advisors. The governing body assumes accountability for delivering a high-quality service by supporting the meaningful inclusion of Māori and Pasifika, in honour of Te Tiriti o Waitangi, and focusing on improving outcomes for Māori and Pasifika. This includes delivering services that enhance outcomes and achieve equity for tāngata whaikaha (people with disabilities). Equity for Māori and Pasifika is also addressed through policy documentation and enabled through choice and control over supports, as well as the removal of barriers that prevent access to information (e.g., information in other languages for the Code of Rights, information regarding complaints, and infection prevention and control). The CEO was knowledgeable about legislative and contractual requirements. </w:t>
            </w:r>
          </w:p>
          <w:p w14:paraId="277B99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governance group is appropriate to the size and complexity of the organisation. The CEO and the clinical team support all levels of the service, from the registered nurses on site to the overall governing body of ERH Care Limited, to ensure there is high-level governance and insight.</w:t>
            </w:r>
          </w:p>
          <w:p w14:paraId="4BB7E87E" w14:textId="77777777" w:rsidR="00000000" w:rsidRPr="00BE00C7" w:rsidRDefault="00000000" w:rsidP="00BE00C7">
            <w:pPr>
              <w:pStyle w:val="OutcomeDescription"/>
              <w:spacing w:before="120" w:after="120"/>
              <w:rPr>
                <w:rFonts w:cs="Arial"/>
                <w:lang w:eastAsia="en-NZ"/>
              </w:rPr>
            </w:pPr>
          </w:p>
        </w:tc>
      </w:tr>
      <w:tr w:rsidR="00611AD0" w14:paraId="141C54F1" w14:textId="77777777">
        <w:tc>
          <w:tcPr>
            <w:tcW w:w="0" w:type="auto"/>
          </w:tcPr>
          <w:p w14:paraId="7D230F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0F89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026E647" w14:textId="77777777" w:rsidR="00000000" w:rsidRPr="00BE00C7" w:rsidRDefault="00000000" w:rsidP="00BE00C7">
            <w:pPr>
              <w:pStyle w:val="OutcomeDescription"/>
              <w:spacing w:before="120" w:after="120"/>
              <w:rPr>
                <w:rFonts w:cs="Arial"/>
                <w:lang w:eastAsia="en-NZ"/>
              </w:rPr>
            </w:pPr>
          </w:p>
        </w:tc>
        <w:tc>
          <w:tcPr>
            <w:tcW w:w="0" w:type="auto"/>
          </w:tcPr>
          <w:p w14:paraId="6F5CF2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E26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16D9418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quality meetings, and resident meetings), and data collation were all documented as scheduled, with corrective actions as indicated. Corrective actions were documented to address service improvements, with evidence of progress and sign-off provided upon achievement. Meetings provide an opportunity for discussions related to key performance indicators. The annual staff satisfaction survey and resident survey in May 2025 reflected high levels of satisfaction in all areas of care and support.</w:t>
            </w:r>
          </w:p>
          <w:p w14:paraId="27B2BA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policies, and procedures clearly describe all potential internal and external risks and corresponding mitigation strategies, aligning with the National Adverse Event Reporting Policy. The CEO and CL were familiar with the severity assessment codes (SAC) reporting requirements, specifically sac1 and sac2.</w:t>
            </w:r>
          </w:p>
          <w:p w14:paraId="0E9A0875"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with identified health and safety goals is in place. Hazard identification forms and an up-to-date hazard register were sighted at the facility. Health and safety policies are implemented and monitored by the health and safety committee and quality team.</w:t>
            </w:r>
          </w:p>
          <w:p w14:paraId="46432C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reports are completed for each incident/accident, with immediate action noted and any follow-up action(s) required. Incident and accident data are collated monthly and analysed for trends. Results are discussed at the meetings. Ten resident-related accident/incident entries were reviewed. Each event involving a resident reflected a clinical assessment and follow-up by the CL. </w:t>
            </w:r>
          </w:p>
          <w:p w14:paraId="1A1E3678" w14:textId="77777777" w:rsidR="00000000" w:rsidRPr="00BE00C7" w:rsidRDefault="00000000" w:rsidP="00BE00C7">
            <w:pPr>
              <w:pStyle w:val="OutcomeDescription"/>
              <w:spacing w:before="120" w:after="120"/>
              <w:rPr>
                <w:rFonts w:cs="Arial"/>
                <w:lang w:eastAsia="en-NZ"/>
              </w:rPr>
            </w:pPr>
          </w:p>
        </w:tc>
      </w:tr>
      <w:tr w:rsidR="00611AD0" w14:paraId="0352219E" w14:textId="77777777">
        <w:tc>
          <w:tcPr>
            <w:tcW w:w="0" w:type="auto"/>
          </w:tcPr>
          <w:p w14:paraId="1DF34F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42C8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13B23F" w14:textId="77777777" w:rsidR="00000000" w:rsidRPr="00BE00C7" w:rsidRDefault="00000000" w:rsidP="00BE00C7">
            <w:pPr>
              <w:pStyle w:val="OutcomeDescription"/>
              <w:spacing w:before="120" w:after="120"/>
              <w:rPr>
                <w:rFonts w:cs="Arial"/>
                <w:lang w:eastAsia="en-NZ"/>
              </w:rPr>
            </w:pPr>
          </w:p>
        </w:tc>
        <w:tc>
          <w:tcPr>
            <w:tcW w:w="0" w:type="auto"/>
          </w:tcPr>
          <w:p w14:paraId="01A9CE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5F7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an adequate number of staff at the service. Residents and family/whānau interviewed supported this. Rosters from the past four weeks showed that all shifts were covered by an experienced registered nurse, and healthcare assistants, with support from the management team. A significant number of staff members hold current first-aid certificates, ensuring that a first aider is always on site.</w:t>
            </w:r>
          </w:p>
          <w:p w14:paraId="7F11FF38"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CEO reported that training is completed face-to-face or online. Evidence of regular education provided to staff was sighted in attendance records. Training topics included (but not limited to): Covid-19 (donning and doffing of personal protective equipment and standard infection control precautions); medication management; restraint; staff performance; complaint management; discrimination, coercion, and harassment; rainbow awareness; continence promotion and management; Māori/Pasifika Cultural safety; skin pressure injury prevention; outbreak management; Covid-19; privacy and dignity; resident centred care; open disclosure and advocacy, fire evacuation and emergency preparedness.</w:t>
            </w:r>
          </w:p>
          <w:p w14:paraId="70790645"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Three HCAs had level 4, two had level 3, and two had level 2. The CEO reported that the model of care ensured that all residents are treated equitably.</w:t>
            </w:r>
          </w:p>
          <w:p w14:paraId="6DF279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 is accredited and maintain competency to conduct interRAI assessments. The staff records sampled demonstrated completion of the required training and competency assessments.</w:t>
            </w:r>
          </w:p>
          <w:p w14:paraId="0A3A8D79" w14:textId="77777777" w:rsidR="00000000" w:rsidRPr="00BE00C7" w:rsidRDefault="00000000" w:rsidP="00BE00C7">
            <w:pPr>
              <w:pStyle w:val="OutcomeDescription"/>
              <w:spacing w:before="120" w:after="120"/>
              <w:rPr>
                <w:rFonts w:cs="Arial"/>
                <w:lang w:eastAsia="en-NZ"/>
              </w:rPr>
            </w:pPr>
          </w:p>
        </w:tc>
      </w:tr>
      <w:tr w:rsidR="00611AD0" w14:paraId="40AB5D2A" w14:textId="77777777">
        <w:tc>
          <w:tcPr>
            <w:tcW w:w="0" w:type="auto"/>
          </w:tcPr>
          <w:p w14:paraId="00E068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24B9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DB86AC" w14:textId="77777777" w:rsidR="00000000" w:rsidRPr="00BE00C7" w:rsidRDefault="00000000" w:rsidP="00BE00C7">
            <w:pPr>
              <w:pStyle w:val="OutcomeDescription"/>
              <w:spacing w:before="120" w:after="120"/>
              <w:rPr>
                <w:rFonts w:cs="Arial"/>
                <w:lang w:eastAsia="en-NZ"/>
              </w:rPr>
            </w:pPr>
          </w:p>
        </w:tc>
        <w:tc>
          <w:tcPr>
            <w:tcW w:w="0" w:type="auto"/>
          </w:tcPr>
          <w:p w14:paraId="6BCA5D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75FD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 and associated health contractors (GP, pharmacists, podiatrist, and dietitian). </w:t>
            </w:r>
          </w:p>
          <w:p w14:paraId="4288B4E3"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five staff files (business care and manager, one CL, one activities coordinator, one HCA, and a cook) were reviewed. Staff files included: reference checks; police checks; appraisals; competencies; individual training plans; professional qualifications; orientation; employment agreements; and position descriptions.</w:t>
            </w:r>
          </w:p>
          <w:p w14:paraId="1190445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annual performance appraisal process, and that they can set their own goals.</w:t>
            </w:r>
          </w:p>
          <w:p w14:paraId="669A1884" w14:textId="77777777" w:rsidR="00000000" w:rsidRPr="00BE00C7" w:rsidRDefault="00000000" w:rsidP="00BE00C7">
            <w:pPr>
              <w:pStyle w:val="OutcomeDescription"/>
              <w:spacing w:before="120" w:after="120"/>
              <w:rPr>
                <w:rFonts w:cs="Arial"/>
                <w:lang w:eastAsia="en-NZ"/>
              </w:rPr>
            </w:pPr>
          </w:p>
        </w:tc>
      </w:tr>
      <w:tr w:rsidR="00611AD0" w14:paraId="32DF0E67" w14:textId="77777777">
        <w:tc>
          <w:tcPr>
            <w:tcW w:w="0" w:type="auto"/>
          </w:tcPr>
          <w:p w14:paraId="0921EC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57E89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67ADB1" w14:textId="77777777" w:rsidR="00000000" w:rsidRPr="00BE00C7" w:rsidRDefault="00000000" w:rsidP="00BE00C7">
            <w:pPr>
              <w:pStyle w:val="OutcomeDescription"/>
              <w:spacing w:before="120" w:after="120"/>
              <w:rPr>
                <w:rFonts w:cs="Arial"/>
                <w:lang w:eastAsia="en-NZ"/>
              </w:rPr>
            </w:pPr>
          </w:p>
        </w:tc>
        <w:tc>
          <w:tcPr>
            <w:tcW w:w="0" w:type="auto"/>
          </w:tcPr>
          <w:p w14:paraId="2E7F26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E5CC99"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files sampled identified that initial assessments and initial care plans were resident-centred, and these were completed in a timely manner. Five resident files were reviewed including one resident on a YPD contract and one on an LTS-CHC contract. The service uses assessment tools that include consideration of residents lived experiences, cultural needs, values, and beliefs. Nursing care is undertaken by appropriately trained and skilled staff, including the nursing team and care staff. InterRAI assessments were completed within 21 days of admission. Cultural assessments were conducted by the CL in consultation with the residents and their families/whānau. Long-term care plans were also developed, and six-monthly evaluation processes ensure that assessments reflect the residents’ daily care needs. Resident, family/whānau/EPOA, and GP involvement is encouraged in the plan of care.</w:t>
            </w:r>
          </w:p>
          <w:p w14:paraId="30E6E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completes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 centred. The residents’ files sampled identified service integration </w:t>
            </w:r>
            <w:r w:rsidRPr="00BE00C7">
              <w:rPr>
                <w:rFonts w:cs="Arial"/>
                <w:lang w:eastAsia="en-NZ"/>
              </w:rPr>
              <w:lastRenderedPageBreak/>
              <w:t>with other members of the health team. Multidisciplinary team (MDT) meetings were completed six-monthly.</w:t>
            </w:r>
          </w:p>
          <w:p w14:paraId="2641E5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and CL reported that sufficient and appropriate information is shared between the staff at each handover. The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on a weekly basis or more frequently, as clinically indicated by the degree of risk noted during the assessment process. These were added to the long-term care plan if the condition did not resolve in three weeks. Any change in condition is reported to the CL, as evidenced in the sampled records. Interviews verified that residents and family/whānau are included and informed of all changes.</w:t>
            </w:r>
          </w:p>
          <w:p w14:paraId="4919C15D"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were reviewed following interRAI reassessments. Where progress differed from expected, the service, in collaboration with the resident or their family/whānau, responded by initiating changes to the care plan. Where there was a significant change in the resident’s condition before the due review date, an interRAI reassessment was completed. A range of equipment and resources were available, suited to the levels of care provided and in accordance with the residents’ needs. The family/whānau and residents interviewed confirmed their involvement in evaluating progress and any resulting changes.</w:t>
            </w:r>
          </w:p>
          <w:p w14:paraId="7C1BE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active wounds at the time of the audit. The following monitoring charts were completed to assess and monitor residents: food and fluid balance charts, neurological observation forms, behaviour charts, weight, blood pressure, blood glucose, and bowel charts.</w:t>
            </w:r>
          </w:p>
          <w:p w14:paraId="55CA35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were assessed as YPD had their unique needs identified and managed appropriately.</w:t>
            </w:r>
          </w:p>
          <w:p w14:paraId="09D105FA" w14:textId="77777777" w:rsidR="00000000" w:rsidRPr="00BE00C7" w:rsidRDefault="00000000" w:rsidP="002E600E">
            <w:pPr>
              <w:pStyle w:val="OutcomeDescription"/>
              <w:spacing w:before="120" w:after="120"/>
              <w:rPr>
                <w:rFonts w:cs="Arial"/>
                <w:lang w:eastAsia="en-NZ"/>
              </w:rPr>
            </w:pPr>
          </w:p>
        </w:tc>
      </w:tr>
      <w:tr w:rsidR="00611AD0" w14:paraId="436126D8" w14:textId="77777777">
        <w:tc>
          <w:tcPr>
            <w:tcW w:w="0" w:type="auto"/>
          </w:tcPr>
          <w:p w14:paraId="323863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84671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8367CB" w14:textId="77777777" w:rsidR="00000000" w:rsidRPr="00BE00C7" w:rsidRDefault="00000000" w:rsidP="00BE00C7">
            <w:pPr>
              <w:pStyle w:val="OutcomeDescription"/>
              <w:spacing w:before="120" w:after="120"/>
              <w:rPr>
                <w:rFonts w:cs="Arial"/>
                <w:lang w:eastAsia="en-NZ"/>
              </w:rPr>
            </w:pPr>
          </w:p>
        </w:tc>
        <w:tc>
          <w:tcPr>
            <w:tcW w:w="0" w:type="auto"/>
          </w:tcPr>
          <w:p w14:paraId="29319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DB0F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Administration records were maintained. Medications are supplied to the facility from a contracted pharmacy. The GP completes three-monthly medication reviews. A total of </w:t>
            </w:r>
            <w:r w:rsidRPr="00BE00C7">
              <w:rPr>
                <w:rFonts w:cs="Arial"/>
                <w:lang w:eastAsia="en-NZ"/>
              </w:rPr>
              <w:lastRenderedPageBreak/>
              <w:t>10 medication charts were reviewed. Allergies were documented, and indications for use are noted for pro re nata (PRN) medications. Eye drops were dated on opening.</w:t>
            </w:r>
          </w:p>
          <w:p w14:paraId="07EEC58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and completed within the last 12 months for all staff administering medicines. Medication incidents were completed in the event of a drug error, and corrective actions were acted upon. A sample of these was reviewed during the audit.</w:t>
            </w:r>
          </w:p>
          <w:p w14:paraId="6E1DBA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any deviations from normal were promptly reported and addressed. Records were sighted.</w:t>
            </w:r>
          </w:p>
          <w:p w14:paraId="057DC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HCA was observed administering medications safely and correctly. Medications were stored safely and securely in the trolley, locked treatment room, and cupboards.</w:t>
            </w:r>
          </w:p>
          <w:p w14:paraId="44CE2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and there is a self-medication policy in place when required. The CL reported that residents are encouraged to self-administer medication if competent to do so. There were no standing orders in use.</w:t>
            </w:r>
          </w:p>
          <w:p w14:paraId="3304348F" w14:textId="77777777" w:rsidR="00000000" w:rsidRPr="00BE00C7" w:rsidRDefault="00000000" w:rsidP="00BE00C7">
            <w:pPr>
              <w:pStyle w:val="OutcomeDescription"/>
              <w:spacing w:before="120" w:after="120"/>
              <w:rPr>
                <w:rFonts w:cs="Arial"/>
                <w:lang w:eastAsia="en-NZ"/>
              </w:rPr>
            </w:pPr>
          </w:p>
        </w:tc>
      </w:tr>
      <w:tr w:rsidR="00611AD0" w14:paraId="33C6D233" w14:textId="77777777">
        <w:tc>
          <w:tcPr>
            <w:tcW w:w="0" w:type="auto"/>
          </w:tcPr>
          <w:p w14:paraId="011BFE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A02C3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71A392A" w14:textId="77777777" w:rsidR="00000000" w:rsidRPr="00BE00C7" w:rsidRDefault="00000000" w:rsidP="00BE00C7">
            <w:pPr>
              <w:pStyle w:val="OutcomeDescription"/>
              <w:spacing w:before="120" w:after="120"/>
              <w:rPr>
                <w:rFonts w:cs="Arial"/>
                <w:lang w:eastAsia="en-NZ"/>
              </w:rPr>
            </w:pPr>
          </w:p>
        </w:tc>
        <w:tc>
          <w:tcPr>
            <w:tcW w:w="0" w:type="auto"/>
          </w:tcPr>
          <w:p w14:paraId="540FD9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21D3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approved food control plan, which expires on 26 June 2025. Diets are modified as required and the kitchen staff confirmed awareness of the dietary needs of the residents. Residents are given the option of choosing a menu they want. Residents have a nutrition profile developed on admission which identifies dietary requirements, likes, and dislikes. Family/whānau and residents interviewed indicated satisfaction with the food service.</w:t>
            </w:r>
          </w:p>
          <w:p w14:paraId="4FB6D2EE" w14:textId="77777777" w:rsidR="00000000" w:rsidRPr="00BE00C7" w:rsidRDefault="00000000" w:rsidP="00BE00C7">
            <w:pPr>
              <w:pStyle w:val="OutcomeDescription"/>
              <w:spacing w:before="120" w:after="120"/>
              <w:rPr>
                <w:rFonts w:cs="Arial"/>
                <w:lang w:eastAsia="en-NZ"/>
              </w:rPr>
            </w:pPr>
          </w:p>
        </w:tc>
      </w:tr>
      <w:tr w:rsidR="00611AD0" w14:paraId="3438D418" w14:textId="77777777">
        <w:tc>
          <w:tcPr>
            <w:tcW w:w="0" w:type="auto"/>
          </w:tcPr>
          <w:p w14:paraId="6D7AAA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5FBE2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32B5B8" w14:textId="77777777" w:rsidR="00000000" w:rsidRPr="00BE00C7" w:rsidRDefault="00000000" w:rsidP="00BE00C7">
            <w:pPr>
              <w:pStyle w:val="OutcomeDescription"/>
              <w:spacing w:before="120" w:after="120"/>
              <w:rPr>
                <w:rFonts w:cs="Arial"/>
                <w:lang w:eastAsia="en-NZ"/>
              </w:rPr>
            </w:pPr>
          </w:p>
        </w:tc>
        <w:tc>
          <w:tcPr>
            <w:tcW w:w="0" w:type="auto"/>
          </w:tcPr>
          <w:p w14:paraId="637255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4B7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sampled evidenced that the transfer and discharge planning included risk mitigation and current residents’ needs. The discharge plan sampled confirmed that, where required, a referral to other allied health providers to ensure the safety of the resident was completed. The CL </w:t>
            </w:r>
            <w:r w:rsidRPr="00BE00C7">
              <w:rPr>
                <w:rFonts w:cs="Arial"/>
                <w:lang w:eastAsia="en-NZ"/>
              </w:rPr>
              <w:lastRenderedPageBreak/>
              <w:t>reported that all transfers and discharges are developed in collaboration with the resident and family/whānau and the accepting service provider.</w:t>
            </w:r>
          </w:p>
          <w:p w14:paraId="4F601600" w14:textId="77777777" w:rsidR="00000000" w:rsidRPr="00BE00C7" w:rsidRDefault="00000000" w:rsidP="00BE00C7">
            <w:pPr>
              <w:pStyle w:val="OutcomeDescription"/>
              <w:spacing w:before="120" w:after="120"/>
              <w:rPr>
                <w:rFonts w:cs="Arial"/>
                <w:lang w:eastAsia="en-NZ"/>
              </w:rPr>
            </w:pPr>
          </w:p>
        </w:tc>
      </w:tr>
      <w:tr w:rsidR="00611AD0" w14:paraId="187E89EF" w14:textId="77777777">
        <w:tc>
          <w:tcPr>
            <w:tcW w:w="0" w:type="auto"/>
          </w:tcPr>
          <w:p w14:paraId="032D6B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07811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936C0AB" w14:textId="77777777" w:rsidR="00000000" w:rsidRPr="00BE00C7" w:rsidRDefault="00000000" w:rsidP="00BE00C7">
            <w:pPr>
              <w:pStyle w:val="OutcomeDescription"/>
              <w:spacing w:before="120" w:after="120"/>
              <w:rPr>
                <w:rFonts w:cs="Arial"/>
                <w:lang w:eastAsia="en-NZ"/>
              </w:rPr>
            </w:pPr>
          </w:p>
        </w:tc>
        <w:tc>
          <w:tcPr>
            <w:tcW w:w="0" w:type="auto"/>
          </w:tcPr>
          <w:p w14:paraId="648A0C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18D88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that the residents’ physical environment and facilities (both internal and external) are fit for purpose. There was a current building warrant of fitness, and the equipment was calibrated. Electrical checks were also completed, and an inventory was maintained. Hot water temperatures are checked monthly, and if any problems or deviations from normal, a contracted plumber is notified. There is also a contracted electrician if required.</w:t>
            </w:r>
          </w:p>
          <w:p w14:paraId="1737CC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52A17E7E" w14:textId="77777777" w:rsidR="00000000" w:rsidRPr="00BE00C7" w:rsidRDefault="00000000" w:rsidP="00BE00C7">
            <w:pPr>
              <w:pStyle w:val="OutcomeDescription"/>
              <w:spacing w:before="120" w:after="120"/>
              <w:rPr>
                <w:rFonts w:cs="Arial"/>
                <w:lang w:eastAsia="en-NZ"/>
              </w:rPr>
            </w:pPr>
          </w:p>
        </w:tc>
      </w:tr>
      <w:tr w:rsidR="00611AD0" w14:paraId="35D363B9" w14:textId="77777777">
        <w:tc>
          <w:tcPr>
            <w:tcW w:w="0" w:type="auto"/>
          </w:tcPr>
          <w:p w14:paraId="497E47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8424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466322C" w14:textId="77777777" w:rsidR="00000000" w:rsidRPr="00BE00C7" w:rsidRDefault="00000000" w:rsidP="00BE00C7">
            <w:pPr>
              <w:pStyle w:val="OutcomeDescription"/>
              <w:spacing w:before="120" w:after="120"/>
              <w:rPr>
                <w:rFonts w:cs="Arial"/>
                <w:lang w:eastAsia="en-NZ"/>
              </w:rPr>
            </w:pPr>
          </w:p>
        </w:tc>
        <w:tc>
          <w:tcPr>
            <w:tcW w:w="0" w:type="auto"/>
          </w:tcPr>
          <w:p w14:paraId="1F9FAC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B641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implemented that was developed with input from external IPC services. The IPC programme was approved by the CEO, in consultation with the clinical team, and is linked to the quality improvement programme. The IPC programme was current and has been reviewed annually. The IPC policies were developed by suitably qualified personnel and comply with relevant legislation and accepted best practices. The IPC policies reflect the requirements of the infection prevention and control standards and include appropriate referencing.</w:t>
            </w:r>
          </w:p>
          <w:p w14:paraId="2A0D91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education in IPC at orientation and through ongoing annual online education sessions. Education with residents was on an </w:t>
            </w:r>
            <w:r w:rsidRPr="00BE00C7">
              <w:rPr>
                <w:rFonts w:cs="Arial"/>
                <w:lang w:eastAsia="en-NZ"/>
              </w:rPr>
              <w:lastRenderedPageBreak/>
              <w:t>individual basis and as a group in residents’ meetings. This included reminders about handwashing and advice about remaining in their room if they are unwell. This was confirmed in interviews with residents and family/whānau.</w:t>
            </w:r>
          </w:p>
          <w:p w14:paraId="659C3CBF" w14:textId="77777777" w:rsidR="00000000" w:rsidRPr="00BE00C7" w:rsidRDefault="00000000" w:rsidP="00BE00C7">
            <w:pPr>
              <w:pStyle w:val="OutcomeDescription"/>
              <w:spacing w:before="120" w:after="120"/>
              <w:rPr>
                <w:rFonts w:cs="Arial"/>
                <w:lang w:eastAsia="en-NZ"/>
              </w:rPr>
            </w:pPr>
          </w:p>
        </w:tc>
      </w:tr>
      <w:tr w:rsidR="00611AD0" w14:paraId="5D262ED4" w14:textId="77777777">
        <w:tc>
          <w:tcPr>
            <w:tcW w:w="0" w:type="auto"/>
          </w:tcPr>
          <w:p w14:paraId="09A57F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D0A12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846842" w14:textId="77777777" w:rsidR="00000000" w:rsidRPr="00BE00C7" w:rsidRDefault="00000000" w:rsidP="00BE00C7">
            <w:pPr>
              <w:pStyle w:val="OutcomeDescription"/>
              <w:spacing w:before="120" w:after="120"/>
              <w:rPr>
                <w:rFonts w:cs="Arial"/>
                <w:lang w:eastAsia="en-NZ"/>
              </w:rPr>
            </w:pPr>
          </w:p>
        </w:tc>
        <w:tc>
          <w:tcPr>
            <w:tcW w:w="0" w:type="auto"/>
          </w:tcPr>
          <w:p w14:paraId="50A090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CA02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quality meetings and reported back to the governing body.</w:t>
            </w:r>
          </w:p>
          <w:p w14:paraId="72D92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101A80A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with a comparison to the previous month, the reason for the increase or decrease, and the recommended action. Any new infections were discussed at shift handovers to facilitate early interventions. Benchmarking is completed internally and externally with other sister facilities.</w:t>
            </w:r>
          </w:p>
          <w:p w14:paraId="63C63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infection outbreaks reported since the last audit.</w:t>
            </w:r>
          </w:p>
          <w:p w14:paraId="46163619" w14:textId="77777777" w:rsidR="00000000" w:rsidRPr="00BE00C7" w:rsidRDefault="00000000" w:rsidP="00BE00C7">
            <w:pPr>
              <w:pStyle w:val="OutcomeDescription"/>
              <w:spacing w:before="120" w:after="120"/>
              <w:rPr>
                <w:rFonts w:cs="Arial"/>
                <w:lang w:eastAsia="en-NZ"/>
              </w:rPr>
            </w:pPr>
          </w:p>
        </w:tc>
      </w:tr>
      <w:tr w:rsidR="00611AD0" w14:paraId="2991CCF6" w14:textId="77777777">
        <w:tc>
          <w:tcPr>
            <w:tcW w:w="0" w:type="auto"/>
          </w:tcPr>
          <w:p w14:paraId="1CDF5B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FC13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7326D84F" w14:textId="77777777" w:rsidR="00000000" w:rsidRPr="00BE00C7" w:rsidRDefault="00000000" w:rsidP="00BE00C7">
            <w:pPr>
              <w:pStyle w:val="OutcomeDescription"/>
              <w:spacing w:before="120" w:after="120"/>
              <w:rPr>
                <w:rFonts w:cs="Arial"/>
                <w:lang w:eastAsia="en-NZ"/>
              </w:rPr>
            </w:pPr>
          </w:p>
        </w:tc>
        <w:tc>
          <w:tcPr>
            <w:tcW w:w="0" w:type="auto"/>
          </w:tcPr>
          <w:p w14:paraId="34453D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55E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committed to a restraint-free environment in all its facilities. There were robust strategies in place to eliminate the use of restraints. The restraint committee is responsible for the organisation’s restraint elimination strategy and monitoring restraints in the organisation. Documentation confirmed that restraint is discussed at staff and management meetings, and relevant information is presented to the governing body. </w:t>
            </w:r>
          </w:p>
          <w:p w14:paraId="7D0BF4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was no restraint in use on the day of the audit. Staff and the restraint coordinator confidently discussed the alternatives to restraint use. Training records showed that all clinical staff attended restraint education and completed a restraint competency during orientation/induction. Training is planned annually.</w:t>
            </w:r>
          </w:p>
          <w:p w14:paraId="4EAEF8F6" w14:textId="77777777" w:rsidR="00000000" w:rsidRPr="00BE00C7" w:rsidRDefault="00000000" w:rsidP="00BE00C7">
            <w:pPr>
              <w:pStyle w:val="OutcomeDescription"/>
              <w:spacing w:before="120" w:after="120"/>
              <w:rPr>
                <w:rFonts w:cs="Arial"/>
                <w:lang w:eastAsia="en-NZ"/>
              </w:rPr>
            </w:pPr>
          </w:p>
        </w:tc>
      </w:tr>
    </w:tbl>
    <w:p w14:paraId="5970B9C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494F5C4" w14:textId="77777777" w:rsidR="00000000" w:rsidRDefault="00000000">
      <w:pPr>
        <w:pStyle w:val="Heading1"/>
        <w:rPr>
          <w:rFonts w:cs="Arial"/>
        </w:rPr>
      </w:pPr>
      <w:r>
        <w:rPr>
          <w:rFonts w:cs="Arial"/>
        </w:rPr>
        <w:lastRenderedPageBreak/>
        <w:t>Specific results for criterion where corrective actions are required</w:t>
      </w:r>
    </w:p>
    <w:p w14:paraId="71A5498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D038EE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8DDDF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1AD0" w14:paraId="7BCA8DD2" w14:textId="77777777">
        <w:tc>
          <w:tcPr>
            <w:tcW w:w="0" w:type="auto"/>
          </w:tcPr>
          <w:p w14:paraId="2988AFB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AF98E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F8A2AEF" w14:textId="77777777" w:rsidR="00000000" w:rsidRDefault="00000000">
      <w:pPr>
        <w:pStyle w:val="Heading1"/>
        <w:rPr>
          <w:rFonts w:cs="Arial"/>
        </w:rPr>
      </w:pPr>
      <w:r>
        <w:rPr>
          <w:rFonts w:cs="Arial"/>
        </w:rPr>
        <w:lastRenderedPageBreak/>
        <w:t>Specific results for criterion where a continuous improvement has been recorded</w:t>
      </w:r>
    </w:p>
    <w:p w14:paraId="729E228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9FCA9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2C078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1AD0" w14:paraId="2A56D818" w14:textId="77777777">
        <w:tc>
          <w:tcPr>
            <w:tcW w:w="0" w:type="auto"/>
          </w:tcPr>
          <w:p w14:paraId="1C2AA05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0ACCF0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090511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E2BD" w14:textId="77777777" w:rsidR="008531BA" w:rsidRDefault="008531BA">
      <w:r>
        <w:separator/>
      </w:r>
    </w:p>
  </w:endnote>
  <w:endnote w:type="continuationSeparator" w:id="0">
    <w:p w14:paraId="09DCE4A5" w14:textId="77777777" w:rsidR="008531BA" w:rsidRDefault="0085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4A75" w14:textId="77777777" w:rsidR="00000000" w:rsidRDefault="00000000">
    <w:pPr>
      <w:pStyle w:val="Footer"/>
    </w:pPr>
  </w:p>
  <w:p w14:paraId="66FC37AE" w14:textId="77777777" w:rsidR="00000000" w:rsidRDefault="00000000"/>
  <w:p w14:paraId="74F0EB7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5F0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ERH Care Limited - The Greenwood Home</w:t>
    </w:r>
    <w:bookmarkEnd w:id="59"/>
    <w:r>
      <w:rPr>
        <w:rFonts w:cs="Arial"/>
        <w:sz w:val="16"/>
        <w:szCs w:val="20"/>
      </w:rPr>
      <w:tab/>
      <w:t xml:space="preserve">Date of Audit: </w:t>
    </w:r>
    <w:bookmarkStart w:id="60" w:name="AuditStartDate1"/>
    <w:r>
      <w:rPr>
        <w:rFonts w:cs="Arial"/>
        <w:sz w:val="16"/>
        <w:szCs w:val="20"/>
      </w:rPr>
      <w:t>5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99552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4B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AC9C" w14:textId="77777777" w:rsidR="008531BA" w:rsidRDefault="008531BA">
      <w:r>
        <w:separator/>
      </w:r>
    </w:p>
  </w:footnote>
  <w:footnote w:type="continuationSeparator" w:id="0">
    <w:p w14:paraId="7187D3A5" w14:textId="77777777" w:rsidR="008531BA" w:rsidRDefault="0085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0D20" w14:textId="77777777" w:rsidR="00000000" w:rsidRDefault="00000000">
    <w:pPr>
      <w:pStyle w:val="Header"/>
    </w:pPr>
  </w:p>
  <w:p w14:paraId="724F63D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5B97" w14:textId="77777777" w:rsidR="00000000" w:rsidRDefault="00000000">
    <w:pPr>
      <w:pStyle w:val="Header"/>
    </w:pPr>
  </w:p>
  <w:p w14:paraId="71185A4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5AB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750A50E">
      <w:start w:val="1"/>
      <w:numFmt w:val="decimal"/>
      <w:lvlText w:val="%1."/>
      <w:lvlJc w:val="left"/>
      <w:pPr>
        <w:ind w:left="360" w:hanging="360"/>
      </w:pPr>
    </w:lvl>
    <w:lvl w:ilvl="1" w:tplc="72D85814" w:tentative="1">
      <w:start w:val="1"/>
      <w:numFmt w:val="lowerLetter"/>
      <w:lvlText w:val="%2."/>
      <w:lvlJc w:val="left"/>
      <w:pPr>
        <w:ind w:left="1080" w:hanging="360"/>
      </w:pPr>
    </w:lvl>
    <w:lvl w:ilvl="2" w:tplc="66925C94" w:tentative="1">
      <w:start w:val="1"/>
      <w:numFmt w:val="lowerRoman"/>
      <w:lvlText w:val="%3."/>
      <w:lvlJc w:val="right"/>
      <w:pPr>
        <w:ind w:left="1800" w:hanging="180"/>
      </w:pPr>
    </w:lvl>
    <w:lvl w:ilvl="3" w:tplc="133AE5EE" w:tentative="1">
      <w:start w:val="1"/>
      <w:numFmt w:val="decimal"/>
      <w:lvlText w:val="%4."/>
      <w:lvlJc w:val="left"/>
      <w:pPr>
        <w:ind w:left="2520" w:hanging="360"/>
      </w:pPr>
    </w:lvl>
    <w:lvl w:ilvl="4" w:tplc="8838411C" w:tentative="1">
      <w:start w:val="1"/>
      <w:numFmt w:val="lowerLetter"/>
      <w:lvlText w:val="%5."/>
      <w:lvlJc w:val="left"/>
      <w:pPr>
        <w:ind w:left="3240" w:hanging="360"/>
      </w:pPr>
    </w:lvl>
    <w:lvl w:ilvl="5" w:tplc="2E70ECAA" w:tentative="1">
      <w:start w:val="1"/>
      <w:numFmt w:val="lowerRoman"/>
      <w:lvlText w:val="%6."/>
      <w:lvlJc w:val="right"/>
      <w:pPr>
        <w:ind w:left="3960" w:hanging="180"/>
      </w:pPr>
    </w:lvl>
    <w:lvl w:ilvl="6" w:tplc="B59E21F0" w:tentative="1">
      <w:start w:val="1"/>
      <w:numFmt w:val="decimal"/>
      <w:lvlText w:val="%7."/>
      <w:lvlJc w:val="left"/>
      <w:pPr>
        <w:ind w:left="4680" w:hanging="360"/>
      </w:pPr>
    </w:lvl>
    <w:lvl w:ilvl="7" w:tplc="40E888E0" w:tentative="1">
      <w:start w:val="1"/>
      <w:numFmt w:val="lowerLetter"/>
      <w:lvlText w:val="%8."/>
      <w:lvlJc w:val="left"/>
      <w:pPr>
        <w:ind w:left="5400" w:hanging="360"/>
      </w:pPr>
    </w:lvl>
    <w:lvl w:ilvl="8" w:tplc="8CBC73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76CAAF4">
      <w:start w:val="1"/>
      <w:numFmt w:val="bullet"/>
      <w:lvlText w:val=""/>
      <w:lvlJc w:val="left"/>
      <w:pPr>
        <w:ind w:left="720" w:hanging="360"/>
      </w:pPr>
      <w:rPr>
        <w:rFonts w:ascii="Symbol" w:hAnsi="Symbol" w:hint="default"/>
      </w:rPr>
    </w:lvl>
    <w:lvl w:ilvl="1" w:tplc="C944DB30" w:tentative="1">
      <w:start w:val="1"/>
      <w:numFmt w:val="bullet"/>
      <w:lvlText w:val="o"/>
      <w:lvlJc w:val="left"/>
      <w:pPr>
        <w:ind w:left="1440" w:hanging="360"/>
      </w:pPr>
      <w:rPr>
        <w:rFonts w:ascii="Courier New" w:hAnsi="Courier New" w:cs="Courier New" w:hint="default"/>
      </w:rPr>
    </w:lvl>
    <w:lvl w:ilvl="2" w:tplc="72304016" w:tentative="1">
      <w:start w:val="1"/>
      <w:numFmt w:val="bullet"/>
      <w:lvlText w:val=""/>
      <w:lvlJc w:val="left"/>
      <w:pPr>
        <w:ind w:left="2160" w:hanging="360"/>
      </w:pPr>
      <w:rPr>
        <w:rFonts w:ascii="Wingdings" w:hAnsi="Wingdings" w:hint="default"/>
      </w:rPr>
    </w:lvl>
    <w:lvl w:ilvl="3" w:tplc="12860C00" w:tentative="1">
      <w:start w:val="1"/>
      <w:numFmt w:val="bullet"/>
      <w:lvlText w:val=""/>
      <w:lvlJc w:val="left"/>
      <w:pPr>
        <w:ind w:left="2880" w:hanging="360"/>
      </w:pPr>
      <w:rPr>
        <w:rFonts w:ascii="Symbol" w:hAnsi="Symbol" w:hint="default"/>
      </w:rPr>
    </w:lvl>
    <w:lvl w:ilvl="4" w:tplc="C1F46644" w:tentative="1">
      <w:start w:val="1"/>
      <w:numFmt w:val="bullet"/>
      <w:lvlText w:val="o"/>
      <w:lvlJc w:val="left"/>
      <w:pPr>
        <w:ind w:left="3600" w:hanging="360"/>
      </w:pPr>
      <w:rPr>
        <w:rFonts w:ascii="Courier New" w:hAnsi="Courier New" w:cs="Courier New" w:hint="default"/>
      </w:rPr>
    </w:lvl>
    <w:lvl w:ilvl="5" w:tplc="C7AED146" w:tentative="1">
      <w:start w:val="1"/>
      <w:numFmt w:val="bullet"/>
      <w:lvlText w:val=""/>
      <w:lvlJc w:val="left"/>
      <w:pPr>
        <w:ind w:left="4320" w:hanging="360"/>
      </w:pPr>
      <w:rPr>
        <w:rFonts w:ascii="Wingdings" w:hAnsi="Wingdings" w:hint="default"/>
      </w:rPr>
    </w:lvl>
    <w:lvl w:ilvl="6" w:tplc="276827C6" w:tentative="1">
      <w:start w:val="1"/>
      <w:numFmt w:val="bullet"/>
      <w:lvlText w:val=""/>
      <w:lvlJc w:val="left"/>
      <w:pPr>
        <w:ind w:left="5040" w:hanging="360"/>
      </w:pPr>
      <w:rPr>
        <w:rFonts w:ascii="Symbol" w:hAnsi="Symbol" w:hint="default"/>
      </w:rPr>
    </w:lvl>
    <w:lvl w:ilvl="7" w:tplc="37984EC0" w:tentative="1">
      <w:start w:val="1"/>
      <w:numFmt w:val="bullet"/>
      <w:lvlText w:val="o"/>
      <w:lvlJc w:val="left"/>
      <w:pPr>
        <w:ind w:left="5760" w:hanging="360"/>
      </w:pPr>
      <w:rPr>
        <w:rFonts w:ascii="Courier New" w:hAnsi="Courier New" w:cs="Courier New" w:hint="default"/>
      </w:rPr>
    </w:lvl>
    <w:lvl w:ilvl="8" w:tplc="90D6E54E" w:tentative="1">
      <w:start w:val="1"/>
      <w:numFmt w:val="bullet"/>
      <w:lvlText w:val=""/>
      <w:lvlJc w:val="left"/>
      <w:pPr>
        <w:ind w:left="6480" w:hanging="360"/>
      </w:pPr>
      <w:rPr>
        <w:rFonts w:ascii="Wingdings" w:hAnsi="Wingdings" w:hint="default"/>
      </w:rPr>
    </w:lvl>
  </w:abstractNum>
  <w:num w:numId="1" w16cid:durableId="791901217">
    <w:abstractNumId w:val="1"/>
  </w:num>
  <w:num w:numId="2" w16cid:durableId="201025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D0"/>
    <w:rsid w:val="002E600E"/>
    <w:rsid w:val="00611AD0"/>
    <w:rsid w:val="008531BA"/>
    <w:rsid w:val="00AF07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A0D2"/>
  <w15:docId w15:val="{A2790449-9C4D-4179-95C4-D1D92EA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6572</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2025-07-13T20:51:00Z</dcterms:created>
  <dcterms:modified xsi:type="dcterms:W3CDTF">2025-07-13T20:56:00Z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