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AD81" w14:textId="77777777" w:rsidR="00000000" w:rsidRDefault="00000000">
      <w:pPr>
        <w:pStyle w:val="Heading1"/>
        <w:rPr>
          <w:rFonts w:cs="Arial"/>
        </w:rPr>
      </w:pPr>
      <w:bookmarkStart w:id="0" w:name="PRMS_RIName"/>
      <w:r>
        <w:rPr>
          <w:rFonts w:cs="Arial"/>
        </w:rPr>
        <w:t>Kamo Home &amp; Village Charitable Trust - Parahaki Court</w:t>
      </w:r>
      <w:bookmarkEnd w:id="0"/>
    </w:p>
    <w:p w14:paraId="55C41929" w14:textId="77777777" w:rsidR="00000000" w:rsidRDefault="00000000">
      <w:pPr>
        <w:pStyle w:val="Heading2"/>
        <w:spacing w:after="0"/>
        <w:rPr>
          <w:rFonts w:cs="Arial"/>
        </w:rPr>
      </w:pPr>
      <w:r>
        <w:rPr>
          <w:rFonts w:cs="Arial"/>
        </w:rPr>
        <w:t>Introduction</w:t>
      </w:r>
    </w:p>
    <w:p w14:paraId="5F0617E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7D0DDB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2D7015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D5C09A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EEA2BD9" w14:textId="77777777" w:rsidR="00000000" w:rsidRDefault="00000000">
      <w:pPr>
        <w:spacing w:before="240" w:after="240"/>
        <w:rPr>
          <w:rFonts w:cs="Arial"/>
          <w:lang w:eastAsia="en-NZ"/>
        </w:rPr>
      </w:pPr>
      <w:r>
        <w:rPr>
          <w:rFonts w:cs="Arial"/>
          <w:lang w:eastAsia="en-NZ"/>
        </w:rPr>
        <w:t>The specifics of this audit included:</w:t>
      </w:r>
    </w:p>
    <w:p w14:paraId="48A0ECD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0A9BE4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Kamo Home &amp; Village Charitable Trust</w:t>
      </w:r>
      <w:bookmarkEnd w:id="4"/>
    </w:p>
    <w:p w14:paraId="6AF4A38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Parahaki Court</w:t>
      </w:r>
      <w:bookmarkEnd w:id="5"/>
    </w:p>
    <w:p w14:paraId="4632125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9F6522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June 2025</w:t>
      </w:r>
      <w:bookmarkEnd w:id="7"/>
      <w:r w:rsidRPr="009418D4">
        <w:rPr>
          <w:rFonts w:cs="Arial"/>
        </w:rPr>
        <w:tab/>
        <w:t xml:space="preserve">End date: </w:t>
      </w:r>
      <w:bookmarkStart w:id="8" w:name="AuditEndDate"/>
      <w:r>
        <w:rPr>
          <w:rFonts w:cs="Arial"/>
        </w:rPr>
        <w:t>5 June 2025</w:t>
      </w:r>
      <w:bookmarkEnd w:id="8"/>
    </w:p>
    <w:p w14:paraId="49BB2F2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D0D152F" w14:textId="77777777" w:rsidR="0047024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23</w:t>
      </w:r>
      <w:bookmarkEnd w:id="10"/>
    </w:p>
    <w:p w14:paraId="69F2650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31A4C75" w14:textId="77777777" w:rsidR="00000000" w:rsidRDefault="00000000">
      <w:pPr>
        <w:pStyle w:val="Heading1"/>
        <w:rPr>
          <w:rFonts w:cs="Arial"/>
        </w:rPr>
      </w:pPr>
      <w:r>
        <w:rPr>
          <w:rFonts w:cs="Arial"/>
        </w:rPr>
        <w:lastRenderedPageBreak/>
        <w:t>Executive summary of the audit</w:t>
      </w:r>
    </w:p>
    <w:p w14:paraId="72F3DD99" w14:textId="77777777" w:rsidR="00000000" w:rsidRDefault="00000000">
      <w:pPr>
        <w:pStyle w:val="Heading2"/>
        <w:rPr>
          <w:rFonts w:cs="Arial"/>
        </w:rPr>
      </w:pPr>
      <w:r>
        <w:rPr>
          <w:rFonts w:cs="Arial"/>
        </w:rPr>
        <w:t>Introduction</w:t>
      </w:r>
    </w:p>
    <w:p w14:paraId="1089202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7A375D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4EBEA9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993222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C93269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43B32D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E1B05D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DBD480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182074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70241" w14:paraId="0B318ACA" w14:textId="77777777">
        <w:trPr>
          <w:cantSplit/>
          <w:tblHeader/>
        </w:trPr>
        <w:tc>
          <w:tcPr>
            <w:tcW w:w="1260" w:type="dxa"/>
            <w:tcBorders>
              <w:bottom w:val="single" w:sz="4" w:space="0" w:color="000000"/>
            </w:tcBorders>
            <w:vAlign w:val="center"/>
          </w:tcPr>
          <w:p w14:paraId="445EA9B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EA22A7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E443EFF" w14:textId="77777777" w:rsidR="00000000" w:rsidRDefault="00000000">
            <w:pPr>
              <w:spacing w:before="60" w:after="60"/>
              <w:rPr>
                <w:rFonts w:eastAsia="Calibri"/>
                <w:b/>
                <w:szCs w:val="24"/>
              </w:rPr>
            </w:pPr>
            <w:r>
              <w:rPr>
                <w:rFonts w:eastAsia="Calibri"/>
                <w:b/>
                <w:szCs w:val="24"/>
              </w:rPr>
              <w:t>Definition</w:t>
            </w:r>
          </w:p>
        </w:tc>
      </w:tr>
      <w:tr w:rsidR="00470241" w14:paraId="299800BD" w14:textId="77777777">
        <w:trPr>
          <w:cantSplit/>
          <w:trHeight w:val="964"/>
        </w:trPr>
        <w:tc>
          <w:tcPr>
            <w:tcW w:w="1260" w:type="dxa"/>
            <w:tcBorders>
              <w:bottom w:val="single" w:sz="4" w:space="0" w:color="000000"/>
            </w:tcBorders>
            <w:shd w:val="clear" w:color="0066FF" w:fill="0000FF"/>
            <w:vAlign w:val="center"/>
          </w:tcPr>
          <w:p w14:paraId="06A62C2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FF93DB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7C19C5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70241" w14:paraId="0CFF4EB1" w14:textId="77777777">
        <w:trPr>
          <w:cantSplit/>
          <w:trHeight w:val="964"/>
        </w:trPr>
        <w:tc>
          <w:tcPr>
            <w:tcW w:w="1260" w:type="dxa"/>
            <w:shd w:val="clear" w:color="33CC33" w:fill="00FF00"/>
            <w:vAlign w:val="center"/>
          </w:tcPr>
          <w:p w14:paraId="4761168C" w14:textId="77777777" w:rsidR="00000000" w:rsidRDefault="00000000">
            <w:pPr>
              <w:spacing w:before="60" w:after="60"/>
              <w:rPr>
                <w:rFonts w:eastAsia="Calibri"/>
                <w:szCs w:val="24"/>
              </w:rPr>
            </w:pPr>
          </w:p>
        </w:tc>
        <w:tc>
          <w:tcPr>
            <w:tcW w:w="7095" w:type="dxa"/>
            <w:shd w:val="clear" w:color="auto" w:fill="auto"/>
            <w:vAlign w:val="center"/>
          </w:tcPr>
          <w:p w14:paraId="72AAC21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BE3CB6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70241" w14:paraId="08B36971" w14:textId="77777777">
        <w:trPr>
          <w:cantSplit/>
          <w:trHeight w:val="964"/>
        </w:trPr>
        <w:tc>
          <w:tcPr>
            <w:tcW w:w="1260" w:type="dxa"/>
            <w:tcBorders>
              <w:bottom w:val="single" w:sz="4" w:space="0" w:color="000000"/>
            </w:tcBorders>
            <w:shd w:val="clear" w:color="auto" w:fill="FFFF00"/>
            <w:vAlign w:val="center"/>
          </w:tcPr>
          <w:p w14:paraId="397AA415" w14:textId="77777777" w:rsidR="00000000" w:rsidRDefault="00000000">
            <w:pPr>
              <w:spacing w:before="60" w:after="60"/>
              <w:rPr>
                <w:rFonts w:eastAsia="Calibri"/>
                <w:szCs w:val="24"/>
              </w:rPr>
            </w:pPr>
          </w:p>
        </w:tc>
        <w:tc>
          <w:tcPr>
            <w:tcW w:w="7095" w:type="dxa"/>
            <w:shd w:val="clear" w:color="auto" w:fill="auto"/>
            <w:vAlign w:val="center"/>
          </w:tcPr>
          <w:p w14:paraId="30F593E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838737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70241" w14:paraId="1B746FE5" w14:textId="77777777">
        <w:trPr>
          <w:cantSplit/>
          <w:trHeight w:val="964"/>
        </w:trPr>
        <w:tc>
          <w:tcPr>
            <w:tcW w:w="1260" w:type="dxa"/>
            <w:tcBorders>
              <w:bottom w:val="single" w:sz="4" w:space="0" w:color="000000"/>
            </w:tcBorders>
            <w:shd w:val="clear" w:color="auto" w:fill="FFC800"/>
            <w:vAlign w:val="center"/>
          </w:tcPr>
          <w:p w14:paraId="65E0BE2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9EC07E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EF72C8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70241" w14:paraId="5218154B" w14:textId="77777777">
        <w:trPr>
          <w:cantSplit/>
          <w:trHeight w:val="964"/>
        </w:trPr>
        <w:tc>
          <w:tcPr>
            <w:tcW w:w="1260" w:type="dxa"/>
            <w:shd w:val="clear" w:color="auto" w:fill="FF0000"/>
            <w:vAlign w:val="center"/>
          </w:tcPr>
          <w:p w14:paraId="5CF55BDD" w14:textId="77777777" w:rsidR="00000000" w:rsidRDefault="00000000">
            <w:pPr>
              <w:spacing w:before="60" w:after="60"/>
              <w:rPr>
                <w:rFonts w:eastAsia="Calibri"/>
                <w:szCs w:val="24"/>
              </w:rPr>
            </w:pPr>
          </w:p>
        </w:tc>
        <w:tc>
          <w:tcPr>
            <w:tcW w:w="7095" w:type="dxa"/>
            <w:shd w:val="clear" w:color="auto" w:fill="auto"/>
            <w:vAlign w:val="center"/>
          </w:tcPr>
          <w:p w14:paraId="4BD2058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32BCB0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0F5CAF9" w14:textId="77777777" w:rsidR="00000000" w:rsidRDefault="00000000">
      <w:pPr>
        <w:pStyle w:val="Heading2"/>
        <w:spacing w:after="0"/>
        <w:rPr>
          <w:rFonts w:cs="Arial"/>
        </w:rPr>
      </w:pPr>
      <w:r>
        <w:rPr>
          <w:rFonts w:cs="Arial"/>
        </w:rPr>
        <w:t>General overview of the audit</w:t>
      </w:r>
    </w:p>
    <w:p w14:paraId="70785512" w14:textId="77777777" w:rsidR="00000000" w:rsidRDefault="00000000">
      <w:pPr>
        <w:spacing w:before="240" w:line="276" w:lineRule="auto"/>
        <w:rPr>
          <w:rFonts w:eastAsia="Calibri"/>
        </w:rPr>
      </w:pPr>
      <w:bookmarkStart w:id="13" w:name="GeneralOverview"/>
      <w:r w:rsidRPr="00A4268A">
        <w:rPr>
          <w:rFonts w:eastAsia="Calibri"/>
        </w:rPr>
        <w:t>Parahaki Court Rest Home provides rest home services and is certified to provide care for up to 25 residents. There have been no significant changes to the service or facility since the previous audit. The service is operated by Kamo Home Village Charitable Trust (KHVCT), which owns four aged residential care facilities. The facility is managed by a registered nurse who is currently being supported by a clinical charge nurse and overseen by the group care manager and the general manager.</w:t>
      </w:r>
    </w:p>
    <w:p w14:paraId="53649098" w14:textId="77777777" w:rsidR="00470241" w:rsidRPr="00A4268A" w:rsidRDefault="00000000">
      <w:pPr>
        <w:spacing w:before="240" w:line="276" w:lineRule="auto"/>
        <w:rPr>
          <w:rFonts w:eastAsia="Calibri"/>
        </w:rPr>
      </w:pPr>
      <w:r w:rsidRPr="00A4268A">
        <w:rPr>
          <w:rFonts w:eastAsia="Calibri"/>
        </w:rPr>
        <w:t>This certification audit was conducted against the Ngā Paerewa Health and Disability Service Standard NZS8134:2021 and the provider’s contract with Health New Zealand – Te Whatu Ora Te Tai Tokerau. The certification process included review of policies and procedures, review of resident and staff records, and observations and interviews with residents and family members, governance representatives, the general practitioner and staff.</w:t>
      </w:r>
    </w:p>
    <w:p w14:paraId="540C02BD" w14:textId="77777777" w:rsidR="00470241" w:rsidRPr="00A4268A" w:rsidRDefault="00000000">
      <w:pPr>
        <w:spacing w:before="240" w:line="276" w:lineRule="auto"/>
        <w:rPr>
          <w:rFonts w:eastAsia="Calibri"/>
        </w:rPr>
      </w:pPr>
      <w:r w:rsidRPr="00A4268A">
        <w:rPr>
          <w:rFonts w:eastAsia="Calibri"/>
        </w:rPr>
        <w:t xml:space="preserve">Strengths of the service, resulting in continuous improvement ratings, relate to consumer rights and increasing health equity, improving staff induction/orientation and ongoing employee learning responses, and the introduction of a measure to improve resident outcomes as part of the activities programme. No areas were identified as requiring improvement.  </w:t>
      </w:r>
    </w:p>
    <w:bookmarkEnd w:id="13"/>
    <w:p w14:paraId="6BD1FF99" w14:textId="77777777" w:rsidR="00470241" w:rsidRPr="00A4268A" w:rsidRDefault="00470241">
      <w:pPr>
        <w:spacing w:before="240" w:line="276" w:lineRule="auto"/>
        <w:rPr>
          <w:rFonts w:eastAsia="Calibri"/>
        </w:rPr>
      </w:pPr>
    </w:p>
    <w:p w14:paraId="724782D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0241" w14:paraId="192F2610" w14:textId="77777777" w:rsidTr="00A4268A">
        <w:trPr>
          <w:cantSplit/>
        </w:trPr>
        <w:tc>
          <w:tcPr>
            <w:tcW w:w="10206" w:type="dxa"/>
            <w:vAlign w:val="center"/>
          </w:tcPr>
          <w:p w14:paraId="3C7398D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9BA8FF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5321B9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E58A14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0D3F96C" w14:textId="77777777" w:rsidR="00000000" w:rsidRDefault="00000000">
      <w:pPr>
        <w:spacing w:before="240" w:line="276" w:lineRule="auto"/>
        <w:rPr>
          <w:rFonts w:eastAsia="Calibri"/>
        </w:rPr>
      </w:pPr>
      <w:bookmarkStart w:id="16" w:name="ConsumerRights"/>
      <w:r w:rsidRPr="00A4268A">
        <w:rPr>
          <w:rFonts w:eastAsia="Calibri"/>
        </w:rPr>
        <w:t xml:space="preserve">Parahaki Court Rest Home (Parahaki Court) works collaboratively to support and encourage a Māori world view of health in service delivery. Māori are provided with equitable and effective services based on Te Tiriti o Waitangi and the principles of mana motuhake. </w:t>
      </w:r>
    </w:p>
    <w:p w14:paraId="1F147443" w14:textId="77777777" w:rsidR="00470241" w:rsidRPr="00A4268A" w:rsidRDefault="00000000">
      <w:pPr>
        <w:spacing w:before="240" w:line="276" w:lineRule="auto"/>
        <w:rPr>
          <w:rFonts w:eastAsia="Calibri"/>
        </w:rPr>
      </w:pPr>
      <w:r w:rsidRPr="00A4268A">
        <w:rPr>
          <w:rFonts w:eastAsia="Calibri"/>
        </w:rPr>
        <w:t xml:space="preserve">Policies document that when Pacific peoples are admitted, they are provided with services that recognise their worldviews and are culturally safe.  </w:t>
      </w:r>
    </w:p>
    <w:p w14:paraId="6EBCE183" w14:textId="77777777" w:rsidR="00470241"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is reflected in day-to-day service delivery.  Residents were safe from abuse.</w:t>
      </w:r>
    </w:p>
    <w:p w14:paraId="5F24611D" w14:textId="77777777" w:rsidR="00470241"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 </w:t>
      </w:r>
    </w:p>
    <w:p w14:paraId="11AE7F90" w14:textId="77777777" w:rsidR="00470241"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6E606B9C" w14:textId="77777777" w:rsidR="00470241" w:rsidRPr="00A4268A" w:rsidRDefault="00470241">
      <w:pPr>
        <w:spacing w:before="240" w:line="276" w:lineRule="auto"/>
        <w:rPr>
          <w:rFonts w:eastAsia="Calibri"/>
        </w:rPr>
      </w:pPr>
    </w:p>
    <w:p w14:paraId="040D37A3"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0241" w14:paraId="5A085A42" w14:textId="77777777" w:rsidTr="00A4268A">
        <w:trPr>
          <w:cantSplit/>
        </w:trPr>
        <w:tc>
          <w:tcPr>
            <w:tcW w:w="10206" w:type="dxa"/>
            <w:vAlign w:val="center"/>
          </w:tcPr>
          <w:p w14:paraId="0A1C145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24573A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D726E8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D7B8EFD"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included supporting meaningful inclusion of Māori in governance groups, honouring Te Tiriti and reducing barriers to improve outcomes for Māori and people with disabilities.</w:t>
      </w:r>
    </w:p>
    <w:p w14:paraId="582940CC" w14:textId="77777777" w:rsidR="00470241"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41A7B77D" w14:textId="77777777" w:rsidR="00470241"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provided regular feedback and staff were involved in quality activities.  An integrated approach included collection and analysis of quality improvement data, and identified trends that led to improvements. Actual and potential risks were identified and mitigated.  </w:t>
      </w:r>
    </w:p>
    <w:p w14:paraId="5A370708" w14:textId="77777777" w:rsidR="00470241"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0C15A8D5" w14:textId="77777777" w:rsidR="00470241"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supports safe equitable service delivery. </w:t>
      </w:r>
    </w:p>
    <w:p w14:paraId="35FAAE93" w14:textId="77777777" w:rsidR="00470241" w:rsidRPr="00A4268A" w:rsidRDefault="00000000">
      <w:pPr>
        <w:spacing w:before="240" w:line="276" w:lineRule="auto"/>
        <w:rPr>
          <w:rFonts w:eastAsia="Calibri"/>
        </w:rPr>
      </w:pPr>
      <w:r w:rsidRPr="00A4268A">
        <w:rPr>
          <w:rFonts w:eastAsia="Calibri"/>
        </w:rPr>
        <w:t xml:space="preserve">Resident information was accurately recorded, securely stored and not accessible to unauthorised people.  </w:t>
      </w:r>
    </w:p>
    <w:bookmarkEnd w:id="19"/>
    <w:p w14:paraId="6D0803E8" w14:textId="77777777" w:rsidR="00470241" w:rsidRPr="00A4268A" w:rsidRDefault="00470241">
      <w:pPr>
        <w:spacing w:before="240" w:line="276" w:lineRule="auto"/>
        <w:rPr>
          <w:rFonts w:eastAsia="Calibri"/>
        </w:rPr>
      </w:pPr>
    </w:p>
    <w:p w14:paraId="678AD88F"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0241" w14:paraId="51FF938A" w14:textId="77777777" w:rsidTr="00A4268A">
        <w:trPr>
          <w:cantSplit/>
        </w:trPr>
        <w:tc>
          <w:tcPr>
            <w:tcW w:w="10206" w:type="dxa"/>
            <w:vAlign w:val="center"/>
          </w:tcPr>
          <w:p w14:paraId="54A2DAC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6AF4B8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DF02D1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4CC057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was provided to the potential resident and whānau.  </w:t>
      </w:r>
    </w:p>
    <w:p w14:paraId="31F9F155" w14:textId="77777777" w:rsidR="00470241"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5CAC1A93" w14:textId="77777777" w:rsidR="00470241"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51846B4B" w14:textId="77777777" w:rsidR="00470241"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6014F9AE" w14:textId="77777777" w:rsidR="00470241" w:rsidRPr="00A4268A" w:rsidRDefault="00000000"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1FBB7575" w14:textId="77777777" w:rsidR="00470241"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7595DCE5" w14:textId="77777777" w:rsidR="00470241" w:rsidRPr="00A4268A" w:rsidRDefault="00470241" w:rsidP="00621629">
      <w:pPr>
        <w:spacing w:before="240" w:line="276" w:lineRule="auto"/>
        <w:rPr>
          <w:rFonts w:eastAsia="Calibri"/>
        </w:rPr>
      </w:pPr>
    </w:p>
    <w:p w14:paraId="114843C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0241" w14:paraId="57899385" w14:textId="77777777" w:rsidTr="00A4268A">
        <w:trPr>
          <w:cantSplit/>
        </w:trPr>
        <w:tc>
          <w:tcPr>
            <w:tcW w:w="10206" w:type="dxa"/>
            <w:vAlign w:val="center"/>
          </w:tcPr>
          <w:p w14:paraId="1C5C726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19C7AE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B22F7D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3ED2E8E"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 xml:space="preserve">The facility met the needs of residents and was clean and well maintained. There was a current building warrant of fitness.  Electrical equipment was tested as required. External areas are accessible, safe, and provide shade and seating, and meet the needs of people with disabilities. </w:t>
      </w:r>
    </w:p>
    <w:p w14:paraId="4D1FE43D" w14:textId="77777777" w:rsidR="00470241" w:rsidRPr="00A4268A" w:rsidRDefault="00000000">
      <w:pPr>
        <w:spacing w:before="240" w:line="276" w:lineRule="auto"/>
        <w:rPr>
          <w:rFonts w:eastAsia="Calibri"/>
        </w:rPr>
      </w:pPr>
      <w:r w:rsidRPr="00A4268A">
        <w:rPr>
          <w:rFonts w:eastAsia="Calibri"/>
        </w:rPr>
        <w:t>Staff were trained in emergency procedures, the use of emergency equipment and supplies, and attend regular fire drills.  Staff, residents and whānau understood emergency and security arrangements. Residents reported a timely staff response to call bells.  Security was maintained.</w:t>
      </w:r>
    </w:p>
    <w:bookmarkEnd w:id="25"/>
    <w:p w14:paraId="5B83CC27" w14:textId="77777777" w:rsidR="00470241" w:rsidRPr="00A4268A" w:rsidRDefault="00470241">
      <w:pPr>
        <w:spacing w:before="240" w:line="276" w:lineRule="auto"/>
        <w:rPr>
          <w:rFonts w:eastAsia="Calibri"/>
        </w:rPr>
      </w:pPr>
    </w:p>
    <w:p w14:paraId="6A3BE5C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0241" w14:paraId="1174FC4E" w14:textId="77777777" w:rsidTr="00A4268A">
        <w:trPr>
          <w:cantSplit/>
        </w:trPr>
        <w:tc>
          <w:tcPr>
            <w:tcW w:w="10206" w:type="dxa"/>
            <w:vAlign w:val="center"/>
          </w:tcPr>
          <w:p w14:paraId="16EA2B6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08FE5C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B6F21E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FFFFE32"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ensured the safety of residents and staff through planned infection prevention (IP) and antimicrobial stewardship (AMS) programmes that are appropriate to the size and complexity of the service.  An experienced and trained infection control coordinator led the programme. </w:t>
      </w:r>
    </w:p>
    <w:p w14:paraId="2AC7B768" w14:textId="77777777" w:rsidR="00470241"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4AD3D231" w14:textId="77777777" w:rsidR="00470241"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3B339198" w14:textId="77777777" w:rsidR="00470241" w:rsidRPr="00A4268A" w:rsidRDefault="00000000">
      <w:pPr>
        <w:spacing w:before="240" w:line="276" w:lineRule="auto"/>
        <w:rPr>
          <w:rFonts w:eastAsia="Calibri"/>
        </w:rPr>
      </w:pPr>
      <w:r w:rsidRPr="00A4268A">
        <w:rPr>
          <w:rFonts w:eastAsia="Calibri"/>
        </w:rPr>
        <w:lastRenderedPageBreak/>
        <w:t>The service promoted responsible prescribing of antimicrobials.  Infection surveillance was undertaken, with follow-up action taken as required.</w:t>
      </w:r>
    </w:p>
    <w:p w14:paraId="44654E5C" w14:textId="77777777" w:rsidR="00470241" w:rsidRPr="00A4268A" w:rsidRDefault="00000000">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services.</w:t>
      </w:r>
    </w:p>
    <w:bookmarkEnd w:id="28"/>
    <w:p w14:paraId="7D7BE69A" w14:textId="77777777" w:rsidR="00470241" w:rsidRPr="00A4268A" w:rsidRDefault="00470241">
      <w:pPr>
        <w:spacing w:before="240" w:line="276" w:lineRule="auto"/>
        <w:rPr>
          <w:rFonts w:eastAsia="Calibri"/>
        </w:rPr>
      </w:pPr>
    </w:p>
    <w:p w14:paraId="154A913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70241" w14:paraId="1A8E2889" w14:textId="77777777" w:rsidTr="00A4268A">
        <w:trPr>
          <w:cantSplit/>
        </w:trPr>
        <w:tc>
          <w:tcPr>
            <w:tcW w:w="10206" w:type="dxa"/>
            <w:vAlign w:val="center"/>
          </w:tcPr>
          <w:p w14:paraId="68B1BAC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5574F4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189B26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AB5C0B3"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09AE6976" w14:textId="77777777" w:rsidR="00470241" w:rsidRPr="00A4268A" w:rsidRDefault="00000000">
      <w:pPr>
        <w:spacing w:before="240" w:line="276" w:lineRule="auto"/>
        <w:rPr>
          <w:rFonts w:eastAsia="Calibri"/>
        </w:rPr>
      </w:pPr>
      <w:r w:rsidRPr="00A4268A">
        <w:rPr>
          <w:rFonts w:eastAsia="Calibri"/>
        </w:rPr>
        <w:t xml:space="preserve">Staff demonstrated a sound knowledge and understanding of providing the least restrictive practice, de-escalation techniques and alternative interventions.  </w:t>
      </w:r>
    </w:p>
    <w:bookmarkEnd w:id="31"/>
    <w:p w14:paraId="0310882C" w14:textId="77777777" w:rsidR="00470241" w:rsidRPr="00A4268A" w:rsidRDefault="00470241">
      <w:pPr>
        <w:spacing w:before="240" w:line="276" w:lineRule="auto"/>
        <w:rPr>
          <w:rFonts w:eastAsia="Calibri"/>
        </w:rPr>
      </w:pPr>
    </w:p>
    <w:p w14:paraId="2C44AB38" w14:textId="77777777" w:rsidR="00000000" w:rsidRDefault="00000000" w:rsidP="000E6E02">
      <w:pPr>
        <w:pStyle w:val="Heading2"/>
        <w:spacing w:before="0"/>
        <w:rPr>
          <w:rFonts w:cs="Arial"/>
        </w:rPr>
      </w:pPr>
      <w:r>
        <w:rPr>
          <w:rFonts w:cs="Arial"/>
        </w:rPr>
        <w:lastRenderedPageBreak/>
        <w:t>Summary of attainment</w:t>
      </w:r>
    </w:p>
    <w:p w14:paraId="616955C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70241" w14:paraId="1EBDC835" w14:textId="77777777">
        <w:tc>
          <w:tcPr>
            <w:tcW w:w="1384" w:type="dxa"/>
            <w:vAlign w:val="center"/>
          </w:tcPr>
          <w:p w14:paraId="210C298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AA2EEE5" w14:textId="77777777" w:rsidR="00000000" w:rsidRDefault="00000000">
            <w:pPr>
              <w:keepNext/>
              <w:spacing w:before="60" w:after="60"/>
              <w:jc w:val="center"/>
              <w:rPr>
                <w:rFonts w:cs="Arial"/>
                <w:b/>
                <w:sz w:val="20"/>
                <w:szCs w:val="20"/>
              </w:rPr>
            </w:pPr>
            <w:r>
              <w:rPr>
                <w:rFonts w:cs="Arial"/>
                <w:b/>
                <w:sz w:val="20"/>
                <w:szCs w:val="20"/>
              </w:rPr>
              <w:t>Continuous Improvement</w:t>
            </w:r>
          </w:p>
          <w:p w14:paraId="07B3BDE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5882FCA" w14:textId="77777777" w:rsidR="00000000" w:rsidRDefault="00000000">
            <w:pPr>
              <w:keepNext/>
              <w:spacing w:before="60" w:after="60"/>
              <w:jc w:val="center"/>
              <w:rPr>
                <w:rFonts w:cs="Arial"/>
                <w:b/>
                <w:sz w:val="20"/>
                <w:szCs w:val="20"/>
              </w:rPr>
            </w:pPr>
            <w:r>
              <w:rPr>
                <w:rFonts w:cs="Arial"/>
                <w:b/>
                <w:sz w:val="20"/>
                <w:szCs w:val="20"/>
              </w:rPr>
              <w:t>Fully Attained</w:t>
            </w:r>
          </w:p>
          <w:p w14:paraId="249E241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1DA3ED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CA8E34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624886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2913D7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8F0EA7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D5F629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F574F9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39642E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69278E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C352AF4" w14:textId="77777777" w:rsidR="00000000" w:rsidRDefault="00000000">
            <w:pPr>
              <w:keepNext/>
              <w:spacing w:before="60" w:after="60"/>
              <w:jc w:val="center"/>
              <w:rPr>
                <w:rFonts w:cs="Arial"/>
                <w:b/>
                <w:sz w:val="20"/>
                <w:szCs w:val="20"/>
              </w:rPr>
            </w:pPr>
            <w:r>
              <w:rPr>
                <w:rFonts w:cs="Arial"/>
                <w:b/>
                <w:sz w:val="20"/>
                <w:szCs w:val="20"/>
              </w:rPr>
              <w:t>(PA Critical)</w:t>
            </w:r>
          </w:p>
        </w:tc>
      </w:tr>
      <w:tr w:rsidR="00470241" w14:paraId="32B6FCC0" w14:textId="77777777">
        <w:tc>
          <w:tcPr>
            <w:tcW w:w="1384" w:type="dxa"/>
            <w:vAlign w:val="center"/>
          </w:tcPr>
          <w:p w14:paraId="71B64C9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9A4B3D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E9506E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63732E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EA9618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30E365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348062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D207F0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70241" w14:paraId="3DFB61A9" w14:textId="77777777">
        <w:tc>
          <w:tcPr>
            <w:tcW w:w="1384" w:type="dxa"/>
            <w:vAlign w:val="center"/>
          </w:tcPr>
          <w:p w14:paraId="310B223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32CC1B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3</w:t>
            </w:r>
            <w:bookmarkEnd w:id="39"/>
          </w:p>
        </w:tc>
        <w:tc>
          <w:tcPr>
            <w:tcW w:w="1843" w:type="dxa"/>
            <w:vAlign w:val="center"/>
          </w:tcPr>
          <w:p w14:paraId="370F8D1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6AA4E43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2D37CD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669887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9A626A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626EA6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FDE6DF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70241" w14:paraId="79850DE7" w14:textId="77777777">
        <w:tc>
          <w:tcPr>
            <w:tcW w:w="1384" w:type="dxa"/>
            <w:vAlign w:val="center"/>
          </w:tcPr>
          <w:p w14:paraId="432E0B0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868F08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CDFD8E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2913E22" w14:textId="77777777" w:rsidR="00000000" w:rsidRDefault="00000000">
            <w:pPr>
              <w:keepNext/>
              <w:spacing w:before="60" w:after="60"/>
              <w:jc w:val="center"/>
              <w:rPr>
                <w:rFonts w:cs="Arial"/>
                <w:b/>
                <w:sz w:val="20"/>
                <w:szCs w:val="20"/>
              </w:rPr>
            </w:pPr>
            <w:r>
              <w:rPr>
                <w:rFonts w:cs="Arial"/>
                <w:b/>
                <w:sz w:val="20"/>
                <w:szCs w:val="20"/>
              </w:rPr>
              <w:t>Unattained Low Risk</w:t>
            </w:r>
          </w:p>
          <w:p w14:paraId="59096FD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A15AFD4" w14:textId="77777777" w:rsidR="00000000" w:rsidRDefault="00000000">
            <w:pPr>
              <w:keepNext/>
              <w:spacing w:before="60" w:after="60"/>
              <w:jc w:val="center"/>
              <w:rPr>
                <w:rFonts w:cs="Arial"/>
                <w:b/>
                <w:sz w:val="20"/>
                <w:szCs w:val="20"/>
              </w:rPr>
            </w:pPr>
            <w:r>
              <w:rPr>
                <w:rFonts w:cs="Arial"/>
                <w:b/>
                <w:sz w:val="20"/>
                <w:szCs w:val="20"/>
              </w:rPr>
              <w:t>Unattained Moderate Risk</w:t>
            </w:r>
          </w:p>
          <w:p w14:paraId="0D072E7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78F160C" w14:textId="77777777" w:rsidR="00000000" w:rsidRDefault="00000000">
            <w:pPr>
              <w:keepNext/>
              <w:spacing w:before="60" w:after="60"/>
              <w:jc w:val="center"/>
              <w:rPr>
                <w:rFonts w:cs="Arial"/>
                <w:b/>
                <w:sz w:val="20"/>
                <w:szCs w:val="20"/>
              </w:rPr>
            </w:pPr>
            <w:r>
              <w:rPr>
                <w:rFonts w:cs="Arial"/>
                <w:b/>
                <w:sz w:val="20"/>
                <w:szCs w:val="20"/>
              </w:rPr>
              <w:t>Unattained High Risk</w:t>
            </w:r>
          </w:p>
          <w:p w14:paraId="774DC3B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D5B33C0" w14:textId="77777777" w:rsidR="00000000" w:rsidRDefault="00000000">
            <w:pPr>
              <w:keepNext/>
              <w:spacing w:before="60" w:after="60"/>
              <w:jc w:val="center"/>
              <w:rPr>
                <w:rFonts w:cs="Arial"/>
                <w:b/>
                <w:sz w:val="20"/>
                <w:szCs w:val="20"/>
              </w:rPr>
            </w:pPr>
            <w:r>
              <w:rPr>
                <w:rFonts w:cs="Arial"/>
                <w:b/>
                <w:sz w:val="20"/>
                <w:szCs w:val="20"/>
              </w:rPr>
              <w:t>Unattained Critical Risk</w:t>
            </w:r>
          </w:p>
          <w:p w14:paraId="2EDD43F6" w14:textId="77777777" w:rsidR="00000000" w:rsidRDefault="00000000">
            <w:pPr>
              <w:keepNext/>
              <w:spacing w:before="60" w:after="60"/>
              <w:jc w:val="center"/>
              <w:rPr>
                <w:rFonts w:cs="Arial"/>
                <w:b/>
                <w:sz w:val="20"/>
                <w:szCs w:val="20"/>
              </w:rPr>
            </w:pPr>
            <w:r>
              <w:rPr>
                <w:rFonts w:cs="Arial"/>
                <w:b/>
                <w:sz w:val="20"/>
                <w:szCs w:val="20"/>
              </w:rPr>
              <w:t>(UA Critical)</w:t>
            </w:r>
          </w:p>
        </w:tc>
      </w:tr>
      <w:tr w:rsidR="00470241" w14:paraId="55E953C4" w14:textId="77777777">
        <w:tc>
          <w:tcPr>
            <w:tcW w:w="1384" w:type="dxa"/>
            <w:vAlign w:val="center"/>
          </w:tcPr>
          <w:p w14:paraId="0073597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43B2E1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D63699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9D5BCB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7B6691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BE972E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70241" w14:paraId="4E90098F" w14:textId="77777777">
        <w:tc>
          <w:tcPr>
            <w:tcW w:w="1384" w:type="dxa"/>
            <w:vAlign w:val="center"/>
          </w:tcPr>
          <w:p w14:paraId="733F763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4A7316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D1E844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6C62F9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C1BFDD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8E5AFA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6CB8AC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997568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DE00E6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796561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1355"/>
        <w:gridCol w:w="6412"/>
      </w:tblGrid>
      <w:tr w:rsidR="00470241" w14:paraId="0D6DD335" w14:textId="77777777">
        <w:tc>
          <w:tcPr>
            <w:tcW w:w="0" w:type="auto"/>
          </w:tcPr>
          <w:p w14:paraId="4D70CEA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BB4958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9D9A3C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70241" w14:paraId="0EB22C33" w14:textId="77777777">
        <w:tc>
          <w:tcPr>
            <w:tcW w:w="0" w:type="auto"/>
          </w:tcPr>
          <w:p w14:paraId="494C42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DA6464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EE204EE" w14:textId="77777777" w:rsidR="00000000" w:rsidRPr="00BE00C7" w:rsidRDefault="00000000" w:rsidP="00BE00C7">
            <w:pPr>
              <w:pStyle w:val="OutcomeDescription"/>
              <w:spacing w:before="120" w:after="120"/>
              <w:rPr>
                <w:rFonts w:cs="Arial"/>
                <w:lang w:eastAsia="en-NZ"/>
              </w:rPr>
            </w:pPr>
          </w:p>
        </w:tc>
        <w:tc>
          <w:tcPr>
            <w:tcW w:w="0" w:type="auto"/>
          </w:tcPr>
          <w:p w14:paraId="7FE3E5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F093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Parahaki Court has developed policies, procedures and processes to embed and enact Te Tiriti o Waitangi in all aspects of its work.  Mana motuhake was respected.  Partnerships have been established with a local iwi and marae, and with Health New Zealand – Te Whatu Ora Te Tai Tokerau to support service integration, planning, equity approaches and support for Māori. A Māori health plan has been developed with input from a kaumatua and local churches, as the organisation is a Christian-based service. </w:t>
            </w:r>
          </w:p>
          <w:p w14:paraId="7C5FC5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and staff who identified as Māori at the time of the audit. Strategies were in place to actively recruit and retain a Māori health workforce across all roles and were discussed with the general manager (GM).  Resident and staff ethnicities were recorded in the registers sighted. Data was collated and trended . </w:t>
            </w:r>
          </w:p>
          <w:p w14:paraId="012C4A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that staff respected their right to Māori self-determination, and they felt culturally safe. The model of care adopted by the service for residents who identify as Māori is Te Whare Tapa Whā, and this was verified in the care plans reviewed. </w:t>
            </w:r>
          </w:p>
          <w:p w14:paraId="1B3530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group care manager (GCM) interviewed reported, and documentation confirmed, that the board members, management and </w:t>
            </w:r>
            <w:r w:rsidRPr="00BE00C7">
              <w:rPr>
                <w:rFonts w:cs="Arial"/>
                <w:lang w:eastAsia="en-NZ"/>
              </w:rPr>
              <w:lastRenderedPageBreak/>
              <w:t>staff have attended cultural safety training.</w:t>
            </w:r>
          </w:p>
          <w:p w14:paraId="62A4EFA4" w14:textId="77777777" w:rsidR="00000000" w:rsidRPr="00BE00C7" w:rsidRDefault="00000000" w:rsidP="00BE00C7">
            <w:pPr>
              <w:pStyle w:val="OutcomeDescription"/>
              <w:spacing w:before="120" w:after="120"/>
              <w:rPr>
                <w:rFonts w:cs="Arial"/>
                <w:lang w:eastAsia="en-NZ"/>
              </w:rPr>
            </w:pPr>
          </w:p>
          <w:p w14:paraId="6C8A3F7A" w14:textId="77777777" w:rsidR="00000000" w:rsidRPr="00BE00C7" w:rsidRDefault="00000000" w:rsidP="00BE00C7">
            <w:pPr>
              <w:pStyle w:val="OutcomeDescription"/>
              <w:spacing w:before="120" w:after="120"/>
              <w:rPr>
                <w:rFonts w:cs="Arial"/>
                <w:lang w:eastAsia="en-NZ"/>
              </w:rPr>
            </w:pPr>
          </w:p>
        </w:tc>
      </w:tr>
      <w:tr w:rsidR="00470241" w14:paraId="0BFE1843" w14:textId="77777777">
        <w:tc>
          <w:tcPr>
            <w:tcW w:w="0" w:type="auto"/>
          </w:tcPr>
          <w:p w14:paraId="645664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14E60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6C9970C" w14:textId="77777777" w:rsidR="00000000" w:rsidRPr="00BE00C7" w:rsidRDefault="00000000" w:rsidP="00BE00C7">
            <w:pPr>
              <w:pStyle w:val="OutcomeDescription"/>
              <w:spacing w:before="120" w:after="120"/>
              <w:rPr>
                <w:rFonts w:cs="Arial"/>
                <w:lang w:eastAsia="en-NZ"/>
              </w:rPr>
            </w:pPr>
          </w:p>
        </w:tc>
        <w:tc>
          <w:tcPr>
            <w:tcW w:w="0" w:type="auto"/>
          </w:tcPr>
          <w:p w14:paraId="4EB453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F10237" w14:textId="77777777" w:rsidR="00000000" w:rsidRPr="00BE00C7" w:rsidRDefault="00000000" w:rsidP="00BE00C7">
            <w:pPr>
              <w:pStyle w:val="OutcomeDescription"/>
              <w:spacing w:before="120" w:after="120"/>
              <w:rPr>
                <w:rFonts w:cs="Arial"/>
                <w:lang w:eastAsia="en-NZ"/>
              </w:rPr>
            </w:pPr>
            <w:r w:rsidRPr="00BE00C7">
              <w:rPr>
                <w:rFonts w:cs="Arial"/>
                <w:lang w:eastAsia="en-NZ"/>
              </w:rPr>
              <w:t>Parahaki Court has identified and works in partnership with Pacific communities and organisations to provide a Pacific plan that supports culturally safe practices for Pacific peoples using the service, and on achieving equity. Partnerships enable ongoing planning and evaluation of services and outcomes. Staff reported at interview that they were guided to deliver safe cultural and spiritual care to residents through their knowledge and in the care plan. The ‘Fonofale” model of care was utilised at Parahaki Court.</w:t>
            </w:r>
          </w:p>
          <w:p w14:paraId="16EEE9B9"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needs assessments at admission are completed by the registered nurse (RN) and the activities co-ordinator, to identify any requirements.</w:t>
            </w:r>
          </w:p>
          <w:p w14:paraId="66892D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Pacific staff interviewed felt their worldview, and cultural and spiritual beliefs, were embraced for any residents admitted to this service. At the time of the audit, no residents identified as Pacific people. Active recruitment, training and actions to retain a Pacific workforce are encouraged by management. </w:t>
            </w:r>
          </w:p>
          <w:p w14:paraId="37B107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have links with cultural advisors through staff and community groups. Training is provided for all staff, as per the training records reviewed.</w:t>
            </w:r>
          </w:p>
          <w:p w14:paraId="1D7E292B" w14:textId="77777777" w:rsidR="00000000" w:rsidRPr="00BE00C7" w:rsidRDefault="00000000" w:rsidP="00BE00C7">
            <w:pPr>
              <w:pStyle w:val="OutcomeDescription"/>
              <w:spacing w:before="120" w:after="120"/>
              <w:rPr>
                <w:rFonts w:cs="Arial"/>
                <w:lang w:eastAsia="en-NZ"/>
              </w:rPr>
            </w:pPr>
          </w:p>
        </w:tc>
      </w:tr>
      <w:tr w:rsidR="00470241" w14:paraId="579ADDEF" w14:textId="77777777">
        <w:tc>
          <w:tcPr>
            <w:tcW w:w="0" w:type="auto"/>
          </w:tcPr>
          <w:p w14:paraId="2DF57A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D621C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7F92C68" w14:textId="77777777" w:rsidR="00000000" w:rsidRPr="00BE00C7" w:rsidRDefault="00000000" w:rsidP="00BE00C7">
            <w:pPr>
              <w:pStyle w:val="OutcomeDescription"/>
              <w:spacing w:before="120" w:after="120"/>
              <w:rPr>
                <w:rFonts w:cs="Arial"/>
                <w:lang w:eastAsia="en-NZ"/>
              </w:rPr>
            </w:pPr>
          </w:p>
        </w:tc>
        <w:tc>
          <w:tcPr>
            <w:tcW w:w="0" w:type="auto"/>
          </w:tcPr>
          <w:p w14:paraId="2D299C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730F7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and mana motuhake.</w:t>
            </w:r>
          </w:p>
          <w:p w14:paraId="492531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Evidence of information about the Code and Advocacy Service was observed throughout the home and in the </w:t>
            </w:r>
            <w:r w:rsidRPr="00BE00C7">
              <w:rPr>
                <w:rFonts w:cs="Arial"/>
                <w:lang w:eastAsia="en-NZ"/>
              </w:rPr>
              <w:lastRenderedPageBreak/>
              <w:t>information pack.</w:t>
            </w:r>
          </w:p>
          <w:p w14:paraId="32F762ED" w14:textId="77777777" w:rsidR="00000000" w:rsidRPr="00BE00C7" w:rsidRDefault="00000000" w:rsidP="00BE00C7">
            <w:pPr>
              <w:pStyle w:val="OutcomeDescription"/>
              <w:spacing w:before="120" w:after="120"/>
              <w:rPr>
                <w:rFonts w:cs="Arial"/>
                <w:lang w:eastAsia="en-NZ"/>
              </w:rPr>
            </w:pPr>
          </w:p>
        </w:tc>
      </w:tr>
      <w:tr w:rsidR="00470241" w14:paraId="287EA891" w14:textId="77777777">
        <w:tc>
          <w:tcPr>
            <w:tcW w:w="0" w:type="auto"/>
          </w:tcPr>
          <w:p w14:paraId="6B4110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A2BE0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046DD14" w14:textId="77777777" w:rsidR="00000000" w:rsidRPr="00BE00C7" w:rsidRDefault="00000000" w:rsidP="00BE00C7">
            <w:pPr>
              <w:pStyle w:val="OutcomeDescription"/>
              <w:spacing w:before="120" w:after="120"/>
              <w:rPr>
                <w:rFonts w:cs="Arial"/>
                <w:lang w:eastAsia="en-NZ"/>
              </w:rPr>
            </w:pPr>
          </w:p>
        </w:tc>
        <w:tc>
          <w:tcPr>
            <w:tcW w:w="0" w:type="auto"/>
          </w:tcPr>
          <w:p w14:paraId="799C1C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F7E1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6490699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  Staff were observed to knock and introduce themselves before entering a room.</w:t>
            </w:r>
          </w:p>
          <w:p w14:paraId="132EBE77"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were promoted within the service through activities, acknowledgement of Māori-related public holidays, building of relationships with whānau, signage in Māori, artwork, and regular visits from a local kaumatua.  Staff have undertaken training in Te Tiriti o Waitangi and understood the principles and how to apply these in their daily work.   Residents were encouraged and supported to maintain their connections in the community and the outings that they enjoy.</w:t>
            </w:r>
          </w:p>
          <w:p w14:paraId="034D86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501DF64C" w14:textId="77777777" w:rsidR="00000000" w:rsidRPr="00BE00C7" w:rsidRDefault="00000000" w:rsidP="00BE00C7">
            <w:pPr>
              <w:pStyle w:val="OutcomeDescription"/>
              <w:spacing w:before="120" w:after="120"/>
              <w:rPr>
                <w:rFonts w:cs="Arial"/>
                <w:lang w:eastAsia="en-NZ"/>
              </w:rPr>
            </w:pPr>
          </w:p>
        </w:tc>
      </w:tr>
      <w:tr w:rsidR="00470241" w14:paraId="3A15DEF6" w14:textId="77777777">
        <w:tc>
          <w:tcPr>
            <w:tcW w:w="0" w:type="auto"/>
          </w:tcPr>
          <w:p w14:paraId="1E157C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9625C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D7CECC4" w14:textId="77777777" w:rsidR="00000000" w:rsidRPr="00BE00C7" w:rsidRDefault="00000000" w:rsidP="00BE00C7">
            <w:pPr>
              <w:pStyle w:val="OutcomeDescription"/>
              <w:spacing w:before="120" w:after="120"/>
              <w:rPr>
                <w:rFonts w:cs="Arial"/>
                <w:lang w:eastAsia="en-NZ"/>
              </w:rPr>
            </w:pPr>
          </w:p>
        </w:tc>
        <w:tc>
          <w:tcPr>
            <w:tcW w:w="0" w:type="auto"/>
          </w:tcPr>
          <w:p w14:paraId="0C93E4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AE55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or harassment identified during the audit through staff and/or resident or whānau interviews, or in documentation reviewed.  </w:t>
            </w:r>
          </w:p>
          <w:p w14:paraId="5B0E3D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property was labelled on admission, and they reported that their property was respected, and they felt safe in the home.  Residents are encouraged to ask whanau to look after valuables for safe keeping however if required, staff are able to keep valuables stored safely and some residents also have access to a comfort account as and when they need their funds. </w:t>
            </w:r>
          </w:p>
          <w:p w14:paraId="4C650F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maintained by staff.  Staff interviewed </w:t>
            </w:r>
            <w:r w:rsidRPr="00BE00C7">
              <w:rPr>
                <w:rFonts w:cs="Arial"/>
                <w:lang w:eastAsia="en-NZ"/>
              </w:rPr>
              <w:lastRenderedPageBreak/>
              <w:t>felt comfortable in raising any concerns in relation to institutional and systemic racism and that any concerns would be acted upon. A strengths-based and holistic model of care was evident and included use of Te Whare Tapa Whā model, which was integrated throughout care planning.</w:t>
            </w:r>
          </w:p>
          <w:p w14:paraId="5C1C05C3" w14:textId="77777777" w:rsidR="00000000" w:rsidRPr="00BE00C7" w:rsidRDefault="00000000" w:rsidP="00BE00C7">
            <w:pPr>
              <w:pStyle w:val="OutcomeDescription"/>
              <w:spacing w:before="120" w:after="120"/>
              <w:rPr>
                <w:rFonts w:cs="Arial"/>
                <w:lang w:eastAsia="en-NZ"/>
              </w:rPr>
            </w:pPr>
          </w:p>
        </w:tc>
      </w:tr>
      <w:tr w:rsidR="00470241" w14:paraId="7609FEFE" w14:textId="77777777">
        <w:tc>
          <w:tcPr>
            <w:tcW w:w="0" w:type="auto"/>
          </w:tcPr>
          <w:p w14:paraId="741744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B99B7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31CE161" w14:textId="77777777" w:rsidR="00000000" w:rsidRPr="00BE00C7" w:rsidRDefault="00000000" w:rsidP="00BE00C7">
            <w:pPr>
              <w:pStyle w:val="OutcomeDescription"/>
              <w:spacing w:before="120" w:after="120"/>
              <w:rPr>
                <w:rFonts w:cs="Arial"/>
                <w:lang w:eastAsia="en-NZ"/>
              </w:rPr>
            </w:pPr>
          </w:p>
        </w:tc>
        <w:tc>
          <w:tcPr>
            <w:tcW w:w="0" w:type="auto"/>
          </w:tcPr>
          <w:p w14:paraId="55FEF1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79E1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4ED6FA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2864AD4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and a local kaumatua, if required.</w:t>
            </w:r>
          </w:p>
          <w:p w14:paraId="3957BD68" w14:textId="77777777" w:rsidR="00000000" w:rsidRPr="00BE00C7" w:rsidRDefault="00000000" w:rsidP="00BE00C7">
            <w:pPr>
              <w:pStyle w:val="OutcomeDescription"/>
              <w:spacing w:before="120" w:after="120"/>
              <w:rPr>
                <w:rFonts w:cs="Arial"/>
                <w:lang w:eastAsia="en-NZ"/>
              </w:rPr>
            </w:pPr>
          </w:p>
        </w:tc>
      </w:tr>
      <w:tr w:rsidR="00470241" w14:paraId="537DA814" w14:textId="77777777">
        <w:tc>
          <w:tcPr>
            <w:tcW w:w="0" w:type="auto"/>
          </w:tcPr>
          <w:p w14:paraId="788849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F7ECE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EB5C96F" w14:textId="77777777" w:rsidR="00000000" w:rsidRPr="00BE00C7" w:rsidRDefault="00000000" w:rsidP="00BE00C7">
            <w:pPr>
              <w:pStyle w:val="OutcomeDescription"/>
              <w:spacing w:before="120" w:after="120"/>
              <w:rPr>
                <w:rFonts w:cs="Arial"/>
                <w:lang w:eastAsia="en-NZ"/>
              </w:rPr>
            </w:pPr>
          </w:p>
        </w:tc>
        <w:tc>
          <w:tcPr>
            <w:tcW w:w="0" w:type="auto"/>
          </w:tcPr>
          <w:p w14:paraId="7EFD89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848C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They felt empowered to actively participate in decision-making.  With the consent of the resident, whānau were included in decision-making. </w:t>
            </w:r>
          </w:p>
          <w:p w14:paraId="7AFF3B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Examples of informed consent were evident in documentation at time of admission, which included the taking of photos, sharing of medical information, outings and in everyday discussions. </w:t>
            </w:r>
          </w:p>
          <w:p w14:paraId="2C8FF6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2A03165D" w14:textId="77777777" w:rsidR="00000000" w:rsidRPr="00BE00C7" w:rsidRDefault="00000000" w:rsidP="00BE00C7">
            <w:pPr>
              <w:pStyle w:val="OutcomeDescription"/>
              <w:spacing w:before="120" w:after="120"/>
              <w:rPr>
                <w:rFonts w:cs="Arial"/>
                <w:lang w:eastAsia="en-NZ"/>
              </w:rPr>
            </w:pPr>
          </w:p>
        </w:tc>
      </w:tr>
      <w:tr w:rsidR="00470241" w14:paraId="5CDECC8F" w14:textId="77777777">
        <w:tc>
          <w:tcPr>
            <w:tcW w:w="0" w:type="auto"/>
          </w:tcPr>
          <w:p w14:paraId="16A5ED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68B45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7F73C5C" w14:textId="77777777" w:rsidR="00000000" w:rsidRPr="00BE00C7" w:rsidRDefault="00000000" w:rsidP="00BE00C7">
            <w:pPr>
              <w:pStyle w:val="OutcomeDescription"/>
              <w:spacing w:before="120" w:after="120"/>
              <w:rPr>
                <w:rFonts w:cs="Arial"/>
                <w:lang w:eastAsia="en-NZ"/>
              </w:rPr>
            </w:pPr>
          </w:p>
        </w:tc>
        <w:tc>
          <w:tcPr>
            <w:tcW w:w="0" w:type="auto"/>
          </w:tcPr>
          <w:p w14:paraId="42D37A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FE1C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The process met the requirements of the Code.  Residents and whānau understood their right to make a complaint and knew how to do so. </w:t>
            </w:r>
          </w:p>
          <w:p w14:paraId="4093EF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No complaints had been received from residents/family/whānau since the previous audit. However, one complaint externally was received from Health New Zealand – Te Whatu Ora Te Tai Tokerau (Te Whatu Ora) in March 2024. The complaint was made by a family regarding care of a family member. The service provider was supported by Te Whatu Ora and the resident was transferred to another of the organisation’s facilities in April 2024. The complaint was fully actioned, addressed and effectively closed out, signed and dated in the register. No recommendations were received from Te Whatu Ora. </w:t>
            </w:r>
          </w:p>
          <w:p w14:paraId="0660DD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assured the process works equitably for Māori by ensuring the policy is documented in te reo Māori and that interpreter services are available if needed. There have been no complaints received by Māori residents to date.</w:t>
            </w:r>
          </w:p>
          <w:p w14:paraId="4D0F3E88" w14:textId="77777777" w:rsidR="00000000" w:rsidRPr="00BE00C7" w:rsidRDefault="00000000" w:rsidP="00BE00C7">
            <w:pPr>
              <w:pStyle w:val="OutcomeDescription"/>
              <w:spacing w:before="120" w:after="120"/>
              <w:rPr>
                <w:rFonts w:cs="Arial"/>
                <w:lang w:eastAsia="en-NZ"/>
              </w:rPr>
            </w:pPr>
          </w:p>
        </w:tc>
      </w:tr>
      <w:tr w:rsidR="00470241" w14:paraId="168CB999" w14:textId="77777777">
        <w:tc>
          <w:tcPr>
            <w:tcW w:w="0" w:type="auto"/>
          </w:tcPr>
          <w:p w14:paraId="6A5A6C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9EF3F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A708872" w14:textId="77777777" w:rsidR="00000000" w:rsidRPr="00BE00C7" w:rsidRDefault="00000000" w:rsidP="00BE00C7">
            <w:pPr>
              <w:pStyle w:val="OutcomeDescription"/>
              <w:spacing w:before="120" w:after="120"/>
              <w:rPr>
                <w:rFonts w:cs="Arial"/>
                <w:lang w:eastAsia="en-NZ"/>
              </w:rPr>
            </w:pPr>
          </w:p>
        </w:tc>
        <w:tc>
          <w:tcPr>
            <w:tcW w:w="0" w:type="auto"/>
          </w:tcPr>
          <w:p w14:paraId="2A2F74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A297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to the resident communities served, with meaningful Māori representation on governance groups. The governance group demonstrated expertise in Te Tiriti, health equity, and cultural safety. </w:t>
            </w:r>
          </w:p>
          <w:p w14:paraId="6D8F6E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clinical governance, is appropriate to the size and complexity of the organisation and there is an experienced and suitably qualified person managing the service. There is Māori representation on the Trust board, a kaumatua who provides advice and expertise as needed.</w:t>
            </w:r>
          </w:p>
          <w:p w14:paraId="329777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objectives of the organisation were clearly defined, and demonstrated that monitoring and reviewing performance does occur through regular reporting at planned intervals. The Kamo Home and Village Charitable Trust </w:t>
            </w:r>
            <w:r w:rsidRPr="00BE00C7">
              <w:rPr>
                <w:rFonts w:cs="Arial"/>
                <w:lang w:eastAsia="en-NZ"/>
              </w:rPr>
              <w:lastRenderedPageBreak/>
              <w:t xml:space="preserve">(KHVCT) Business Plan 2024-2026 was reviewed. A focus on identifying barriers to access, improving outcomes and achieving equity for Māori and tāngata whaikaha was evident in plans and monitoring documentation reviewed and through a continuous improvement initiative put in place (refer to 2.1.7).   A commitment to the quality and risk management system was evident.  Members of the governance group, including the GM and the acting chairperson interviewed, felt well informed on progress and risks. This was confirmed in a sample of reports to the board of directors and the health equity data analysis report sighted for April 2023 to September 2023. </w:t>
            </w:r>
          </w:p>
          <w:p w14:paraId="77E200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was overseen by the leadership team and governance group, with external advice sought as required.  </w:t>
            </w:r>
          </w:p>
          <w:p w14:paraId="343D94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People receiving services and their whānau participated in planning and evaluation of services through an annual survey (refer to 2.2). </w:t>
            </w:r>
          </w:p>
          <w:p w14:paraId="396744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Te Whatu Ora Te Tai Tokerau for providing rest home level care and rest home level care respite care for up to 25 residents. On the day of the audit, there were 23 residents. Twenty-one (21) residents were under the rest home contract, one resident was receiving private rest home level care, and one resident was receiving private rest home/respite care.</w:t>
            </w:r>
          </w:p>
          <w:p w14:paraId="49C1454F" w14:textId="77777777" w:rsidR="00000000" w:rsidRPr="00BE00C7" w:rsidRDefault="00000000" w:rsidP="00BE00C7">
            <w:pPr>
              <w:pStyle w:val="OutcomeDescription"/>
              <w:spacing w:before="120" w:after="120"/>
              <w:rPr>
                <w:rFonts w:cs="Arial"/>
                <w:lang w:eastAsia="en-NZ"/>
              </w:rPr>
            </w:pPr>
          </w:p>
        </w:tc>
      </w:tr>
      <w:tr w:rsidR="00470241" w14:paraId="489C12AF" w14:textId="77777777">
        <w:tc>
          <w:tcPr>
            <w:tcW w:w="0" w:type="auto"/>
          </w:tcPr>
          <w:p w14:paraId="2FB8EA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4098B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health care </w:t>
            </w:r>
            <w:r w:rsidRPr="00BE00C7">
              <w:rPr>
                <w:rFonts w:cs="Arial"/>
                <w:lang w:eastAsia="en-NZ"/>
              </w:rPr>
              <w:lastRenderedPageBreak/>
              <w:t>and support workers.</w:t>
            </w:r>
          </w:p>
          <w:p w14:paraId="5D459DCD" w14:textId="77777777" w:rsidR="00000000" w:rsidRPr="00BE00C7" w:rsidRDefault="00000000" w:rsidP="00BE00C7">
            <w:pPr>
              <w:pStyle w:val="OutcomeDescription"/>
              <w:spacing w:before="120" w:after="120"/>
              <w:rPr>
                <w:rFonts w:cs="Arial"/>
                <w:lang w:eastAsia="en-NZ"/>
              </w:rPr>
            </w:pPr>
          </w:p>
        </w:tc>
        <w:tc>
          <w:tcPr>
            <w:tcW w:w="0" w:type="auto"/>
          </w:tcPr>
          <w:p w14:paraId="52C3A9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40C5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included management of incidents and complaints, audit activities, a regular resident/relative satisfaction survey, monitoring of outcomes, policies and procedures, clinical incidents including infection prevention and control and restraint management. Residents, whānau and staff contribute to quality improvement through the annual survey. An analysis in graph form was presented at audit for the relative satisfaction survey. Positive comments were made about the care provided to residents and the communication with staff and the general practitioner.</w:t>
            </w:r>
          </w:p>
          <w:p w14:paraId="4AEC7E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w:t>
            </w:r>
            <w:r w:rsidRPr="00BE00C7">
              <w:rPr>
                <w:rFonts w:cs="Arial"/>
                <w:lang w:eastAsia="en-NZ"/>
              </w:rPr>
              <w:lastRenderedPageBreak/>
              <w:t xml:space="preserve">identified possible inequities and the service works to address these. Delivering high-quality care to Māori residents was supported through relevant training, tikanga policies, and access to cultural support roles internally and externally. This is also aligned with the continuous improvement provided in 2.1.7. </w:t>
            </w:r>
          </w:p>
          <w:p w14:paraId="6DB809E0"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485FC5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1D2E1A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interviewed described the processes for the identification, documentation, monitoring, review and reporting of risks, including health and safety risks, and development of mitigation strategies. </w:t>
            </w:r>
          </w:p>
          <w:p w14:paraId="0CC4AF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 miss events in line with the National Adverse Events Policy. A sample of incidents forms reviewed showed these were fully completed; incidents were investigated, action plans developed, and actions followed up in a timely manner.  </w:t>
            </w:r>
          </w:p>
          <w:p w14:paraId="7093A8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the GCM interviewed understood and have complied with essential notification reporting requirements. There have been no Section 31 notifications reported, and no reporting to the New Zealand Health &amp; Quality Commission (NZHQC) of any adverse events occurring at Parahaki Court, since the last audit.</w:t>
            </w:r>
          </w:p>
          <w:p w14:paraId="6BB63855" w14:textId="77777777" w:rsidR="00000000" w:rsidRPr="00BE00C7" w:rsidRDefault="00000000" w:rsidP="00BE00C7">
            <w:pPr>
              <w:pStyle w:val="OutcomeDescription"/>
              <w:spacing w:before="120" w:after="120"/>
              <w:rPr>
                <w:rFonts w:cs="Arial"/>
                <w:lang w:eastAsia="en-NZ"/>
              </w:rPr>
            </w:pPr>
          </w:p>
        </w:tc>
      </w:tr>
      <w:tr w:rsidR="00470241" w14:paraId="00E3A1C2" w14:textId="77777777">
        <w:tc>
          <w:tcPr>
            <w:tcW w:w="0" w:type="auto"/>
          </w:tcPr>
          <w:p w14:paraId="26859C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ED23E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2BD706A" w14:textId="77777777" w:rsidR="00000000" w:rsidRPr="00BE00C7" w:rsidRDefault="00000000" w:rsidP="00BE00C7">
            <w:pPr>
              <w:pStyle w:val="OutcomeDescription"/>
              <w:spacing w:before="120" w:after="120"/>
              <w:rPr>
                <w:rFonts w:cs="Arial"/>
                <w:lang w:eastAsia="en-NZ"/>
              </w:rPr>
            </w:pPr>
          </w:p>
        </w:tc>
        <w:tc>
          <w:tcPr>
            <w:tcW w:w="0" w:type="auto"/>
          </w:tcPr>
          <w:p w14:paraId="088E5C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783F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adjusted staffing levels to meet the changing needs of residents.  A multidisciplinary team (MDT) approach ensured all aspects of service delivery were met.   Those providing care reported that there were adequate staff to complete the work allocated to them.  Residents and whānau interviewed supported this. At least one staff member on duty has a current first aid certificate. A registered nurse has been employed to cover Monday to Friday and was currently being overseen by the clinical charge nurse and the group care manager. The clinical </w:t>
            </w:r>
            <w:r w:rsidRPr="00BE00C7">
              <w:rPr>
                <w:rFonts w:cs="Arial"/>
                <w:lang w:eastAsia="en-NZ"/>
              </w:rPr>
              <w:lastRenderedPageBreak/>
              <w:t xml:space="preserve">charge nurse shared the role with another facility owned by the same organisation. </w:t>
            </w:r>
          </w:p>
          <w:p w14:paraId="182FCF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ensured services were delivered to meet the needs of residents. Orientation was provided for all new employees over two weeks, and up to three months as needed.  A buddy system was used until staff felt confident in the role. A continuous quality improvement has been noted regarding the orientation/induction process (refer to 2.3.5). </w:t>
            </w:r>
          </w:p>
          <w:p w14:paraId="7D2AD5F1"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were assessed and supported equitable service delivery and the ability to maximise the participation of people using the service and their whānau.  High-quality Māori health information was accessed and used to support training and development programmes, policy development, and care delivery.</w:t>
            </w:r>
          </w:p>
          <w:p w14:paraId="6F5E89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(NZQA) education programme to meet the requirements of the provider’s agreement with Health New Zealand – Te Whatu Ora  Te Tai Tokerau. There is a total of 14 care staff who are part of the team at Parahaki Court.  Ten care givers have attained Level 4 and four have completed Level 2 but are not currently enrolled into Level 3. The clinical charge nurse and the activities coordinator are both trained assessors. The clinical charge nurse is currently completing the interRAI assessments until the RN is fully competent for this role. </w:t>
            </w:r>
          </w:p>
          <w:p w14:paraId="18C9B1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0CAB2BD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reported feeling well supported and safe in the workplace.</w:t>
            </w:r>
          </w:p>
          <w:p w14:paraId="1DBD43ED" w14:textId="77777777" w:rsidR="00000000" w:rsidRPr="00BE00C7" w:rsidRDefault="00000000" w:rsidP="00BE00C7">
            <w:pPr>
              <w:pStyle w:val="OutcomeDescription"/>
              <w:spacing w:before="120" w:after="120"/>
              <w:rPr>
                <w:rFonts w:cs="Arial"/>
                <w:lang w:eastAsia="en-NZ"/>
              </w:rPr>
            </w:pPr>
          </w:p>
        </w:tc>
      </w:tr>
      <w:tr w:rsidR="00470241" w14:paraId="0CF16041" w14:textId="77777777">
        <w:tc>
          <w:tcPr>
            <w:tcW w:w="0" w:type="auto"/>
          </w:tcPr>
          <w:p w14:paraId="37C14D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DD8E9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w:t>
            </w:r>
            <w:r w:rsidRPr="00BE00C7">
              <w:rPr>
                <w:rFonts w:cs="Arial"/>
                <w:lang w:eastAsia="en-NZ"/>
              </w:rPr>
              <w:lastRenderedPageBreak/>
              <w:t>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57B1BD8" w14:textId="77777777" w:rsidR="00000000" w:rsidRPr="00BE00C7" w:rsidRDefault="00000000" w:rsidP="00BE00C7">
            <w:pPr>
              <w:pStyle w:val="OutcomeDescription"/>
              <w:spacing w:before="120" w:after="120"/>
              <w:rPr>
                <w:rFonts w:cs="Arial"/>
                <w:lang w:eastAsia="en-NZ"/>
              </w:rPr>
            </w:pPr>
          </w:p>
        </w:tc>
        <w:tc>
          <w:tcPr>
            <w:tcW w:w="0" w:type="auto"/>
          </w:tcPr>
          <w:p w14:paraId="6EE804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FD18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practices and relevant legislation.  A sample of staff records reviewed confirmed the organisation’s policies were </w:t>
            </w:r>
            <w:r w:rsidRPr="00BE00C7">
              <w:rPr>
                <w:rFonts w:cs="Arial"/>
                <w:lang w:eastAsia="en-NZ"/>
              </w:rPr>
              <w:lastRenderedPageBreak/>
              <w:t xml:space="preserve">consistently implemented.  Job descriptions were documented for each role. Professional qualifications and registration (where applicable) had been validated prior to employment and for all health professionals employed and/or contracted annually. A folder was reviewed of all annual practising certificates validated. This was maintained by the GCM. </w:t>
            </w:r>
          </w:p>
          <w:p w14:paraId="699E7B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7FEAC01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was reviewed and discussed at regular intervals.  Staff and management reported there is a process for a debrief and discussion following incidents, and that staff receive support to ensure wellbeing.</w:t>
            </w:r>
          </w:p>
          <w:p w14:paraId="6BD8A9B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71F2DC11" w14:textId="77777777" w:rsidR="00000000" w:rsidRPr="00BE00C7" w:rsidRDefault="00000000" w:rsidP="00BE00C7">
            <w:pPr>
              <w:pStyle w:val="OutcomeDescription"/>
              <w:spacing w:before="120" w:after="120"/>
              <w:rPr>
                <w:rFonts w:cs="Arial"/>
                <w:lang w:eastAsia="en-NZ"/>
              </w:rPr>
            </w:pPr>
          </w:p>
        </w:tc>
      </w:tr>
      <w:tr w:rsidR="00470241" w14:paraId="6B5348A0" w14:textId="77777777">
        <w:tc>
          <w:tcPr>
            <w:tcW w:w="0" w:type="auto"/>
          </w:tcPr>
          <w:p w14:paraId="23065C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61C5D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92CE618" w14:textId="77777777" w:rsidR="00000000" w:rsidRPr="00BE00C7" w:rsidRDefault="00000000" w:rsidP="00BE00C7">
            <w:pPr>
              <w:pStyle w:val="OutcomeDescription"/>
              <w:spacing w:before="120" w:after="120"/>
              <w:rPr>
                <w:rFonts w:cs="Arial"/>
                <w:lang w:eastAsia="en-NZ"/>
              </w:rPr>
            </w:pPr>
          </w:p>
        </w:tc>
        <w:tc>
          <w:tcPr>
            <w:tcW w:w="0" w:type="auto"/>
          </w:tcPr>
          <w:p w14:paraId="5A8408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3E524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electronic files sampled for review.  All staff had individual passwords to access this information.  Clinical notes were up to date, integrated and legible and met current documentation standards. Information is accessible for all those who need it.  Staff records were maintained electronically by the human resource manager (HRM) interviewed.</w:t>
            </w:r>
          </w:p>
          <w:p w14:paraId="6FE82AE3"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All archived records were stored at another site but can be retrieved if needed. No personal or private resident information was on public display during the audit.</w:t>
            </w:r>
          </w:p>
          <w:p w14:paraId="38C23B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of its residents.</w:t>
            </w:r>
          </w:p>
          <w:p w14:paraId="0E68F387" w14:textId="77777777" w:rsidR="00000000" w:rsidRPr="00BE00C7" w:rsidRDefault="00000000" w:rsidP="00BE00C7">
            <w:pPr>
              <w:pStyle w:val="OutcomeDescription"/>
              <w:spacing w:before="120" w:after="120"/>
              <w:rPr>
                <w:rFonts w:cs="Arial"/>
                <w:lang w:eastAsia="en-NZ"/>
              </w:rPr>
            </w:pPr>
          </w:p>
        </w:tc>
      </w:tr>
      <w:tr w:rsidR="00470241" w14:paraId="091288EE" w14:textId="77777777">
        <w:tc>
          <w:tcPr>
            <w:tcW w:w="0" w:type="auto"/>
          </w:tcPr>
          <w:p w14:paraId="751600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80B3D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242F2DA" w14:textId="77777777" w:rsidR="00000000" w:rsidRPr="00BE00C7" w:rsidRDefault="00000000" w:rsidP="00BE00C7">
            <w:pPr>
              <w:pStyle w:val="OutcomeDescription"/>
              <w:spacing w:before="120" w:after="120"/>
              <w:rPr>
                <w:rFonts w:cs="Arial"/>
                <w:lang w:eastAsia="en-NZ"/>
              </w:rPr>
            </w:pPr>
          </w:p>
        </w:tc>
        <w:tc>
          <w:tcPr>
            <w:tcW w:w="0" w:type="auto"/>
          </w:tcPr>
          <w:p w14:paraId="2D6B54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878C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service when their required level of care has been assessed and confirmed by the local Needs Assessment and Service Coordination (NASC) agency.  All but one resident had an interRAI on admission.  Email correspondence showed that discussions were occurring with NASC to have this completed.   Files reviewed met contractual requirements.  Residents enter the service based on documented entry criteria available to the community and understood by staff.  The entry process met the needs of residents.  Whānau interviewed were satisfied with the admission process and the verbal and written information that had been made available to them on admission.  </w:t>
            </w:r>
          </w:p>
          <w:p w14:paraId="3020E1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confirmed that no resident is declined entry; however, they may need to go on the service’s waiting list if there is no bed available at the time.  If a resident does not have the required level of care to be admitted to the facility, then they are referred to KHVCT’s other homes as options.  Related data is documented and analysed, including decline rates for Māori. </w:t>
            </w:r>
          </w:p>
          <w:p w14:paraId="786BF5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60C88E93" w14:textId="77777777" w:rsidR="00000000" w:rsidRPr="00BE00C7" w:rsidRDefault="00000000" w:rsidP="00BE00C7">
            <w:pPr>
              <w:pStyle w:val="OutcomeDescription"/>
              <w:spacing w:before="120" w:after="120"/>
              <w:rPr>
                <w:rFonts w:cs="Arial"/>
                <w:lang w:eastAsia="en-NZ"/>
              </w:rPr>
            </w:pPr>
          </w:p>
        </w:tc>
      </w:tr>
      <w:tr w:rsidR="00470241" w14:paraId="59C0A7AA" w14:textId="77777777">
        <w:tc>
          <w:tcPr>
            <w:tcW w:w="0" w:type="auto"/>
          </w:tcPr>
          <w:p w14:paraId="271BB8A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D8890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B25EFAA" w14:textId="77777777" w:rsidR="00000000" w:rsidRPr="00BE00C7" w:rsidRDefault="00000000" w:rsidP="00BE00C7">
            <w:pPr>
              <w:pStyle w:val="OutcomeDescription"/>
              <w:spacing w:before="120" w:after="120"/>
              <w:rPr>
                <w:rFonts w:cs="Arial"/>
                <w:lang w:eastAsia="en-NZ"/>
              </w:rPr>
            </w:pPr>
          </w:p>
        </w:tc>
        <w:tc>
          <w:tcPr>
            <w:tcW w:w="0" w:type="auto"/>
          </w:tcPr>
          <w:p w14:paraId="696825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6F8F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All residents had an up-to-date care plan, based on the provider’s model of care, which was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61DA31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 was based on a range of clinical assessments and included resident and whānau input (as applicable).  Timeframes for the initial assessment, medical assessment, initial care plan, long-term care plan and review timeframes met contractual/policy requirements.  Staff understood and supported Māori and whānau to identify their own </w:t>
            </w:r>
            <w:r w:rsidRPr="00BE00C7">
              <w:rPr>
                <w:rFonts w:cs="Arial"/>
                <w:lang w:eastAsia="en-NZ"/>
              </w:rPr>
              <w:lastRenderedPageBreak/>
              <w:t>pae ora outcomes in their care plan. This was verified by sampling residents’ records, and from interviews of clinical staff, people receiving services and whānau.</w:t>
            </w:r>
          </w:p>
          <w:p w14:paraId="0AB38159"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2375EA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participated in service development through resident meetings and day-to-day conversations.  Examples of choices and control over service delivery were discussed with staff/tāngata whaikaha/whānau.  Tāngata whaikaha/whānau can independently access information.  </w:t>
            </w:r>
          </w:p>
          <w:p w14:paraId="0581A5C2" w14:textId="77777777" w:rsidR="00000000" w:rsidRPr="00BE00C7" w:rsidRDefault="00000000" w:rsidP="003C1622">
            <w:pPr>
              <w:pStyle w:val="OutcomeDescription"/>
              <w:spacing w:before="120" w:after="120"/>
              <w:rPr>
                <w:rFonts w:cs="Arial"/>
                <w:lang w:eastAsia="en-NZ"/>
              </w:rPr>
            </w:pPr>
          </w:p>
        </w:tc>
      </w:tr>
      <w:tr w:rsidR="00470241" w14:paraId="6A4FE388" w14:textId="77777777">
        <w:tc>
          <w:tcPr>
            <w:tcW w:w="0" w:type="auto"/>
          </w:tcPr>
          <w:p w14:paraId="4EED1A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925F4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02B8500" w14:textId="77777777" w:rsidR="00000000" w:rsidRPr="00BE00C7" w:rsidRDefault="00000000" w:rsidP="00BE00C7">
            <w:pPr>
              <w:pStyle w:val="OutcomeDescription"/>
              <w:spacing w:before="120" w:after="120"/>
              <w:rPr>
                <w:rFonts w:cs="Arial"/>
                <w:lang w:eastAsia="en-NZ"/>
              </w:rPr>
            </w:pPr>
          </w:p>
        </w:tc>
        <w:tc>
          <w:tcPr>
            <w:tcW w:w="0" w:type="auto"/>
          </w:tcPr>
          <w:p w14:paraId="609A38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7B33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and was suitable for their age and stage of life.</w:t>
            </w:r>
          </w:p>
          <w:p w14:paraId="6C8606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Individual and group activities reflected residents’ goals and interests, ordinary patterns of life, and included normal community activities.  Opportunities for Māori and whānau to participate in te ao Māori were facilitated. Community initiatives met the needs of Māori. </w:t>
            </w:r>
          </w:p>
          <w:p w14:paraId="6CB6AF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introduction of an interactive electronic games console for the residents in 2023 has resulted in a continuous improvement rating.    </w:t>
            </w:r>
          </w:p>
          <w:p w14:paraId="3768951F"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resident meetings and day-to-day discussions with residents.  Those interviewed confirmed they found the programme met their needs.</w:t>
            </w:r>
          </w:p>
          <w:p w14:paraId="422D98E8" w14:textId="77777777" w:rsidR="00000000" w:rsidRPr="00BE00C7" w:rsidRDefault="00000000" w:rsidP="00BE00C7">
            <w:pPr>
              <w:pStyle w:val="OutcomeDescription"/>
              <w:spacing w:before="120" w:after="120"/>
              <w:rPr>
                <w:rFonts w:cs="Arial"/>
                <w:lang w:eastAsia="en-NZ"/>
              </w:rPr>
            </w:pPr>
          </w:p>
        </w:tc>
      </w:tr>
      <w:tr w:rsidR="00470241" w14:paraId="7A4E0ED2" w14:textId="77777777">
        <w:tc>
          <w:tcPr>
            <w:tcW w:w="0" w:type="auto"/>
          </w:tcPr>
          <w:p w14:paraId="15D8BD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6F598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w:t>
            </w:r>
            <w:r w:rsidRPr="00BE00C7">
              <w:rPr>
                <w:rFonts w:cs="Arial"/>
                <w:lang w:eastAsia="en-NZ"/>
              </w:rPr>
              <w:lastRenderedPageBreak/>
              <w:t>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6EDB681" w14:textId="77777777" w:rsidR="00000000" w:rsidRPr="00BE00C7" w:rsidRDefault="00000000" w:rsidP="00BE00C7">
            <w:pPr>
              <w:pStyle w:val="OutcomeDescription"/>
              <w:spacing w:before="120" w:after="120"/>
              <w:rPr>
                <w:rFonts w:cs="Arial"/>
                <w:lang w:eastAsia="en-NZ"/>
              </w:rPr>
            </w:pPr>
          </w:p>
        </w:tc>
        <w:tc>
          <w:tcPr>
            <w:tcW w:w="0" w:type="auto"/>
          </w:tcPr>
          <w:p w14:paraId="687F2E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16BB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safe system for medicine management (using an electronic system) </w:t>
            </w:r>
            <w:r w:rsidRPr="00BE00C7">
              <w:rPr>
                <w:rFonts w:cs="Arial"/>
                <w:lang w:eastAsia="en-NZ"/>
              </w:rPr>
              <w:lastRenderedPageBreak/>
              <w:t xml:space="preserve">was observed on the day of audit.  All staff who administer medicines were competent to perform the function they managed.  </w:t>
            </w:r>
          </w:p>
          <w:p w14:paraId="6D357C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380638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61A643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were not used. </w:t>
            </w:r>
          </w:p>
          <w:p w14:paraId="428422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one resident self-medicating.  Self-administration of medication was facilitated and managed safely.  Residents, including Māori residents and their whānau, were supported to understand their medications. Where there were difficulties accessing medications, this was identified, and support provided.</w:t>
            </w:r>
          </w:p>
          <w:p w14:paraId="6237308A" w14:textId="77777777" w:rsidR="00000000" w:rsidRPr="00BE00C7" w:rsidRDefault="00000000" w:rsidP="00BE00C7">
            <w:pPr>
              <w:pStyle w:val="OutcomeDescription"/>
              <w:spacing w:before="120" w:after="120"/>
              <w:rPr>
                <w:rFonts w:cs="Arial"/>
                <w:lang w:eastAsia="en-NZ"/>
              </w:rPr>
            </w:pPr>
          </w:p>
        </w:tc>
      </w:tr>
      <w:tr w:rsidR="00470241" w14:paraId="099D7293" w14:textId="77777777">
        <w:tc>
          <w:tcPr>
            <w:tcW w:w="0" w:type="auto"/>
          </w:tcPr>
          <w:p w14:paraId="1F9B95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ECA3D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F97092E" w14:textId="77777777" w:rsidR="00000000" w:rsidRPr="00BE00C7" w:rsidRDefault="00000000" w:rsidP="00BE00C7">
            <w:pPr>
              <w:pStyle w:val="OutcomeDescription"/>
              <w:spacing w:before="120" w:after="120"/>
              <w:rPr>
                <w:rFonts w:cs="Arial"/>
                <w:lang w:eastAsia="en-NZ"/>
              </w:rPr>
            </w:pPr>
          </w:p>
        </w:tc>
        <w:tc>
          <w:tcPr>
            <w:tcW w:w="0" w:type="auto"/>
          </w:tcPr>
          <w:p w14:paraId="0047F1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0569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provided by an external catering company and was on site seven days a week.   The menu was reviewed by a qualified dietitian in February 2025.  No recommendations were made at that time. </w:t>
            </w:r>
          </w:p>
          <w:p w14:paraId="61A1560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safety plan that was audited on 1 January 2025, and registration that expires on 30 January 2026.</w:t>
            </w:r>
          </w:p>
          <w:p w14:paraId="056EB2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Personal food preferences, any special diets and modified texture requirements were accommodated in the daily meal plan.  Māori and their whānau had menu options that were culturally specific to te ao Māori.  </w:t>
            </w:r>
          </w:p>
          <w:p w14:paraId="02C93F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 </w:t>
            </w:r>
            <w:r w:rsidRPr="00BE00C7">
              <w:rPr>
                <w:rFonts w:cs="Arial"/>
                <w:lang w:eastAsia="en-NZ"/>
              </w:rPr>
              <w:lastRenderedPageBreak/>
              <w:t>and whānau interviews, satisfaction surveys and resident meeting minutes. Residents were given sufficient time to eat their meals in an unhurried fashion and those requiring assistance had this provided with dignity.  The catering manager interviewed stated that, if a resident did not like what was on a menu, they would provide another option.</w:t>
            </w:r>
          </w:p>
          <w:p w14:paraId="7D9CF62F" w14:textId="77777777" w:rsidR="00000000" w:rsidRPr="00BE00C7" w:rsidRDefault="00000000" w:rsidP="00BE00C7">
            <w:pPr>
              <w:pStyle w:val="OutcomeDescription"/>
              <w:spacing w:before="120" w:after="120"/>
              <w:rPr>
                <w:rFonts w:cs="Arial"/>
                <w:lang w:eastAsia="en-NZ"/>
              </w:rPr>
            </w:pPr>
          </w:p>
        </w:tc>
      </w:tr>
      <w:tr w:rsidR="00470241" w14:paraId="20E68528" w14:textId="77777777">
        <w:tc>
          <w:tcPr>
            <w:tcW w:w="0" w:type="auto"/>
          </w:tcPr>
          <w:p w14:paraId="784121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5AC63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16C9790" w14:textId="77777777" w:rsidR="00000000" w:rsidRPr="00BE00C7" w:rsidRDefault="00000000" w:rsidP="00BE00C7">
            <w:pPr>
              <w:pStyle w:val="OutcomeDescription"/>
              <w:spacing w:before="120" w:after="120"/>
              <w:rPr>
                <w:rFonts w:cs="Arial"/>
                <w:lang w:eastAsia="en-NZ"/>
              </w:rPr>
            </w:pPr>
          </w:p>
        </w:tc>
        <w:tc>
          <w:tcPr>
            <w:tcW w:w="0" w:type="auto"/>
          </w:tcPr>
          <w:p w14:paraId="6DFF52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161E5C"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An example of a resident requiring transfer to hospital showed evidence of a full assessment, communication with the registered nurse, ambulance and whānau.  Documentation provided to the hospital is supported by the yellow envelope, medication chart, medical notes and information about the resident and their daily activities of life.  Whānau reported being kept well informed during the transfer of their relative.</w:t>
            </w:r>
          </w:p>
          <w:p w14:paraId="26979973" w14:textId="77777777" w:rsidR="00000000" w:rsidRPr="00BE00C7" w:rsidRDefault="00000000" w:rsidP="00BE00C7">
            <w:pPr>
              <w:pStyle w:val="OutcomeDescription"/>
              <w:spacing w:before="120" w:after="120"/>
              <w:rPr>
                <w:rFonts w:cs="Arial"/>
                <w:lang w:eastAsia="en-NZ"/>
              </w:rPr>
            </w:pPr>
          </w:p>
        </w:tc>
      </w:tr>
      <w:tr w:rsidR="00470241" w14:paraId="17DCA240" w14:textId="77777777">
        <w:tc>
          <w:tcPr>
            <w:tcW w:w="0" w:type="auto"/>
          </w:tcPr>
          <w:p w14:paraId="468F01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74257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7275B4E" w14:textId="77777777" w:rsidR="00000000" w:rsidRPr="00BE00C7" w:rsidRDefault="00000000" w:rsidP="00BE00C7">
            <w:pPr>
              <w:pStyle w:val="OutcomeDescription"/>
              <w:spacing w:before="120" w:after="120"/>
              <w:rPr>
                <w:rFonts w:cs="Arial"/>
                <w:lang w:eastAsia="en-NZ"/>
              </w:rPr>
            </w:pPr>
          </w:p>
        </w:tc>
        <w:tc>
          <w:tcPr>
            <w:tcW w:w="0" w:type="auto"/>
          </w:tcPr>
          <w:p w14:paraId="4BE687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DD440E" w14:textId="77777777" w:rsidR="00000000" w:rsidRPr="00BE00C7" w:rsidRDefault="00000000" w:rsidP="00BE00C7">
            <w:pPr>
              <w:pStyle w:val="OutcomeDescription"/>
              <w:spacing w:before="120" w:after="120"/>
              <w:rPr>
                <w:rFonts w:cs="Arial"/>
                <w:lang w:eastAsia="en-NZ"/>
              </w:rPr>
            </w:pPr>
            <w:r w:rsidRPr="00BE00C7">
              <w:rPr>
                <w:rFonts w:cs="Arial"/>
                <w:lang w:eastAsia="en-NZ"/>
              </w:rPr>
              <w:t>A current building warrant of fitness (BWOF) was publicly displayed at the entrance to the facility. The expiry date is 3 September 2025.  Appropriate systems were in place to ensure the physical environment and facilities (internal and external) were fit for their purpose, well maintained and that they met legislative requirements.</w:t>
            </w:r>
          </w:p>
          <w:p w14:paraId="7488C4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maintenance and assets manager interviewed confirmed the processes to be followed for any maintenance or repairs to be made. Testing and tagging of electrical equipment was completed by the maintenance team, who were fully qualified to undertake this procedure. An inventory was maintained of all appliances and equipment to be checked annually and two-yearly.  This was last completed on 21 May 2025. Equipment requiring calibration and checking was completed by a preferred provider on 3 April 2025 and records were reviewed.   </w:t>
            </w:r>
          </w:p>
          <w:p w14:paraId="3DE530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w:t>
            </w:r>
            <w:r w:rsidRPr="00BE00C7">
              <w:rPr>
                <w:rFonts w:cs="Arial"/>
                <w:lang w:eastAsia="en-NZ"/>
              </w:rPr>
              <w:lastRenderedPageBreak/>
              <w:t>Personalised equipment was available for residents with disabilities to meet their needs.   There is space to store mobility aids, and wheelchairs and scooters if needed.</w:t>
            </w:r>
          </w:p>
          <w:p w14:paraId="1C8E8E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numbers of accessible bathroom and toilet facilities throughout the facility. A separate bathroom is available for staff and visitors. Appropriately secured and approved handrails are provided in the bathroom areas, along with other equipment to promote residents’ independence.   </w:t>
            </w:r>
          </w:p>
          <w:p w14:paraId="240C16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7EB968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was inclusive of people’s cultures and supported cultural practices. If any new building or projects were to be approved consultation would be sought, to ensure the aspirations and identity of Māori would be met.</w:t>
            </w:r>
          </w:p>
          <w:p w14:paraId="29ED838E" w14:textId="77777777" w:rsidR="00000000" w:rsidRPr="00BE00C7" w:rsidRDefault="00000000" w:rsidP="00BE00C7">
            <w:pPr>
              <w:pStyle w:val="OutcomeDescription"/>
              <w:spacing w:before="120" w:after="120"/>
              <w:rPr>
                <w:rFonts w:cs="Arial"/>
                <w:lang w:eastAsia="en-NZ"/>
              </w:rPr>
            </w:pPr>
          </w:p>
        </w:tc>
      </w:tr>
      <w:tr w:rsidR="00470241" w14:paraId="5224BC44" w14:textId="77777777">
        <w:tc>
          <w:tcPr>
            <w:tcW w:w="0" w:type="auto"/>
          </w:tcPr>
          <w:p w14:paraId="064925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F3263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B2C41B7" w14:textId="77777777" w:rsidR="00000000" w:rsidRPr="00BE00C7" w:rsidRDefault="00000000" w:rsidP="00BE00C7">
            <w:pPr>
              <w:pStyle w:val="OutcomeDescription"/>
              <w:spacing w:before="120" w:after="120"/>
              <w:rPr>
                <w:rFonts w:cs="Arial"/>
                <w:lang w:eastAsia="en-NZ"/>
              </w:rPr>
            </w:pPr>
          </w:p>
        </w:tc>
        <w:tc>
          <w:tcPr>
            <w:tcW w:w="0" w:type="auto"/>
          </w:tcPr>
          <w:p w14:paraId="3BE1B5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FB61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had appropriate equipment to respond to emergency and security situations.  Staff interviewed knew what to do in an emergency.  The fire evacuation plan, recently reviewed, was approved by Fire and Emergency New Zealand (FENZ) on 25 January 2024.  The last fire evacuation and training occurred on 19 March 2025. A fire drill form was completed by the preferred provider for training and a copy was sent to FENZ, and a copy was retained for the service provider. </w:t>
            </w:r>
          </w:p>
          <w:p w14:paraId="32DC6D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met the National Emergency Management Agency recommendations for the region.  Since the previous audit, plugs and switches have been installed to enable a portable generator to be plugged in, to run power for lighting and other general power requirements. Water was available and a water tank of 5000 litres in size was accessible. Empty bottles, sterilising tablets, torches, batteries, emergency lighting, a barbecue and gas bottle and a transistor radio were readily available. Natural gas cooking and hot water supplies can continue in an emergency. </w:t>
            </w:r>
          </w:p>
          <w:p w14:paraId="4D5500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can provide a level of first aid relevant to the risks for the type of service provided. A first aider was rostered on every shift, as verified in documentation. </w:t>
            </w:r>
          </w:p>
          <w:p w14:paraId="50F204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alerted staff to residents requiring assistance.  Residents and whānau reported that staff responded promptly to call bells.  </w:t>
            </w:r>
          </w:p>
          <w:p w14:paraId="6FAFAD2D"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on admission to the facility and when required. The facility was locked in the evening by staff, and windows and doors were checked regularly throughout the afternoon and night duties. There was one door locked in the evening that alarms through the call bell system if a resident opens the door after hours. The facility is on a main road, so this is an additional safety measure in place.</w:t>
            </w:r>
          </w:p>
          <w:p w14:paraId="41937CBA" w14:textId="77777777" w:rsidR="00000000" w:rsidRPr="00BE00C7" w:rsidRDefault="00000000" w:rsidP="00BE00C7">
            <w:pPr>
              <w:pStyle w:val="OutcomeDescription"/>
              <w:spacing w:before="120" w:after="120"/>
              <w:rPr>
                <w:rFonts w:cs="Arial"/>
                <w:lang w:eastAsia="en-NZ"/>
              </w:rPr>
            </w:pPr>
          </w:p>
        </w:tc>
      </w:tr>
      <w:tr w:rsidR="00470241" w14:paraId="59F70020" w14:textId="77777777">
        <w:tc>
          <w:tcPr>
            <w:tcW w:w="0" w:type="auto"/>
          </w:tcPr>
          <w:p w14:paraId="66576E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33A9A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A4BE5EA" w14:textId="77777777" w:rsidR="00000000" w:rsidRPr="00BE00C7" w:rsidRDefault="00000000" w:rsidP="00BE00C7">
            <w:pPr>
              <w:pStyle w:val="OutcomeDescription"/>
              <w:spacing w:before="120" w:after="120"/>
              <w:rPr>
                <w:rFonts w:cs="Arial"/>
                <w:lang w:eastAsia="en-NZ"/>
              </w:rPr>
            </w:pPr>
          </w:p>
        </w:tc>
        <w:tc>
          <w:tcPr>
            <w:tcW w:w="0" w:type="auto"/>
          </w:tcPr>
          <w:p w14:paraId="0CC015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01F0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had been approved by the governing body, linked to the quality improvement system and were reviewed and reported on yearly.  Expertise and advice were sought following a defined process. A documented pathway supported risk-based reporting of progress, issues and significant events to the governing body.  The current business plan includes a goal to minimise the risk of infection.</w:t>
            </w:r>
          </w:p>
          <w:p w14:paraId="25790CA8"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infection prevention and control component was included in the monthly staff meetings. Any issues or significant events were reported by the GM to the board.</w:t>
            </w:r>
          </w:p>
          <w:p w14:paraId="2FE75D67" w14:textId="77777777" w:rsidR="00000000" w:rsidRPr="00BE00C7" w:rsidRDefault="00000000" w:rsidP="00BE00C7">
            <w:pPr>
              <w:pStyle w:val="OutcomeDescription"/>
              <w:spacing w:before="120" w:after="120"/>
              <w:rPr>
                <w:rFonts w:cs="Arial"/>
                <w:lang w:eastAsia="en-NZ"/>
              </w:rPr>
            </w:pPr>
          </w:p>
        </w:tc>
      </w:tr>
      <w:tr w:rsidR="00470241" w14:paraId="3581141D" w14:textId="77777777">
        <w:tc>
          <w:tcPr>
            <w:tcW w:w="0" w:type="auto"/>
          </w:tcPr>
          <w:p w14:paraId="73CC9E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BFA83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248655E6" w14:textId="77777777" w:rsidR="00000000" w:rsidRPr="00BE00C7" w:rsidRDefault="00000000" w:rsidP="00BE00C7">
            <w:pPr>
              <w:pStyle w:val="OutcomeDescription"/>
              <w:spacing w:before="120" w:after="120"/>
              <w:rPr>
                <w:rFonts w:cs="Arial"/>
                <w:lang w:eastAsia="en-NZ"/>
              </w:rPr>
            </w:pPr>
          </w:p>
        </w:tc>
        <w:tc>
          <w:tcPr>
            <w:tcW w:w="0" w:type="auto"/>
          </w:tcPr>
          <w:p w14:paraId="509A0D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F77E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the governance group.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w:t>
            </w:r>
            <w:r w:rsidRPr="00BE00C7">
              <w:rPr>
                <w:rFonts w:cs="Arial"/>
                <w:lang w:eastAsia="en-NZ"/>
              </w:rPr>
              <w:lastRenderedPageBreak/>
              <w:t xml:space="preserve">facility changes, and policies. </w:t>
            </w:r>
          </w:p>
          <w:p w14:paraId="71C21B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was accessed where appropriate. </w:t>
            </w:r>
          </w:p>
          <w:p w14:paraId="3EA66A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Educational resources were available in te reo Māori.   Hand washing signs written in Māori were observed near handbasins and throughout the home. </w:t>
            </w:r>
          </w:p>
          <w:p w14:paraId="115BF7D8"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was documented and has been regularly tested. There were sufficient resources and personal protective equipment (PPE) available, and staff have been trained accordingly.</w:t>
            </w:r>
          </w:p>
          <w:p w14:paraId="103FC3E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The process was audited to maintain good practice. Single-use medical devices were not reused.</w:t>
            </w:r>
          </w:p>
          <w:p w14:paraId="794A613B" w14:textId="77777777" w:rsidR="00000000" w:rsidRPr="00BE00C7" w:rsidRDefault="00000000" w:rsidP="00BE00C7">
            <w:pPr>
              <w:pStyle w:val="OutcomeDescription"/>
              <w:spacing w:before="120" w:after="120"/>
              <w:rPr>
                <w:rFonts w:cs="Arial"/>
                <w:lang w:eastAsia="en-NZ"/>
              </w:rPr>
            </w:pPr>
          </w:p>
        </w:tc>
      </w:tr>
      <w:tr w:rsidR="00470241" w14:paraId="71F77150" w14:textId="77777777">
        <w:tc>
          <w:tcPr>
            <w:tcW w:w="0" w:type="auto"/>
          </w:tcPr>
          <w:p w14:paraId="33ED63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51A32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914C95D" w14:textId="77777777" w:rsidR="00000000" w:rsidRPr="00BE00C7" w:rsidRDefault="00000000" w:rsidP="00BE00C7">
            <w:pPr>
              <w:pStyle w:val="OutcomeDescription"/>
              <w:spacing w:before="120" w:after="120"/>
              <w:rPr>
                <w:rFonts w:cs="Arial"/>
                <w:lang w:eastAsia="en-NZ"/>
              </w:rPr>
            </w:pPr>
          </w:p>
        </w:tc>
        <w:tc>
          <w:tcPr>
            <w:tcW w:w="0" w:type="auto"/>
          </w:tcPr>
          <w:p w14:paraId="3D7DD9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01EF90"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promoted.  The AMS programme is appropriate for the size and complexity of the service, supported by policies and procedures.  The effectiveness of the AMS programme was evaluated by monitoring antimicrobial use and identifying areas for improvement.   There was a real focus on sharing with relevant stakeholders the importance of AMS and raising awareness regarding responsibilities in aged care.</w:t>
            </w:r>
          </w:p>
          <w:p w14:paraId="05503B16" w14:textId="77777777" w:rsidR="00000000" w:rsidRPr="00BE00C7" w:rsidRDefault="00000000" w:rsidP="00BE00C7">
            <w:pPr>
              <w:pStyle w:val="OutcomeDescription"/>
              <w:spacing w:before="120" w:after="120"/>
              <w:rPr>
                <w:rFonts w:cs="Arial"/>
                <w:lang w:eastAsia="en-NZ"/>
              </w:rPr>
            </w:pPr>
          </w:p>
        </w:tc>
      </w:tr>
      <w:tr w:rsidR="00470241" w14:paraId="46DCC4C0" w14:textId="77777777">
        <w:tc>
          <w:tcPr>
            <w:tcW w:w="0" w:type="auto"/>
          </w:tcPr>
          <w:p w14:paraId="3CC2FE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FA498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88C0BA7" w14:textId="77777777" w:rsidR="00000000" w:rsidRPr="00BE00C7" w:rsidRDefault="00000000" w:rsidP="00BE00C7">
            <w:pPr>
              <w:pStyle w:val="OutcomeDescription"/>
              <w:spacing w:before="120" w:after="120"/>
              <w:rPr>
                <w:rFonts w:cs="Arial"/>
                <w:lang w:eastAsia="en-NZ"/>
              </w:rPr>
            </w:pPr>
          </w:p>
        </w:tc>
        <w:tc>
          <w:tcPr>
            <w:tcW w:w="0" w:type="auto"/>
          </w:tcPr>
          <w:p w14:paraId="7FA7BE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4B488B"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w:t>
            </w:r>
          </w:p>
          <w:p w14:paraId="202AD7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in the infection control programme and includes the using of </w:t>
            </w:r>
            <w:r w:rsidRPr="00BE00C7">
              <w:rPr>
                <w:rFonts w:cs="Arial"/>
                <w:lang w:eastAsia="en-NZ"/>
              </w:rPr>
              <w:lastRenderedPageBreak/>
              <w:t>standardised surveillance definitions.   Monthly surveillance data was collated and analysed to identify.</w:t>
            </w:r>
          </w:p>
          <w:p w14:paraId="26A6F0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any trends, possible causative factors and required actions.  Surveillance methods included tools and documentation including the assignment of responsibilities.  </w:t>
            </w:r>
          </w:p>
          <w:p w14:paraId="6D5E9A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Results of the surveillance programme were shared with staff and the board members which included analysis and ethnicity data.    There have been no recent outbreaks.      </w:t>
            </w:r>
          </w:p>
          <w:p w14:paraId="614EDF55"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 and this was evidenced in documentation and interviews with residents and whānau.</w:t>
            </w:r>
          </w:p>
          <w:p w14:paraId="29DAB84A" w14:textId="77777777" w:rsidR="00000000" w:rsidRPr="00BE00C7" w:rsidRDefault="00000000" w:rsidP="00BE00C7">
            <w:pPr>
              <w:pStyle w:val="OutcomeDescription"/>
              <w:spacing w:before="120" w:after="120"/>
              <w:rPr>
                <w:rFonts w:cs="Arial"/>
                <w:lang w:eastAsia="en-NZ"/>
              </w:rPr>
            </w:pPr>
          </w:p>
        </w:tc>
      </w:tr>
      <w:tr w:rsidR="00470241" w14:paraId="4E4BD9CF" w14:textId="77777777">
        <w:tc>
          <w:tcPr>
            <w:tcW w:w="0" w:type="auto"/>
          </w:tcPr>
          <w:p w14:paraId="1E74D9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03D1CE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2FC1478" w14:textId="77777777" w:rsidR="00000000" w:rsidRPr="00BE00C7" w:rsidRDefault="00000000" w:rsidP="00BE00C7">
            <w:pPr>
              <w:pStyle w:val="OutcomeDescription"/>
              <w:spacing w:before="120" w:after="120"/>
              <w:rPr>
                <w:rFonts w:cs="Arial"/>
                <w:lang w:eastAsia="en-NZ"/>
              </w:rPr>
            </w:pPr>
          </w:p>
        </w:tc>
        <w:tc>
          <w:tcPr>
            <w:tcW w:w="0" w:type="auto"/>
          </w:tcPr>
          <w:p w14:paraId="3BAA06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BBCA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w:t>
            </w:r>
          </w:p>
          <w:p w14:paraId="334A2A2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All residents’ clothing and laundry was outsourced to KHVCT daily.   Cleaning processes were monitored for effectiveness and included resident satisfaction surveys and internal audits completed by staff.   Infection prevention personnel have oversight of the environmental testing and monitoring programme.  Staff involved have completed relevant training and were observed to carry out duties safely. Chemicals were stored safely.</w:t>
            </w:r>
          </w:p>
          <w:p w14:paraId="3F3EEEA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is kept clean and tidy. This was confirmed through observations.</w:t>
            </w:r>
          </w:p>
          <w:p w14:paraId="6C56857C" w14:textId="77777777" w:rsidR="00000000" w:rsidRPr="00BE00C7" w:rsidRDefault="00000000" w:rsidP="00BE00C7">
            <w:pPr>
              <w:pStyle w:val="OutcomeDescription"/>
              <w:spacing w:before="120" w:after="120"/>
              <w:rPr>
                <w:rFonts w:cs="Arial"/>
                <w:lang w:eastAsia="en-NZ"/>
              </w:rPr>
            </w:pPr>
          </w:p>
        </w:tc>
      </w:tr>
      <w:tr w:rsidR="00470241" w14:paraId="267A10CF" w14:textId="77777777">
        <w:tc>
          <w:tcPr>
            <w:tcW w:w="0" w:type="auto"/>
          </w:tcPr>
          <w:p w14:paraId="4EEFCC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083CB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B152315" w14:textId="77777777" w:rsidR="00000000" w:rsidRPr="00BE00C7" w:rsidRDefault="00000000" w:rsidP="00BE00C7">
            <w:pPr>
              <w:pStyle w:val="OutcomeDescription"/>
              <w:spacing w:before="120" w:after="120"/>
              <w:rPr>
                <w:rFonts w:cs="Arial"/>
                <w:lang w:eastAsia="en-NZ"/>
              </w:rPr>
            </w:pPr>
          </w:p>
        </w:tc>
        <w:tc>
          <w:tcPr>
            <w:tcW w:w="0" w:type="auto"/>
          </w:tcPr>
          <w:p w14:paraId="34EFB1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8893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 commitment to this, supported by a member of the executive leadership at operational level.  At the time of audit, there was no restraint in use, and this has been the case for 10 </w:t>
            </w:r>
            <w:r w:rsidRPr="00BE00C7">
              <w:rPr>
                <w:rFonts w:cs="Arial"/>
                <w:lang w:eastAsia="en-NZ"/>
              </w:rPr>
              <w:lastRenderedPageBreak/>
              <w:t>years. Any use of restraint would be reported to the governing body.</w:t>
            </w:r>
          </w:p>
          <w:p w14:paraId="14822DC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and were last reviewed in April 2025.  Staff have been trained in the least restrictive practice, safe restraint practice, alternative cultural-specific interventions, and de-escalation techniques. Training was last provided to all staff on 18 September 2024,  as per the training records reviewed.  Care staff interviewed confirmed they had completed competencies and received training.</w:t>
            </w:r>
          </w:p>
          <w:p w14:paraId="61226F93"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that there was no restraint in use, subsections 6.2 and 6.3 have not been audited.</w:t>
            </w:r>
          </w:p>
          <w:p w14:paraId="011F3D29" w14:textId="77777777" w:rsidR="00000000" w:rsidRPr="00BE00C7" w:rsidRDefault="00000000" w:rsidP="00BE00C7">
            <w:pPr>
              <w:pStyle w:val="OutcomeDescription"/>
              <w:spacing w:before="120" w:after="120"/>
              <w:rPr>
                <w:rFonts w:cs="Arial"/>
                <w:lang w:eastAsia="en-NZ"/>
              </w:rPr>
            </w:pPr>
          </w:p>
        </w:tc>
      </w:tr>
    </w:tbl>
    <w:p w14:paraId="33E3908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C2D0471" w14:textId="77777777" w:rsidR="00000000" w:rsidRDefault="00000000">
      <w:pPr>
        <w:pStyle w:val="Heading1"/>
        <w:rPr>
          <w:rFonts w:cs="Arial"/>
        </w:rPr>
      </w:pPr>
      <w:r>
        <w:rPr>
          <w:rFonts w:cs="Arial"/>
        </w:rPr>
        <w:lastRenderedPageBreak/>
        <w:t>Specific results for criterion where corrective actions are required</w:t>
      </w:r>
    </w:p>
    <w:p w14:paraId="2610406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882727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F6D7BD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70241" w14:paraId="1D26B766" w14:textId="77777777">
        <w:tc>
          <w:tcPr>
            <w:tcW w:w="0" w:type="auto"/>
          </w:tcPr>
          <w:p w14:paraId="4635E88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1567F8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E68003E" w14:textId="77777777" w:rsidR="00000000" w:rsidRDefault="00000000">
      <w:pPr>
        <w:pStyle w:val="Heading1"/>
        <w:rPr>
          <w:rFonts w:cs="Arial"/>
        </w:rPr>
      </w:pPr>
      <w:r>
        <w:rPr>
          <w:rFonts w:cs="Arial"/>
        </w:rPr>
        <w:lastRenderedPageBreak/>
        <w:t>Specific results for criterion where a continuous improvement has been recorded</w:t>
      </w:r>
    </w:p>
    <w:p w14:paraId="16DE110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04036D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A840B1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1327"/>
        <w:gridCol w:w="4896"/>
        <w:gridCol w:w="5076"/>
      </w:tblGrid>
      <w:tr w:rsidR="00470241" w14:paraId="351595E0" w14:textId="77777777">
        <w:tc>
          <w:tcPr>
            <w:tcW w:w="0" w:type="auto"/>
          </w:tcPr>
          <w:p w14:paraId="56AAC51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0585C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8DE7D3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A777D7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470241" w14:paraId="72273E4C" w14:textId="77777777">
        <w:tc>
          <w:tcPr>
            <w:tcW w:w="0" w:type="auto"/>
          </w:tcPr>
          <w:p w14:paraId="1823831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2.1.7</w:t>
            </w:r>
          </w:p>
          <w:p w14:paraId="25683B6F"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ensure service providers identify and work to address barriers to equitable service delivery.</w:t>
            </w:r>
          </w:p>
        </w:tc>
        <w:tc>
          <w:tcPr>
            <w:tcW w:w="0" w:type="auto"/>
          </w:tcPr>
          <w:p w14:paraId="2ABCC866"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760B7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Although Kamo Home Village and Charitable Trust had a robust and embedded quality assurance program in place, a key gap in the data analysis was recognised, being the absence of an equity dimension. While the resident population is not currently highly diverse, it is essential to proactively implement health assurance processes that would identify potential areas of health equity. The aims were to increase awareness relating to health equity within the services provided, to add an equity dimension to the quality improvement programme and to implement quality improvements to remove potential equity barriers. In 2023-2024, to address the gap identified, a dedicated health equity policy was authorised by governance, and as part of the initiative, all ethnicity data was collated and measured. This process ensured that any disparities were visible, and that the collection of data served a clear and useful purpose and response driving </w:t>
            </w:r>
            <w:r w:rsidRPr="00BE00C7">
              <w:rPr>
                <w:rFonts w:cs="Arial"/>
                <w:lang w:eastAsia="en-NZ"/>
              </w:rPr>
              <w:lastRenderedPageBreak/>
              <w:t>equitable health outcomes.  The principles of the Health Equity Assessment Tool (HEAT) framework was used, and a health equity dashboard was used to trend data in a timely manner. The dedicated health equity dashboard provided a visual and analytical overview of health equity trends and was updated on a six-monthly basis. The dashboard trend analysis identified emerging or persistent health equity barriers. These insights were used to inform targeted interventions and CQI initiatives across the service.  Appropriate interventions were put in place, such as increasing the awareness relating to health equity through education of the Trust board, and all staff. Debate and subsequent engagement with local iwi were sought for cultural sensitivity and awareness and ensuring consideration for the whole resident, specifically cultural needs and how the service providers interacted with Māori and Pacific people on a day-to-day basis. Staff were kept well informed through the staff and quality meetings.</w:t>
            </w:r>
          </w:p>
          <w:p w14:paraId="447D4595" w14:textId="77777777" w:rsidR="00000000" w:rsidRPr="00BE00C7" w:rsidRDefault="00000000" w:rsidP="00BE00C7">
            <w:pPr>
              <w:pStyle w:val="OutcomeDescription"/>
              <w:spacing w:before="120" w:after="120"/>
              <w:rPr>
                <w:rFonts w:cs="Arial"/>
                <w:lang w:eastAsia="en-NZ"/>
              </w:rPr>
            </w:pPr>
          </w:p>
        </w:tc>
        <w:tc>
          <w:tcPr>
            <w:tcW w:w="0" w:type="auto"/>
          </w:tcPr>
          <w:p w14:paraId="14E345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outcomes of this quality initiative have far exceeded a full attainment and have demonstrated increased awareness relating to health equity for all levels of the organisation, and as part of ongoing efforts to enhance quality and address disparities in health outcomes, an equity dimension has now been successfully integrated into the KHVCT quality assurance programme.   This is essential to deepen understanding, and to acknowledge that different people have varying levels of advantage and may require more tailored approaches, in order to achieve equitable health outcomes. KHVCT is committed to providing services that promote inclusivity and services in which residents and their family/whānau have a sense of belonging and feel valued.</w:t>
            </w:r>
          </w:p>
          <w:p w14:paraId="6DE7D6C5" w14:textId="77777777" w:rsidR="00000000" w:rsidRPr="00BE00C7" w:rsidRDefault="00000000" w:rsidP="00BE00C7">
            <w:pPr>
              <w:pStyle w:val="OutcomeDescription"/>
              <w:spacing w:before="120" w:after="120"/>
              <w:rPr>
                <w:rFonts w:cs="Arial"/>
                <w:lang w:eastAsia="en-NZ"/>
              </w:rPr>
            </w:pPr>
          </w:p>
        </w:tc>
      </w:tr>
      <w:tr w:rsidR="00470241" w14:paraId="6690A65F" w14:textId="77777777">
        <w:tc>
          <w:tcPr>
            <w:tcW w:w="0" w:type="auto"/>
          </w:tcPr>
          <w:p w14:paraId="668DD7D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2.3.5</w:t>
            </w:r>
          </w:p>
          <w:p w14:paraId="6A9DC15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assist with training and support for people and service providers to maximise people and whānau receiving services participation in the service.</w:t>
            </w:r>
          </w:p>
        </w:tc>
        <w:tc>
          <w:tcPr>
            <w:tcW w:w="0" w:type="auto"/>
          </w:tcPr>
          <w:p w14:paraId="410F4B4C"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02C885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Issues were identified from a staff questionnaire and interviews with new and existing staff that, due to the intensity of the induction process, information was not being retained and employees felt they were not fully equipped for their new roles despite safety measures, company policies and procedures, workplace culture, values and behaviours being discussed. The outcome of the interviews was that staff were taking longer to settle and adjust, the significant amount of information being provided was overwhelming, unnecessary errors and perceived underperformance was observed by management, stress and unhappiness were occurring and a less than acceptable number of new employees were leaving in their initial three-month orientation/induction period. Management discussed at length the feedback from </w:t>
            </w:r>
            <w:r w:rsidRPr="00BE00C7">
              <w:rPr>
                <w:rFonts w:cs="Arial"/>
                <w:lang w:eastAsia="en-NZ"/>
              </w:rPr>
              <w:lastRenderedPageBreak/>
              <w:t>the interviews and questionnaires completed, and what action to take. To improve, KHVCT built and implemented the ‘KHVCT intranet’, comprising of instructional videos. This virtual platform can be readily accessed when any employee logs on to the electronic system. The platform contains personalised instructional videos that are utilised as not only a tool during induction, but also a tool to ensure all employees can remain refreshed and prepared for unusual, exceptional or emergency situations. The information is site-specific and hence is beneficial for employees who work and access across multiple sites. The base line survey was repeated post-implementation of the KHVCT intranet. The results were collated, analysed and evaluated resulting in a 56% increase in staff satisfaction with the induction process, 100% in increased knowledge and confidence in being able to manage emergency procedures for both new and existing employees.</w:t>
            </w:r>
          </w:p>
          <w:p w14:paraId="61C54927" w14:textId="77777777" w:rsidR="00000000" w:rsidRPr="00BE00C7" w:rsidRDefault="00000000" w:rsidP="00BE00C7">
            <w:pPr>
              <w:pStyle w:val="OutcomeDescription"/>
              <w:spacing w:before="120" w:after="120"/>
              <w:rPr>
                <w:rFonts w:cs="Arial"/>
                <w:lang w:eastAsia="en-NZ"/>
              </w:rPr>
            </w:pPr>
          </w:p>
        </w:tc>
        <w:tc>
          <w:tcPr>
            <w:tcW w:w="0" w:type="auto"/>
          </w:tcPr>
          <w:p w14:paraId="689448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has been a considerable improvement post-introduction of the KHVCT intranet for all new and existing staff accessing the education/instructional videos. Staff are more emersed, interested in learning and continually suggesting and adding topics of interest. Staff can work at their own pace and learning style with the educator and clinical staff working alongside them to achieve educational requirements.  Attrition of new employees is now minimal.  Residents/whanau interviewed are pleased with the teamwork and the high standard of care provided.   </w:t>
            </w:r>
          </w:p>
          <w:p w14:paraId="1BAA1266" w14:textId="77777777" w:rsidR="00000000" w:rsidRPr="00BE00C7" w:rsidRDefault="00000000" w:rsidP="00BE00C7">
            <w:pPr>
              <w:pStyle w:val="OutcomeDescription"/>
              <w:spacing w:before="120" w:after="120"/>
              <w:rPr>
                <w:rFonts w:cs="Arial"/>
                <w:lang w:eastAsia="en-NZ"/>
              </w:rPr>
            </w:pPr>
          </w:p>
        </w:tc>
      </w:tr>
      <w:tr w:rsidR="00470241" w14:paraId="104F3B22" w14:textId="77777777">
        <w:tc>
          <w:tcPr>
            <w:tcW w:w="0" w:type="auto"/>
          </w:tcPr>
          <w:p w14:paraId="564B8A1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2AFE6130"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7BE3426E"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587867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Parahaki Court has introduced an electronic game console to not only support staff in identifying a residents’ potential deterioration and/or decline in health from a physical, mental and emotional perspective, but which encourages residents to interact in different activities that motivate movement, decision-making and mental stimulation, and promote interaction with others.  This console, which has a multitude of different activities, was set up in the main dining room, which is part of the main living space, to catch the eye of the resident/s. Thus, staff were also able to observe the resident/s from a distance and/or become involved in the activity with the resident/s.  </w:t>
            </w:r>
          </w:p>
          <w:p w14:paraId="1E2974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2023, 25 residents were included in a study to assess the benefits of this electronic game console for them.  The residents’ interRAI indicator scores, which included social, Montreal Cognitive </w:t>
            </w:r>
            <w:r w:rsidRPr="00BE00C7">
              <w:rPr>
                <w:rFonts w:cs="Arial"/>
                <w:lang w:eastAsia="en-NZ"/>
              </w:rPr>
              <w:lastRenderedPageBreak/>
              <w:t>Assessment (MOCA), depression, physical and falls were recorded pre- and post-activity. As a result of resident participation it was found on evaluation that the post-activity evaluation scores did not differ much; however, in May and November of 2024 and May of 2025, staff, resident and whānau survey outcomes identified that many of the whānau felt that, as a result of the introduction of this console, their residents' anxieties were reduced and they saw an increased participation in activities and interactions with others.   Residents identified that they enjoyed the competitiveness of the activities, and they could participate in the comfort of their home.  Staff identified that they saw a positive impact in residents' moods and residents were interacting and communicating more with others. Staff interacting with residents while using the game noted the building of relationships between themselves and the residents increase.</w:t>
            </w:r>
          </w:p>
          <w:p w14:paraId="3759AD2C" w14:textId="77777777" w:rsidR="00000000" w:rsidRPr="00BE00C7" w:rsidRDefault="00000000" w:rsidP="00BE00C7">
            <w:pPr>
              <w:pStyle w:val="OutcomeDescription"/>
              <w:spacing w:before="120" w:after="120"/>
              <w:rPr>
                <w:rFonts w:cs="Arial"/>
                <w:lang w:eastAsia="en-NZ"/>
              </w:rPr>
            </w:pPr>
          </w:p>
        </w:tc>
        <w:tc>
          <w:tcPr>
            <w:tcW w:w="0" w:type="auto"/>
          </w:tcPr>
          <w:p w14:paraId="065542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introduction of the electronic activities game has resulted in a continuous improvement rating due to supporting and encouraging residents’ holistic wellness which includes increased mental, emotional and physical stimuli of the residents.</w:t>
            </w:r>
          </w:p>
          <w:p w14:paraId="0FF3A009" w14:textId="77777777" w:rsidR="00000000" w:rsidRPr="00BE00C7" w:rsidRDefault="00000000" w:rsidP="00BE00C7">
            <w:pPr>
              <w:pStyle w:val="OutcomeDescription"/>
              <w:spacing w:before="120" w:after="120"/>
              <w:rPr>
                <w:rFonts w:cs="Arial"/>
                <w:lang w:eastAsia="en-NZ"/>
              </w:rPr>
            </w:pPr>
          </w:p>
        </w:tc>
      </w:tr>
    </w:tbl>
    <w:p w14:paraId="4A9C543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A581CD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B88BD" w14:textId="77777777" w:rsidR="00E119D9" w:rsidRDefault="00E119D9">
      <w:r>
        <w:separator/>
      </w:r>
    </w:p>
  </w:endnote>
  <w:endnote w:type="continuationSeparator" w:id="0">
    <w:p w14:paraId="53FC076C" w14:textId="77777777" w:rsidR="00E119D9" w:rsidRDefault="00E1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E58F" w14:textId="77777777" w:rsidR="00000000" w:rsidRDefault="00000000">
    <w:pPr>
      <w:pStyle w:val="Footer"/>
    </w:pPr>
  </w:p>
  <w:p w14:paraId="01258CE0" w14:textId="77777777" w:rsidR="00000000" w:rsidRDefault="00000000"/>
  <w:p w14:paraId="189A0C7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D34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Kamo Home &amp; Village Charitable Trust - Parahaki Court</w:t>
    </w:r>
    <w:bookmarkEnd w:id="59"/>
    <w:r>
      <w:rPr>
        <w:rFonts w:cs="Arial"/>
        <w:sz w:val="16"/>
        <w:szCs w:val="20"/>
      </w:rPr>
      <w:tab/>
      <w:t xml:space="preserve">Date of Audit: </w:t>
    </w:r>
    <w:bookmarkStart w:id="60" w:name="AuditStartDate1"/>
    <w:r>
      <w:rPr>
        <w:rFonts w:cs="Arial"/>
        <w:sz w:val="16"/>
        <w:szCs w:val="20"/>
      </w:rPr>
      <w:t>4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72C34E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F40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9A4A" w14:textId="77777777" w:rsidR="00E119D9" w:rsidRDefault="00E119D9">
      <w:r>
        <w:separator/>
      </w:r>
    </w:p>
  </w:footnote>
  <w:footnote w:type="continuationSeparator" w:id="0">
    <w:p w14:paraId="316E15E1" w14:textId="77777777" w:rsidR="00E119D9" w:rsidRDefault="00E1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449D" w14:textId="77777777" w:rsidR="00000000" w:rsidRDefault="00000000">
    <w:pPr>
      <w:pStyle w:val="Header"/>
    </w:pPr>
  </w:p>
  <w:p w14:paraId="521C125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4077" w14:textId="77777777" w:rsidR="00000000" w:rsidRDefault="00000000">
    <w:pPr>
      <w:pStyle w:val="Header"/>
    </w:pPr>
  </w:p>
  <w:p w14:paraId="2585FD1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AC5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2761EF4">
      <w:start w:val="1"/>
      <w:numFmt w:val="decimal"/>
      <w:lvlText w:val="%1."/>
      <w:lvlJc w:val="left"/>
      <w:pPr>
        <w:ind w:left="360" w:hanging="360"/>
      </w:pPr>
    </w:lvl>
    <w:lvl w:ilvl="1" w:tplc="F2AEA364" w:tentative="1">
      <w:start w:val="1"/>
      <w:numFmt w:val="lowerLetter"/>
      <w:lvlText w:val="%2."/>
      <w:lvlJc w:val="left"/>
      <w:pPr>
        <w:ind w:left="1080" w:hanging="360"/>
      </w:pPr>
    </w:lvl>
    <w:lvl w:ilvl="2" w:tplc="E4AAF404" w:tentative="1">
      <w:start w:val="1"/>
      <w:numFmt w:val="lowerRoman"/>
      <w:lvlText w:val="%3."/>
      <w:lvlJc w:val="right"/>
      <w:pPr>
        <w:ind w:left="1800" w:hanging="180"/>
      </w:pPr>
    </w:lvl>
    <w:lvl w:ilvl="3" w:tplc="E5D4A15E" w:tentative="1">
      <w:start w:val="1"/>
      <w:numFmt w:val="decimal"/>
      <w:lvlText w:val="%4."/>
      <w:lvlJc w:val="left"/>
      <w:pPr>
        <w:ind w:left="2520" w:hanging="360"/>
      </w:pPr>
    </w:lvl>
    <w:lvl w:ilvl="4" w:tplc="09D82054" w:tentative="1">
      <w:start w:val="1"/>
      <w:numFmt w:val="lowerLetter"/>
      <w:lvlText w:val="%5."/>
      <w:lvlJc w:val="left"/>
      <w:pPr>
        <w:ind w:left="3240" w:hanging="360"/>
      </w:pPr>
    </w:lvl>
    <w:lvl w:ilvl="5" w:tplc="9258C094" w:tentative="1">
      <w:start w:val="1"/>
      <w:numFmt w:val="lowerRoman"/>
      <w:lvlText w:val="%6."/>
      <w:lvlJc w:val="right"/>
      <w:pPr>
        <w:ind w:left="3960" w:hanging="180"/>
      </w:pPr>
    </w:lvl>
    <w:lvl w:ilvl="6" w:tplc="A7D67074" w:tentative="1">
      <w:start w:val="1"/>
      <w:numFmt w:val="decimal"/>
      <w:lvlText w:val="%7."/>
      <w:lvlJc w:val="left"/>
      <w:pPr>
        <w:ind w:left="4680" w:hanging="360"/>
      </w:pPr>
    </w:lvl>
    <w:lvl w:ilvl="7" w:tplc="83A4A1CE" w:tentative="1">
      <w:start w:val="1"/>
      <w:numFmt w:val="lowerLetter"/>
      <w:lvlText w:val="%8."/>
      <w:lvlJc w:val="left"/>
      <w:pPr>
        <w:ind w:left="5400" w:hanging="360"/>
      </w:pPr>
    </w:lvl>
    <w:lvl w:ilvl="8" w:tplc="C436F1B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0D69F84">
      <w:start w:val="1"/>
      <w:numFmt w:val="bullet"/>
      <w:lvlText w:val=""/>
      <w:lvlJc w:val="left"/>
      <w:pPr>
        <w:ind w:left="720" w:hanging="360"/>
      </w:pPr>
      <w:rPr>
        <w:rFonts w:ascii="Symbol" w:hAnsi="Symbol" w:hint="default"/>
      </w:rPr>
    </w:lvl>
    <w:lvl w:ilvl="1" w:tplc="21506A12" w:tentative="1">
      <w:start w:val="1"/>
      <w:numFmt w:val="bullet"/>
      <w:lvlText w:val="o"/>
      <w:lvlJc w:val="left"/>
      <w:pPr>
        <w:ind w:left="1440" w:hanging="360"/>
      </w:pPr>
      <w:rPr>
        <w:rFonts w:ascii="Courier New" w:hAnsi="Courier New" w:cs="Courier New" w:hint="default"/>
      </w:rPr>
    </w:lvl>
    <w:lvl w:ilvl="2" w:tplc="A01A7B70" w:tentative="1">
      <w:start w:val="1"/>
      <w:numFmt w:val="bullet"/>
      <w:lvlText w:val=""/>
      <w:lvlJc w:val="left"/>
      <w:pPr>
        <w:ind w:left="2160" w:hanging="360"/>
      </w:pPr>
      <w:rPr>
        <w:rFonts w:ascii="Wingdings" w:hAnsi="Wingdings" w:hint="default"/>
      </w:rPr>
    </w:lvl>
    <w:lvl w:ilvl="3" w:tplc="12A472B4" w:tentative="1">
      <w:start w:val="1"/>
      <w:numFmt w:val="bullet"/>
      <w:lvlText w:val=""/>
      <w:lvlJc w:val="left"/>
      <w:pPr>
        <w:ind w:left="2880" w:hanging="360"/>
      </w:pPr>
      <w:rPr>
        <w:rFonts w:ascii="Symbol" w:hAnsi="Symbol" w:hint="default"/>
      </w:rPr>
    </w:lvl>
    <w:lvl w:ilvl="4" w:tplc="DFCAD32E" w:tentative="1">
      <w:start w:val="1"/>
      <w:numFmt w:val="bullet"/>
      <w:lvlText w:val="o"/>
      <w:lvlJc w:val="left"/>
      <w:pPr>
        <w:ind w:left="3600" w:hanging="360"/>
      </w:pPr>
      <w:rPr>
        <w:rFonts w:ascii="Courier New" w:hAnsi="Courier New" w:cs="Courier New" w:hint="default"/>
      </w:rPr>
    </w:lvl>
    <w:lvl w:ilvl="5" w:tplc="013CB134" w:tentative="1">
      <w:start w:val="1"/>
      <w:numFmt w:val="bullet"/>
      <w:lvlText w:val=""/>
      <w:lvlJc w:val="left"/>
      <w:pPr>
        <w:ind w:left="4320" w:hanging="360"/>
      </w:pPr>
      <w:rPr>
        <w:rFonts w:ascii="Wingdings" w:hAnsi="Wingdings" w:hint="default"/>
      </w:rPr>
    </w:lvl>
    <w:lvl w:ilvl="6" w:tplc="C188F966" w:tentative="1">
      <w:start w:val="1"/>
      <w:numFmt w:val="bullet"/>
      <w:lvlText w:val=""/>
      <w:lvlJc w:val="left"/>
      <w:pPr>
        <w:ind w:left="5040" w:hanging="360"/>
      </w:pPr>
      <w:rPr>
        <w:rFonts w:ascii="Symbol" w:hAnsi="Symbol" w:hint="default"/>
      </w:rPr>
    </w:lvl>
    <w:lvl w:ilvl="7" w:tplc="5CBAC94C" w:tentative="1">
      <w:start w:val="1"/>
      <w:numFmt w:val="bullet"/>
      <w:lvlText w:val="o"/>
      <w:lvlJc w:val="left"/>
      <w:pPr>
        <w:ind w:left="5760" w:hanging="360"/>
      </w:pPr>
      <w:rPr>
        <w:rFonts w:ascii="Courier New" w:hAnsi="Courier New" w:cs="Courier New" w:hint="default"/>
      </w:rPr>
    </w:lvl>
    <w:lvl w:ilvl="8" w:tplc="1F94E360" w:tentative="1">
      <w:start w:val="1"/>
      <w:numFmt w:val="bullet"/>
      <w:lvlText w:val=""/>
      <w:lvlJc w:val="left"/>
      <w:pPr>
        <w:ind w:left="6480" w:hanging="360"/>
      </w:pPr>
      <w:rPr>
        <w:rFonts w:ascii="Wingdings" w:hAnsi="Wingdings" w:hint="default"/>
      </w:rPr>
    </w:lvl>
  </w:abstractNum>
  <w:num w:numId="1" w16cid:durableId="514464363">
    <w:abstractNumId w:val="1"/>
  </w:num>
  <w:num w:numId="2" w16cid:durableId="191740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41"/>
    <w:rsid w:val="003C1622"/>
    <w:rsid w:val="00470241"/>
    <w:rsid w:val="00E119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B254"/>
  <w15:docId w15:val="{F932F3C2-212E-4705-8D16-18DA83A6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10315</Words>
  <Characters>58799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2025-07-01T21:53:00Z</dcterms:created>
  <dcterms:modified xsi:type="dcterms:W3CDTF">2025-07-01T21:53:00Z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