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7AC6" w14:textId="77777777" w:rsidR="00FC305A" w:rsidRDefault="00FC305A">
      <w:pPr>
        <w:pStyle w:val="Heading1"/>
        <w:rPr>
          <w:rFonts w:cs="Arial"/>
        </w:rPr>
      </w:pPr>
      <w:bookmarkStart w:id="0" w:name="PRMS_RIName"/>
      <w:r>
        <w:rPr>
          <w:rFonts w:cs="Arial"/>
        </w:rPr>
        <w:t>Views Lifecare Limited - Bethlehem Views</w:t>
      </w:r>
      <w:bookmarkEnd w:id="0"/>
    </w:p>
    <w:p w14:paraId="4566C4E3" w14:textId="77777777" w:rsidR="00FC305A" w:rsidRDefault="00FC305A">
      <w:pPr>
        <w:pStyle w:val="Heading2"/>
        <w:spacing w:after="0"/>
        <w:rPr>
          <w:rFonts w:cs="Arial"/>
        </w:rPr>
      </w:pPr>
      <w:r>
        <w:rPr>
          <w:rFonts w:cs="Arial"/>
        </w:rPr>
        <w:t>Introduction</w:t>
      </w:r>
    </w:p>
    <w:p w14:paraId="129C12D5" w14:textId="77777777" w:rsidR="00FC305A" w:rsidRDefault="00FC305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88B2B1B" w14:textId="77777777" w:rsidR="00FC305A" w:rsidRDefault="00FC305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E016759" w14:textId="77777777" w:rsidR="00FC305A" w:rsidRDefault="00FC305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6E6B88A" w14:textId="77777777" w:rsidR="00FC305A" w:rsidRDefault="00FC305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C4285F7" w14:textId="77777777" w:rsidR="00FC305A" w:rsidRDefault="00FC305A">
      <w:pPr>
        <w:spacing w:before="240" w:after="240"/>
        <w:rPr>
          <w:rFonts w:cs="Arial"/>
          <w:lang w:eastAsia="en-NZ"/>
        </w:rPr>
      </w:pPr>
      <w:r>
        <w:rPr>
          <w:rFonts w:cs="Arial"/>
          <w:lang w:eastAsia="en-NZ"/>
        </w:rPr>
        <w:t>The specifics of this audit included:</w:t>
      </w:r>
    </w:p>
    <w:p w14:paraId="6F1A03B5" w14:textId="77777777" w:rsidR="00FC305A" w:rsidRPr="009D18F5" w:rsidRDefault="00FC305A" w:rsidP="009D18F5">
      <w:pPr>
        <w:pBdr>
          <w:top w:val="single" w:sz="4" w:space="1" w:color="auto"/>
          <w:left w:val="single" w:sz="4" w:space="4" w:color="auto"/>
          <w:bottom w:val="single" w:sz="4" w:space="1" w:color="auto"/>
          <w:right w:val="single" w:sz="4" w:space="4" w:color="auto"/>
        </w:pBdr>
        <w:rPr>
          <w:rFonts w:cs="Arial"/>
        </w:rPr>
      </w:pPr>
    </w:p>
    <w:p w14:paraId="540D32AF" w14:textId="77777777" w:rsidR="00FC305A" w:rsidRPr="009418D4" w:rsidRDefault="00FC305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Views Lifecare Limited</w:t>
      </w:r>
      <w:bookmarkEnd w:id="4"/>
    </w:p>
    <w:p w14:paraId="195E4E33" w14:textId="77777777" w:rsidR="00FC305A" w:rsidRPr="009418D4" w:rsidRDefault="00FC305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Bethlehem Views</w:t>
      </w:r>
      <w:bookmarkEnd w:id="5"/>
    </w:p>
    <w:p w14:paraId="51EAC036" w14:textId="77777777" w:rsidR="00FC305A" w:rsidRPr="009418D4" w:rsidRDefault="00FC305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5DCAE9C" w14:textId="77777777" w:rsidR="00FC305A" w:rsidRPr="009418D4" w:rsidRDefault="00FC305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May 2025</w:t>
      </w:r>
      <w:bookmarkEnd w:id="7"/>
      <w:r w:rsidRPr="009418D4">
        <w:rPr>
          <w:rFonts w:cs="Arial"/>
        </w:rPr>
        <w:tab/>
        <w:t xml:space="preserve">End date: </w:t>
      </w:r>
      <w:bookmarkStart w:id="8" w:name="AuditEndDate"/>
      <w:r>
        <w:rPr>
          <w:rFonts w:cs="Arial"/>
        </w:rPr>
        <w:t>9 May 2025</w:t>
      </w:r>
      <w:bookmarkEnd w:id="8"/>
    </w:p>
    <w:p w14:paraId="6E236C16" w14:textId="77777777" w:rsidR="00FC305A" w:rsidRPr="009418D4" w:rsidRDefault="00FC305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FF68AE4" w14:textId="77777777" w:rsidR="00CA5000" w:rsidRPr="009418D4" w:rsidRDefault="00FC305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86</w:t>
      </w:r>
      <w:bookmarkEnd w:id="10"/>
    </w:p>
    <w:p w14:paraId="103B3342" w14:textId="77777777" w:rsidR="00FC305A" w:rsidRDefault="00FC305A" w:rsidP="009D18F5">
      <w:pPr>
        <w:pBdr>
          <w:top w:val="single" w:sz="4" w:space="1" w:color="auto"/>
          <w:left w:val="single" w:sz="4" w:space="4" w:color="auto"/>
          <w:bottom w:val="single" w:sz="4" w:space="1" w:color="auto"/>
          <w:right w:val="single" w:sz="4" w:space="4" w:color="auto"/>
        </w:pBdr>
        <w:rPr>
          <w:rFonts w:cs="Arial"/>
          <w:lang w:eastAsia="en-NZ"/>
        </w:rPr>
      </w:pPr>
    </w:p>
    <w:p w14:paraId="4A2A2A11" w14:textId="77777777" w:rsidR="00FC305A" w:rsidRDefault="00FC305A">
      <w:pPr>
        <w:pStyle w:val="Heading1"/>
        <w:rPr>
          <w:rFonts w:cs="Arial"/>
        </w:rPr>
      </w:pPr>
      <w:r>
        <w:rPr>
          <w:rFonts w:cs="Arial"/>
        </w:rPr>
        <w:lastRenderedPageBreak/>
        <w:t>Executive summary of the audit</w:t>
      </w:r>
    </w:p>
    <w:p w14:paraId="4E9CA5C4" w14:textId="77777777" w:rsidR="00FC305A" w:rsidRDefault="00FC305A">
      <w:pPr>
        <w:pStyle w:val="Heading2"/>
        <w:rPr>
          <w:rFonts w:cs="Arial"/>
        </w:rPr>
      </w:pPr>
      <w:r>
        <w:rPr>
          <w:rFonts w:cs="Arial"/>
        </w:rPr>
        <w:t>Introduction</w:t>
      </w:r>
    </w:p>
    <w:p w14:paraId="6A903701" w14:textId="77777777" w:rsidR="00FC305A" w:rsidRDefault="00FC305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99B034C" w14:textId="77777777" w:rsidR="00FC305A" w:rsidRDefault="00FC305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ADA3D99" w14:textId="77777777" w:rsidR="00FC305A" w:rsidRDefault="00FC305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179D8E4" w14:textId="77777777" w:rsidR="00FC305A" w:rsidRDefault="00FC305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6A829983" w14:textId="77777777" w:rsidR="00FC305A" w:rsidRDefault="00FC305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F482C01" w14:textId="77777777" w:rsidR="00FC305A" w:rsidRDefault="00FC305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ECCEE0A" w14:textId="77777777" w:rsidR="00FC305A" w:rsidRDefault="00FC305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6D4E102" w14:textId="77777777" w:rsidR="00FC305A" w:rsidRDefault="00FC305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FC8C870" w14:textId="77777777" w:rsidR="00FC305A" w:rsidRDefault="00FC305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A5000" w14:paraId="3A14E380" w14:textId="77777777">
        <w:trPr>
          <w:cantSplit/>
          <w:tblHeader/>
        </w:trPr>
        <w:tc>
          <w:tcPr>
            <w:tcW w:w="1260" w:type="dxa"/>
            <w:tcBorders>
              <w:bottom w:val="single" w:sz="4" w:space="0" w:color="000000"/>
            </w:tcBorders>
            <w:vAlign w:val="center"/>
          </w:tcPr>
          <w:p w14:paraId="54BE722A" w14:textId="77777777" w:rsidR="00FC305A" w:rsidRDefault="00FC305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92E8A4E" w14:textId="77777777" w:rsidR="00FC305A" w:rsidRDefault="00FC305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97C8C07" w14:textId="77777777" w:rsidR="00FC305A" w:rsidRDefault="00FC305A">
            <w:pPr>
              <w:spacing w:before="60" w:after="60"/>
              <w:rPr>
                <w:rFonts w:eastAsia="Calibri"/>
                <w:b/>
                <w:szCs w:val="24"/>
              </w:rPr>
            </w:pPr>
            <w:r>
              <w:rPr>
                <w:rFonts w:eastAsia="Calibri"/>
                <w:b/>
                <w:szCs w:val="24"/>
              </w:rPr>
              <w:t>Definition</w:t>
            </w:r>
          </w:p>
        </w:tc>
      </w:tr>
      <w:tr w:rsidR="00CA5000" w14:paraId="07BC9802" w14:textId="77777777">
        <w:trPr>
          <w:cantSplit/>
          <w:trHeight w:val="964"/>
        </w:trPr>
        <w:tc>
          <w:tcPr>
            <w:tcW w:w="1260" w:type="dxa"/>
            <w:tcBorders>
              <w:bottom w:val="single" w:sz="4" w:space="0" w:color="000000"/>
            </w:tcBorders>
            <w:shd w:val="clear" w:color="0066FF" w:fill="0000FF"/>
            <w:vAlign w:val="center"/>
          </w:tcPr>
          <w:p w14:paraId="4E688230" w14:textId="77777777" w:rsidR="00FC305A" w:rsidRDefault="00FC305A">
            <w:pPr>
              <w:spacing w:before="60" w:after="60"/>
              <w:rPr>
                <w:rFonts w:eastAsia="Calibri"/>
                <w:szCs w:val="24"/>
              </w:rPr>
            </w:pPr>
          </w:p>
        </w:tc>
        <w:tc>
          <w:tcPr>
            <w:tcW w:w="7095" w:type="dxa"/>
            <w:tcBorders>
              <w:bottom w:val="single" w:sz="4" w:space="0" w:color="000000"/>
            </w:tcBorders>
            <w:shd w:val="clear" w:color="auto" w:fill="auto"/>
            <w:vAlign w:val="center"/>
          </w:tcPr>
          <w:p w14:paraId="1A57395E" w14:textId="77777777" w:rsidR="00FC305A" w:rsidRDefault="00FC305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F407B08" w14:textId="77777777" w:rsidR="00FC305A" w:rsidRDefault="00FC305A">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CA5000" w14:paraId="46A2239F" w14:textId="77777777">
        <w:trPr>
          <w:cantSplit/>
          <w:trHeight w:val="964"/>
        </w:trPr>
        <w:tc>
          <w:tcPr>
            <w:tcW w:w="1260" w:type="dxa"/>
            <w:shd w:val="clear" w:color="33CC33" w:fill="00FF00"/>
            <w:vAlign w:val="center"/>
          </w:tcPr>
          <w:p w14:paraId="69203DBF" w14:textId="77777777" w:rsidR="00FC305A" w:rsidRDefault="00FC305A">
            <w:pPr>
              <w:spacing w:before="60" w:after="60"/>
              <w:rPr>
                <w:rFonts w:eastAsia="Calibri"/>
                <w:szCs w:val="24"/>
              </w:rPr>
            </w:pPr>
          </w:p>
        </w:tc>
        <w:tc>
          <w:tcPr>
            <w:tcW w:w="7095" w:type="dxa"/>
            <w:shd w:val="clear" w:color="auto" w:fill="auto"/>
            <w:vAlign w:val="center"/>
          </w:tcPr>
          <w:p w14:paraId="14EDAAFF" w14:textId="77777777" w:rsidR="00FC305A" w:rsidRDefault="00FC305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CC5AD9C" w14:textId="77777777" w:rsidR="00FC305A" w:rsidRDefault="00FC305A">
            <w:pPr>
              <w:spacing w:before="60" w:after="60"/>
              <w:ind w:left="50"/>
              <w:rPr>
                <w:rFonts w:eastAsia="Calibri"/>
                <w:szCs w:val="24"/>
              </w:rPr>
            </w:pPr>
            <w:r w:rsidRPr="00FB778F">
              <w:rPr>
                <w:rFonts w:eastAsia="Calibri"/>
                <w:szCs w:val="24"/>
              </w:rPr>
              <w:t>Subsections applicable to this service fully attained</w:t>
            </w:r>
          </w:p>
        </w:tc>
      </w:tr>
      <w:tr w:rsidR="00CA5000" w14:paraId="120D7264" w14:textId="77777777">
        <w:trPr>
          <w:cantSplit/>
          <w:trHeight w:val="964"/>
        </w:trPr>
        <w:tc>
          <w:tcPr>
            <w:tcW w:w="1260" w:type="dxa"/>
            <w:tcBorders>
              <w:bottom w:val="single" w:sz="4" w:space="0" w:color="000000"/>
            </w:tcBorders>
            <w:shd w:val="clear" w:color="auto" w:fill="FFFF00"/>
            <w:vAlign w:val="center"/>
          </w:tcPr>
          <w:p w14:paraId="553D5E9B" w14:textId="77777777" w:rsidR="00FC305A" w:rsidRDefault="00FC305A">
            <w:pPr>
              <w:spacing w:before="60" w:after="60"/>
              <w:rPr>
                <w:rFonts w:eastAsia="Calibri"/>
                <w:szCs w:val="24"/>
              </w:rPr>
            </w:pPr>
          </w:p>
        </w:tc>
        <w:tc>
          <w:tcPr>
            <w:tcW w:w="7095" w:type="dxa"/>
            <w:shd w:val="clear" w:color="auto" w:fill="auto"/>
            <w:vAlign w:val="center"/>
          </w:tcPr>
          <w:p w14:paraId="2E6343F7" w14:textId="77777777" w:rsidR="00FC305A" w:rsidRDefault="00FC305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1332489" w14:textId="77777777" w:rsidR="00FC305A" w:rsidRDefault="00FC305A">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CA5000" w14:paraId="4C1EEA31" w14:textId="77777777">
        <w:trPr>
          <w:cantSplit/>
          <w:trHeight w:val="964"/>
        </w:trPr>
        <w:tc>
          <w:tcPr>
            <w:tcW w:w="1260" w:type="dxa"/>
            <w:tcBorders>
              <w:bottom w:val="single" w:sz="4" w:space="0" w:color="000000"/>
            </w:tcBorders>
            <w:shd w:val="clear" w:color="auto" w:fill="FFC800"/>
            <w:vAlign w:val="center"/>
          </w:tcPr>
          <w:p w14:paraId="28EA18E8" w14:textId="77777777" w:rsidR="00FC305A" w:rsidRDefault="00FC305A">
            <w:pPr>
              <w:spacing w:before="60" w:after="60"/>
              <w:rPr>
                <w:rFonts w:eastAsia="Calibri"/>
                <w:szCs w:val="24"/>
              </w:rPr>
            </w:pPr>
          </w:p>
        </w:tc>
        <w:tc>
          <w:tcPr>
            <w:tcW w:w="7095" w:type="dxa"/>
            <w:tcBorders>
              <w:bottom w:val="single" w:sz="4" w:space="0" w:color="000000"/>
            </w:tcBorders>
            <w:shd w:val="clear" w:color="auto" w:fill="auto"/>
            <w:vAlign w:val="center"/>
          </w:tcPr>
          <w:p w14:paraId="37CA470F" w14:textId="77777777" w:rsidR="00FC305A" w:rsidRDefault="00FC305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14EEED" w14:textId="77777777" w:rsidR="00FC305A" w:rsidRDefault="00FC305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CA5000" w14:paraId="535EC23A" w14:textId="77777777">
        <w:trPr>
          <w:cantSplit/>
          <w:trHeight w:val="964"/>
        </w:trPr>
        <w:tc>
          <w:tcPr>
            <w:tcW w:w="1260" w:type="dxa"/>
            <w:shd w:val="clear" w:color="auto" w:fill="FF0000"/>
            <w:vAlign w:val="center"/>
          </w:tcPr>
          <w:p w14:paraId="590B2973" w14:textId="77777777" w:rsidR="00FC305A" w:rsidRDefault="00FC305A">
            <w:pPr>
              <w:spacing w:before="60" w:after="60"/>
              <w:rPr>
                <w:rFonts w:eastAsia="Calibri"/>
                <w:szCs w:val="24"/>
              </w:rPr>
            </w:pPr>
          </w:p>
        </w:tc>
        <w:tc>
          <w:tcPr>
            <w:tcW w:w="7095" w:type="dxa"/>
            <w:shd w:val="clear" w:color="auto" w:fill="auto"/>
            <w:vAlign w:val="center"/>
          </w:tcPr>
          <w:p w14:paraId="1C41FDD7" w14:textId="77777777" w:rsidR="00FC305A" w:rsidRDefault="00FC305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AB3EB83" w14:textId="77777777" w:rsidR="00FC305A" w:rsidRDefault="00FC305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54E0967" w14:textId="77777777" w:rsidR="00FC305A" w:rsidRDefault="00FC305A">
      <w:pPr>
        <w:pStyle w:val="Heading2"/>
        <w:spacing w:after="0"/>
        <w:rPr>
          <w:rFonts w:cs="Arial"/>
        </w:rPr>
      </w:pPr>
      <w:r>
        <w:rPr>
          <w:rFonts w:cs="Arial"/>
        </w:rPr>
        <w:t>General overview of the audit</w:t>
      </w:r>
    </w:p>
    <w:p w14:paraId="4DCBA88E" w14:textId="77777777" w:rsidR="00FC305A" w:rsidRDefault="00FC305A">
      <w:pPr>
        <w:spacing w:before="240" w:line="276" w:lineRule="auto"/>
        <w:rPr>
          <w:rFonts w:eastAsia="Calibri"/>
        </w:rPr>
      </w:pPr>
      <w:bookmarkStart w:id="13" w:name="GeneralOverview"/>
      <w:r w:rsidRPr="00A4268A">
        <w:rPr>
          <w:rFonts w:eastAsia="Calibri"/>
        </w:rPr>
        <w:t>Bethlehem Views provides hospital (geriatric and medical), rest home and dementia care for up to 88 residents. At the time of the audit there were 86 residents.</w:t>
      </w:r>
    </w:p>
    <w:p w14:paraId="190E3E68" w14:textId="77777777" w:rsidR="00CA5000" w:rsidRPr="00A4268A" w:rsidRDefault="00FC305A">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the review of policies and procedures, the review of resident and staff files, observations, interviews with residents, family/whānau, management, and staff. The general practitioner, and nurse practitioner were not available for interview at the time of audit. </w:t>
      </w:r>
    </w:p>
    <w:p w14:paraId="527CE80F" w14:textId="77777777" w:rsidR="00CA5000" w:rsidRPr="00A4268A" w:rsidRDefault="00FC305A">
      <w:pPr>
        <w:spacing w:before="240" w:line="276" w:lineRule="auto"/>
        <w:rPr>
          <w:rFonts w:eastAsia="Calibri"/>
        </w:rPr>
      </w:pPr>
      <w:r w:rsidRPr="00A4268A">
        <w:rPr>
          <w:rFonts w:eastAsia="Calibri"/>
        </w:rPr>
        <w:t xml:space="preserve">The village manager is supported by a clinical manager, two clinical coordinators, and a team of experienced staff. There are various groups in the Arvida support office who provide oversight and support to village and clinical managers. </w:t>
      </w:r>
    </w:p>
    <w:p w14:paraId="1CDF5DD8" w14:textId="77777777" w:rsidR="00CA5000" w:rsidRPr="00A4268A" w:rsidRDefault="00FC305A">
      <w:pPr>
        <w:spacing w:before="240" w:line="276" w:lineRule="auto"/>
        <w:rPr>
          <w:rFonts w:eastAsia="Calibri"/>
        </w:rPr>
      </w:pPr>
      <w:r w:rsidRPr="00A4268A">
        <w:rPr>
          <w:rFonts w:eastAsia="Calibri"/>
        </w:rPr>
        <w:t xml:space="preserve">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 Residents and family/whānau reported a high level of satisfaction with care and support provided at the service. </w:t>
      </w:r>
    </w:p>
    <w:p w14:paraId="401FEB81" w14:textId="77777777" w:rsidR="00CA5000" w:rsidRPr="00A4268A" w:rsidRDefault="00FC305A">
      <w:pPr>
        <w:spacing w:before="240" w:line="276" w:lineRule="auto"/>
        <w:rPr>
          <w:rFonts w:eastAsia="Calibri"/>
        </w:rPr>
      </w:pPr>
      <w:r w:rsidRPr="00A4268A">
        <w:rPr>
          <w:rFonts w:eastAsia="Calibri"/>
        </w:rPr>
        <w:t xml:space="preserve">The service has addressed all of the previous shortfalls in relation to care plan interventions, medication management and infection control. </w:t>
      </w:r>
    </w:p>
    <w:p w14:paraId="239A8B02" w14:textId="77777777" w:rsidR="00CA5000" w:rsidRPr="00A4268A" w:rsidRDefault="00FC305A">
      <w:pPr>
        <w:spacing w:before="240" w:line="276" w:lineRule="auto"/>
        <w:rPr>
          <w:rFonts w:eastAsia="Calibri"/>
        </w:rPr>
      </w:pPr>
      <w:r w:rsidRPr="00A4268A">
        <w:rPr>
          <w:rFonts w:eastAsia="Calibri"/>
        </w:rPr>
        <w:lastRenderedPageBreak/>
        <w:t>This surveillance audit identified the service meets the Standard.</w:t>
      </w:r>
    </w:p>
    <w:bookmarkEnd w:id="13"/>
    <w:p w14:paraId="7AD388B7" w14:textId="77777777" w:rsidR="00CA5000" w:rsidRPr="00A4268A" w:rsidRDefault="00CA5000">
      <w:pPr>
        <w:spacing w:before="240" w:line="276" w:lineRule="auto"/>
        <w:rPr>
          <w:rFonts w:eastAsia="Calibri"/>
        </w:rPr>
      </w:pPr>
    </w:p>
    <w:p w14:paraId="2030CF24" w14:textId="77777777" w:rsidR="00FC305A" w:rsidRDefault="00FC305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5000" w14:paraId="1DC4DF50" w14:textId="77777777" w:rsidTr="00A4268A">
        <w:trPr>
          <w:cantSplit/>
        </w:trPr>
        <w:tc>
          <w:tcPr>
            <w:tcW w:w="10206" w:type="dxa"/>
            <w:vAlign w:val="center"/>
          </w:tcPr>
          <w:p w14:paraId="0B8758E5" w14:textId="77777777" w:rsidR="00FC305A" w:rsidRPr="00FB778F" w:rsidRDefault="00FC305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26A013C" w14:textId="77777777" w:rsidR="00FC305A" w:rsidRPr="00621629" w:rsidRDefault="00FC305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7BE55E8" w14:textId="77777777" w:rsidR="00FC305A" w:rsidRPr="00621629" w:rsidRDefault="00FC305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BF26976" w14:textId="77777777" w:rsidR="00FC305A" w:rsidRPr="00621629" w:rsidRDefault="00FC305A" w:rsidP="008F3634">
            <w:pPr>
              <w:spacing w:before="60" w:after="60" w:line="276" w:lineRule="auto"/>
              <w:rPr>
                <w:rFonts w:eastAsia="Calibri"/>
              </w:rPr>
            </w:pPr>
            <w:bookmarkStart w:id="15" w:name="IndicatorDescription1_1"/>
            <w:bookmarkEnd w:id="15"/>
            <w:r>
              <w:t>Subsections applicable to this service fully attained.</w:t>
            </w:r>
          </w:p>
        </w:tc>
      </w:tr>
    </w:tbl>
    <w:p w14:paraId="24B7B4E4" w14:textId="77777777" w:rsidR="00FC305A" w:rsidRDefault="00FC305A">
      <w:pPr>
        <w:spacing w:before="240" w:line="276" w:lineRule="auto"/>
        <w:rPr>
          <w:rFonts w:eastAsia="Calibri"/>
        </w:rPr>
      </w:pPr>
      <w:bookmarkStart w:id="16" w:name="ConsumerRights"/>
      <w:r w:rsidRPr="00A4268A">
        <w:rPr>
          <w:rFonts w:eastAsia="Calibri"/>
        </w:rPr>
        <w:t xml:space="preserve">Arvida Bethlehem Views provides an environment that supports </w:t>
      </w:r>
      <w:r w:rsidRPr="00A4268A">
        <w:rPr>
          <w:rFonts w:eastAsia="Calibri"/>
        </w:rPr>
        <w:t xml:space="preserve">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Residents receive services in a manner that considers their dignity, privacy, and independence. Staff provide services and support to people in a way that is inclusive and </w:t>
      </w:r>
      <w:r w:rsidRPr="00A4268A">
        <w:rPr>
          <w:rFonts w:eastAsia="Calibri"/>
        </w:rPr>
        <w:t>respects their identity and their experiences. Residents are able to make informed decisions. The rights of the resident and/or their family/whānau to make a complaint is understood, respected, and upheld by the service. Complaints processes are implemented, and complaints and concerns are actively managed and well-documented.</w:t>
      </w:r>
    </w:p>
    <w:bookmarkEnd w:id="16"/>
    <w:p w14:paraId="36A3447A" w14:textId="77777777" w:rsidR="00CA5000" w:rsidRPr="00A4268A" w:rsidRDefault="00CA5000">
      <w:pPr>
        <w:spacing w:before="240" w:line="276" w:lineRule="auto"/>
        <w:rPr>
          <w:rFonts w:eastAsia="Calibri"/>
        </w:rPr>
      </w:pPr>
    </w:p>
    <w:p w14:paraId="3086D842" w14:textId="77777777" w:rsidR="00FC305A" w:rsidRDefault="00FC305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5000" w14:paraId="69CB3380" w14:textId="77777777" w:rsidTr="00A4268A">
        <w:trPr>
          <w:cantSplit/>
        </w:trPr>
        <w:tc>
          <w:tcPr>
            <w:tcW w:w="10206" w:type="dxa"/>
            <w:vAlign w:val="center"/>
          </w:tcPr>
          <w:p w14:paraId="402330F2" w14:textId="77777777" w:rsidR="00FC305A" w:rsidRPr="00621629" w:rsidRDefault="00FC305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1198D02" w14:textId="77777777" w:rsidR="00FC305A" w:rsidRPr="00621629" w:rsidRDefault="00FC305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C433813" w14:textId="77777777" w:rsidR="00FC305A" w:rsidRPr="00621629" w:rsidRDefault="00FC305A" w:rsidP="00621629">
            <w:pPr>
              <w:spacing w:before="60" w:after="60" w:line="276" w:lineRule="auto"/>
              <w:rPr>
                <w:rFonts w:eastAsia="Calibri"/>
              </w:rPr>
            </w:pPr>
            <w:bookmarkStart w:id="18" w:name="IndicatorDescription1_2"/>
            <w:bookmarkEnd w:id="18"/>
            <w:r>
              <w:t>Subsections applicable to this service fully attained.</w:t>
            </w:r>
          </w:p>
        </w:tc>
      </w:tr>
    </w:tbl>
    <w:p w14:paraId="3383A66B" w14:textId="77777777" w:rsidR="00FC305A" w:rsidRDefault="00FC305A">
      <w:pPr>
        <w:spacing w:before="240" w:line="276" w:lineRule="auto"/>
        <w:rPr>
          <w:rFonts w:eastAsia="Calibri"/>
        </w:rPr>
      </w:pPr>
      <w:bookmarkStart w:id="19" w:name="OrganisationalManagement"/>
      <w:r w:rsidRPr="00A4268A">
        <w:rPr>
          <w:rFonts w:eastAsia="Calibri"/>
        </w:rPr>
        <w:t xml:space="preserve">Arvida Group has a well-established organisational structure. Services are planned, coordinated, and are appropriate to the needs of the residents. The organisational strategic plan informs the site-specific operational objectives which are reviewed on a regular basis. Arvida Bethlehem Views has an established quality and risk management system. Quality and risk performance is reported across various meetings and to the organisation's management team. Arvida Bethlehem Views collates clinical indicator data </w:t>
      </w:r>
      <w:r w:rsidRPr="00A4268A">
        <w:rPr>
          <w:rFonts w:eastAsia="Calibri"/>
        </w:rPr>
        <w:t xml:space="preserve">and </w:t>
      </w:r>
      <w:r w:rsidRPr="00A4268A">
        <w:rPr>
          <w:rFonts w:eastAsia="Calibri"/>
        </w:rPr>
        <w:lastRenderedPageBreak/>
        <w:t xml:space="preserve">benchmarking occurs. There are human resources policies including recruitment, selection, orientation, and staff training and development. </w:t>
      </w:r>
    </w:p>
    <w:p w14:paraId="5C942672" w14:textId="77777777" w:rsidR="00CA5000" w:rsidRPr="00A4268A" w:rsidRDefault="00FC305A">
      <w:pPr>
        <w:spacing w:before="240" w:line="276" w:lineRule="auto"/>
        <w:rPr>
          <w:rFonts w:eastAsia="Calibri"/>
        </w:rPr>
      </w:pPr>
      <w:r w:rsidRPr="00A4268A">
        <w:rPr>
          <w:rFonts w:eastAsia="Calibri"/>
        </w:rPr>
        <w:t xml:space="preserve">The service has an induction </w:t>
      </w:r>
      <w:r w:rsidRPr="00A4268A">
        <w:rPr>
          <w:rFonts w:eastAsia="Calibri"/>
        </w:rPr>
        <w:t>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organisational staffing policy aligned with contractual requirements and included skill mixes. Residents and families/whānau reported that staffing levels ar</w:t>
      </w:r>
      <w:r w:rsidRPr="00A4268A">
        <w:rPr>
          <w:rFonts w:eastAsia="Calibri"/>
        </w:rPr>
        <w:t>e adequate to meet the needs of the residents.</w:t>
      </w:r>
    </w:p>
    <w:bookmarkEnd w:id="19"/>
    <w:p w14:paraId="3A93B982" w14:textId="77777777" w:rsidR="00CA5000" w:rsidRPr="00A4268A" w:rsidRDefault="00CA5000">
      <w:pPr>
        <w:spacing w:before="240" w:line="276" w:lineRule="auto"/>
        <w:rPr>
          <w:rFonts w:eastAsia="Calibri"/>
        </w:rPr>
      </w:pPr>
    </w:p>
    <w:p w14:paraId="50407EC0" w14:textId="77777777" w:rsidR="00FC305A" w:rsidRDefault="00FC305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5000" w14:paraId="1652D4DC" w14:textId="77777777" w:rsidTr="00A4268A">
        <w:trPr>
          <w:cantSplit/>
        </w:trPr>
        <w:tc>
          <w:tcPr>
            <w:tcW w:w="10206" w:type="dxa"/>
            <w:vAlign w:val="center"/>
          </w:tcPr>
          <w:p w14:paraId="554B7360" w14:textId="77777777" w:rsidR="00FC305A" w:rsidRPr="00621629" w:rsidRDefault="00FC305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A960BBB" w14:textId="77777777" w:rsidR="00FC305A" w:rsidRPr="00621629" w:rsidRDefault="00FC305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94CE750" w14:textId="77777777" w:rsidR="00FC305A" w:rsidRPr="00621629" w:rsidRDefault="00FC305A" w:rsidP="00621629">
            <w:pPr>
              <w:spacing w:before="60" w:after="60" w:line="276" w:lineRule="auto"/>
              <w:rPr>
                <w:rFonts w:eastAsia="Calibri"/>
              </w:rPr>
            </w:pPr>
            <w:bookmarkStart w:id="21" w:name="IndicatorDescription1_3"/>
            <w:bookmarkEnd w:id="21"/>
            <w:r>
              <w:t>Subsections applicable to this service fully attained.</w:t>
            </w:r>
          </w:p>
        </w:tc>
      </w:tr>
    </w:tbl>
    <w:p w14:paraId="02BCCBE0" w14:textId="77777777" w:rsidR="00FC305A" w:rsidRPr="005E14A4" w:rsidRDefault="00FC305A" w:rsidP="00621629">
      <w:pPr>
        <w:spacing w:before="240" w:line="276" w:lineRule="auto"/>
        <w:rPr>
          <w:rFonts w:eastAsia="Calibri"/>
        </w:rPr>
      </w:pPr>
      <w:bookmarkStart w:id="22" w:name="ContinuumOfServiceDelivery"/>
      <w:r w:rsidRPr="00A4268A">
        <w:rPr>
          <w:rFonts w:eastAsia="Calibri"/>
        </w:rPr>
        <w:t>Registered nurses assess residents on admission. An interim care plan guides care and service provision during the first three weeks after the resident’s admission. InterRAI assessments are used to identify residents’ needs, and long-term care plans are developed and implemented. The general practitioner, or nurse practitioner completes a medical assessment within the required timeframe and reviews occur thereafter at least three-monthly. Residents’ files reviewed demonstrated evaluations are completed at l</w:t>
      </w:r>
      <w:r w:rsidRPr="00A4268A">
        <w:rPr>
          <w:rFonts w:eastAsia="Calibri"/>
        </w:rPr>
        <w:t>east six-monthly. Residents are assessed by a physiotherapist and have access to a podiatrist, dental hygienist, and dietitian. Residents have their needs met in a manner that respects their cultural values and beliefs. Handovers between shifts guide continuity of care and teamwork is encouraged.</w:t>
      </w:r>
    </w:p>
    <w:p w14:paraId="1FE5FC96" w14:textId="77777777" w:rsidR="00CA5000" w:rsidRPr="00A4268A" w:rsidRDefault="00FC305A"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w:t>
      </w:r>
    </w:p>
    <w:p w14:paraId="5517C06A" w14:textId="77777777" w:rsidR="00CA5000" w:rsidRPr="00A4268A" w:rsidRDefault="00FC305A" w:rsidP="00621629">
      <w:pPr>
        <w:spacing w:before="240" w:line="276" w:lineRule="auto"/>
        <w:rPr>
          <w:rFonts w:eastAsia="Calibri"/>
        </w:rPr>
      </w:pPr>
      <w:r w:rsidRPr="00A4268A">
        <w:rPr>
          <w:rFonts w:eastAsia="Calibri"/>
        </w:rPr>
        <w:lastRenderedPageBreak/>
        <w:t xml:space="preserve">The food service meets the nutritional needs and preferences of the residents. The menu has </w:t>
      </w:r>
      <w:r w:rsidRPr="00A4268A">
        <w:rPr>
          <w:rFonts w:eastAsia="Calibri"/>
        </w:rPr>
        <w:t>been reviewed and approved by a registered dietitian. Specific dietary needs, allergies and intolerances are catered for. All meals and baking are prepared and cooked on site. The service has a current food control plan. Residents and family confirmed satisfaction with meals provided.</w:t>
      </w:r>
    </w:p>
    <w:p w14:paraId="0B3D7CA6" w14:textId="77777777" w:rsidR="00CA5000" w:rsidRPr="00A4268A" w:rsidRDefault="00FC305A"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50E3B37C" w14:textId="77777777" w:rsidR="00CA5000" w:rsidRPr="00A4268A" w:rsidRDefault="00CA5000" w:rsidP="00621629">
      <w:pPr>
        <w:spacing w:before="240" w:line="276" w:lineRule="auto"/>
        <w:rPr>
          <w:rFonts w:eastAsia="Calibri"/>
        </w:rPr>
      </w:pPr>
    </w:p>
    <w:p w14:paraId="4A698B51" w14:textId="77777777" w:rsidR="00FC305A" w:rsidRDefault="00FC305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5000" w14:paraId="2C6C7D8E" w14:textId="77777777" w:rsidTr="00A4268A">
        <w:trPr>
          <w:cantSplit/>
        </w:trPr>
        <w:tc>
          <w:tcPr>
            <w:tcW w:w="10206" w:type="dxa"/>
            <w:vAlign w:val="center"/>
          </w:tcPr>
          <w:p w14:paraId="4E127226" w14:textId="77777777" w:rsidR="00FC305A" w:rsidRPr="00621629" w:rsidRDefault="00FC305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4B1FFD6" w14:textId="77777777" w:rsidR="00FC305A" w:rsidRPr="00621629" w:rsidRDefault="00FC305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BB07B07" w14:textId="77777777" w:rsidR="00FC305A" w:rsidRPr="00621629" w:rsidRDefault="00FC305A" w:rsidP="00621629">
            <w:pPr>
              <w:spacing w:before="60" w:after="60" w:line="276" w:lineRule="auto"/>
              <w:rPr>
                <w:rFonts w:eastAsia="Calibri"/>
              </w:rPr>
            </w:pPr>
            <w:bookmarkStart w:id="24" w:name="IndicatorDescription1_4"/>
            <w:bookmarkEnd w:id="24"/>
            <w:r>
              <w:t>Subsections applicable to this service fully attained.</w:t>
            </w:r>
          </w:p>
        </w:tc>
      </w:tr>
    </w:tbl>
    <w:p w14:paraId="59198B66" w14:textId="77777777" w:rsidR="00FC305A" w:rsidRDefault="00FC305A">
      <w:pPr>
        <w:spacing w:before="240" w:line="276" w:lineRule="auto"/>
        <w:rPr>
          <w:rFonts w:eastAsia="Calibri"/>
        </w:rPr>
      </w:pPr>
      <w:bookmarkStart w:id="25" w:name="SafeAndAppropriateEnvironment"/>
      <w:r w:rsidRPr="00A4268A">
        <w:rPr>
          <w:rFonts w:eastAsia="Calibri"/>
        </w:rPr>
        <w:t>The building has a current warrant of fitness. There is a planned and reactive maintenance programme in place. Equipment and electrical appliances are serviced and tested regularly. The building is spacious and well maintained. Residents have ready access to safe and appropriate outdoor gardens.</w:t>
      </w:r>
    </w:p>
    <w:bookmarkEnd w:id="25"/>
    <w:p w14:paraId="4405A797" w14:textId="77777777" w:rsidR="00CA5000" w:rsidRPr="00A4268A" w:rsidRDefault="00CA5000">
      <w:pPr>
        <w:spacing w:before="240" w:line="276" w:lineRule="auto"/>
        <w:rPr>
          <w:rFonts w:eastAsia="Calibri"/>
        </w:rPr>
      </w:pPr>
    </w:p>
    <w:p w14:paraId="27FB1609" w14:textId="77777777" w:rsidR="00FC305A" w:rsidRDefault="00FC305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5000" w14:paraId="2678DEE6" w14:textId="77777777" w:rsidTr="00A4268A">
        <w:trPr>
          <w:cantSplit/>
        </w:trPr>
        <w:tc>
          <w:tcPr>
            <w:tcW w:w="10206" w:type="dxa"/>
            <w:vAlign w:val="center"/>
          </w:tcPr>
          <w:p w14:paraId="66892A5D" w14:textId="77777777" w:rsidR="00FC305A" w:rsidRPr="00621629" w:rsidRDefault="00FC305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72B1C7C" w14:textId="77777777" w:rsidR="00FC305A" w:rsidRPr="00621629" w:rsidRDefault="00FC305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BF08DB4" w14:textId="77777777" w:rsidR="00FC305A" w:rsidRPr="00621629" w:rsidRDefault="00FC305A" w:rsidP="00621629">
            <w:pPr>
              <w:spacing w:before="60" w:after="60" w:line="276" w:lineRule="auto"/>
              <w:rPr>
                <w:rFonts w:eastAsia="Calibri"/>
              </w:rPr>
            </w:pPr>
            <w:bookmarkStart w:id="27" w:name="IndicatorDescription2"/>
            <w:bookmarkEnd w:id="27"/>
            <w:r>
              <w:t>Subsections applicable to this service fully attained.</w:t>
            </w:r>
          </w:p>
        </w:tc>
      </w:tr>
    </w:tbl>
    <w:p w14:paraId="060BF35A" w14:textId="77777777" w:rsidR="00FC305A" w:rsidRDefault="00FC305A">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w:t>
      </w:r>
      <w:r w:rsidRPr="00A4268A">
        <w:rPr>
          <w:rFonts w:eastAsia="Calibri"/>
        </w:rPr>
        <w:t>ga guidelines.</w:t>
      </w:r>
    </w:p>
    <w:p w14:paraId="1383765A" w14:textId="77777777" w:rsidR="00CA5000" w:rsidRPr="00A4268A" w:rsidRDefault="00FC305A">
      <w:pPr>
        <w:spacing w:before="240" w:line="276" w:lineRule="auto"/>
        <w:rPr>
          <w:rFonts w:eastAsia="Calibri"/>
        </w:rPr>
      </w:pPr>
      <w:r w:rsidRPr="00A4268A">
        <w:rPr>
          <w:rFonts w:eastAsia="Calibri"/>
        </w:rPr>
        <w:t>The type of surveillance undertaken is appropriate to the size and complexity of the organisation. Results of surveillance are acted upon, evaluated, and reported to relevant personnel in a timely manner. Benchmarking occurs. Since the last audit there has been one covid-19 outbreak and one norovirus outbreak. Both were well managed.</w:t>
      </w:r>
    </w:p>
    <w:bookmarkEnd w:id="28"/>
    <w:p w14:paraId="35600614" w14:textId="77777777" w:rsidR="00CA5000" w:rsidRPr="00A4268A" w:rsidRDefault="00CA5000">
      <w:pPr>
        <w:spacing w:before="240" w:line="276" w:lineRule="auto"/>
        <w:rPr>
          <w:rFonts w:eastAsia="Calibri"/>
        </w:rPr>
      </w:pPr>
    </w:p>
    <w:p w14:paraId="3FD60DA0" w14:textId="77777777" w:rsidR="00FC305A" w:rsidRDefault="00FC305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A5000" w14:paraId="147529D9" w14:textId="77777777" w:rsidTr="00A4268A">
        <w:trPr>
          <w:cantSplit/>
        </w:trPr>
        <w:tc>
          <w:tcPr>
            <w:tcW w:w="10206" w:type="dxa"/>
            <w:vAlign w:val="center"/>
          </w:tcPr>
          <w:p w14:paraId="11D57D3B" w14:textId="77777777" w:rsidR="00FC305A" w:rsidRPr="00621629" w:rsidRDefault="00FC305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6320C90" w14:textId="77777777" w:rsidR="00FC305A" w:rsidRPr="00621629" w:rsidRDefault="00FC305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918B8C6" w14:textId="77777777" w:rsidR="00FC305A" w:rsidRPr="00621629" w:rsidRDefault="00FC305A" w:rsidP="00621629">
            <w:pPr>
              <w:spacing w:before="60" w:after="60" w:line="276" w:lineRule="auto"/>
              <w:rPr>
                <w:rFonts w:eastAsia="Calibri"/>
              </w:rPr>
            </w:pPr>
            <w:bookmarkStart w:id="30" w:name="IndicatorDescription3"/>
            <w:bookmarkEnd w:id="30"/>
            <w:r>
              <w:t>Subsections applicable to this service fully attained.</w:t>
            </w:r>
          </w:p>
        </w:tc>
      </w:tr>
    </w:tbl>
    <w:p w14:paraId="6DD319DC" w14:textId="77777777" w:rsidR="00FC305A" w:rsidRDefault="00FC305A">
      <w:pPr>
        <w:spacing w:before="240" w:line="276" w:lineRule="auto"/>
        <w:rPr>
          <w:rFonts w:eastAsia="Calibri"/>
        </w:rPr>
      </w:pPr>
      <w:bookmarkStart w:id="31" w:name="InfectionPreventionAndControl"/>
      <w:r w:rsidRPr="00A4268A">
        <w:rPr>
          <w:rFonts w:eastAsia="Calibri"/>
        </w:rPr>
        <w:t>The restraint minimisation policy confirms that restraint consideration and application must be done in partnership with families/whānau, and the choice of device must be the least restrictive possible. The strategic plan aims to be restraint free. There is no use of restraint. Staff receive ongoing training in restraint minimisation and safe practice and complete an annual competency test.</w:t>
      </w:r>
    </w:p>
    <w:bookmarkEnd w:id="31"/>
    <w:p w14:paraId="5693F752" w14:textId="77777777" w:rsidR="00CA5000" w:rsidRPr="00A4268A" w:rsidRDefault="00CA5000">
      <w:pPr>
        <w:spacing w:before="240" w:line="276" w:lineRule="auto"/>
        <w:rPr>
          <w:rFonts w:eastAsia="Calibri"/>
        </w:rPr>
      </w:pPr>
    </w:p>
    <w:p w14:paraId="0583DBEF" w14:textId="77777777" w:rsidR="00FC305A" w:rsidRDefault="00FC305A" w:rsidP="000E6E02">
      <w:pPr>
        <w:pStyle w:val="Heading2"/>
        <w:spacing w:before="0"/>
        <w:rPr>
          <w:rFonts w:cs="Arial"/>
        </w:rPr>
      </w:pPr>
      <w:r>
        <w:rPr>
          <w:rFonts w:cs="Arial"/>
        </w:rPr>
        <w:lastRenderedPageBreak/>
        <w:t>Summary of attainment</w:t>
      </w:r>
    </w:p>
    <w:p w14:paraId="2E991CD1" w14:textId="77777777" w:rsidR="00FC305A" w:rsidRDefault="00FC305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A5000" w14:paraId="10781154" w14:textId="77777777">
        <w:tc>
          <w:tcPr>
            <w:tcW w:w="1384" w:type="dxa"/>
            <w:vAlign w:val="center"/>
          </w:tcPr>
          <w:p w14:paraId="42F35238" w14:textId="77777777" w:rsidR="00FC305A" w:rsidRDefault="00FC305A">
            <w:pPr>
              <w:keepNext/>
              <w:spacing w:before="60" w:after="60"/>
              <w:rPr>
                <w:rFonts w:cs="Arial"/>
                <w:b/>
                <w:sz w:val="20"/>
                <w:szCs w:val="20"/>
              </w:rPr>
            </w:pPr>
            <w:r>
              <w:rPr>
                <w:rFonts w:cs="Arial"/>
                <w:b/>
                <w:sz w:val="20"/>
                <w:szCs w:val="20"/>
              </w:rPr>
              <w:t>Attainment Rating</w:t>
            </w:r>
          </w:p>
        </w:tc>
        <w:tc>
          <w:tcPr>
            <w:tcW w:w="1701" w:type="dxa"/>
            <w:vAlign w:val="center"/>
          </w:tcPr>
          <w:p w14:paraId="0BA61573" w14:textId="77777777" w:rsidR="00FC305A" w:rsidRDefault="00FC305A">
            <w:pPr>
              <w:keepNext/>
              <w:spacing w:before="60" w:after="60"/>
              <w:jc w:val="center"/>
              <w:rPr>
                <w:rFonts w:cs="Arial"/>
                <w:b/>
                <w:sz w:val="20"/>
                <w:szCs w:val="20"/>
              </w:rPr>
            </w:pPr>
            <w:r>
              <w:rPr>
                <w:rFonts w:cs="Arial"/>
                <w:b/>
                <w:sz w:val="20"/>
                <w:szCs w:val="20"/>
              </w:rPr>
              <w:t>Continuous Improvement</w:t>
            </w:r>
          </w:p>
          <w:p w14:paraId="7D918DDA" w14:textId="77777777" w:rsidR="00FC305A" w:rsidRDefault="00FC305A">
            <w:pPr>
              <w:keepNext/>
              <w:spacing w:before="60" w:after="60"/>
              <w:jc w:val="center"/>
              <w:rPr>
                <w:rFonts w:cs="Arial"/>
                <w:b/>
                <w:sz w:val="20"/>
                <w:szCs w:val="20"/>
              </w:rPr>
            </w:pPr>
            <w:r>
              <w:rPr>
                <w:rFonts w:cs="Arial"/>
                <w:b/>
                <w:sz w:val="20"/>
                <w:szCs w:val="20"/>
              </w:rPr>
              <w:t>(CI)</w:t>
            </w:r>
          </w:p>
        </w:tc>
        <w:tc>
          <w:tcPr>
            <w:tcW w:w="1843" w:type="dxa"/>
            <w:vAlign w:val="center"/>
          </w:tcPr>
          <w:p w14:paraId="53FBE36C" w14:textId="77777777" w:rsidR="00FC305A" w:rsidRDefault="00FC305A">
            <w:pPr>
              <w:keepNext/>
              <w:spacing w:before="60" w:after="60"/>
              <w:jc w:val="center"/>
              <w:rPr>
                <w:rFonts w:cs="Arial"/>
                <w:b/>
                <w:sz w:val="20"/>
                <w:szCs w:val="20"/>
              </w:rPr>
            </w:pPr>
            <w:r>
              <w:rPr>
                <w:rFonts w:cs="Arial"/>
                <w:b/>
                <w:sz w:val="20"/>
                <w:szCs w:val="20"/>
              </w:rPr>
              <w:t>Fully Attained</w:t>
            </w:r>
          </w:p>
          <w:p w14:paraId="01509090" w14:textId="77777777" w:rsidR="00FC305A" w:rsidRDefault="00FC305A">
            <w:pPr>
              <w:keepNext/>
              <w:spacing w:before="60" w:after="60"/>
              <w:jc w:val="center"/>
              <w:rPr>
                <w:rFonts w:cs="Arial"/>
                <w:b/>
                <w:sz w:val="20"/>
                <w:szCs w:val="20"/>
              </w:rPr>
            </w:pPr>
            <w:r>
              <w:rPr>
                <w:rFonts w:cs="Arial"/>
                <w:b/>
                <w:sz w:val="20"/>
                <w:szCs w:val="20"/>
              </w:rPr>
              <w:t>(FA)</w:t>
            </w:r>
          </w:p>
        </w:tc>
        <w:tc>
          <w:tcPr>
            <w:tcW w:w="1843" w:type="dxa"/>
            <w:vAlign w:val="center"/>
          </w:tcPr>
          <w:p w14:paraId="0AC68E20" w14:textId="77777777" w:rsidR="00FC305A" w:rsidRDefault="00FC305A">
            <w:pPr>
              <w:keepNext/>
              <w:spacing w:before="60" w:after="60"/>
              <w:jc w:val="center"/>
              <w:rPr>
                <w:rFonts w:cs="Arial"/>
                <w:b/>
                <w:sz w:val="20"/>
                <w:szCs w:val="20"/>
              </w:rPr>
            </w:pPr>
            <w:r>
              <w:rPr>
                <w:rFonts w:cs="Arial"/>
                <w:b/>
                <w:sz w:val="20"/>
                <w:szCs w:val="20"/>
              </w:rPr>
              <w:t>Partially Attained Negligible Risk</w:t>
            </w:r>
          </w:p>
          <w:p w14:paraId="7E4722BC" w14:textId="77777777" w:rsidR="00FC305A" w:rsidRDefault="00FC305A">
            <w:pPr>
              <w:keepNext/>
              <w:spacing w:before="60" w:after="60"/>
              <w:jc w:val="center"/>
              <w:rPr>
                <w:rFonts w:cs="Arial"/>
                <w:b/>
                <w:sz w:val="20"/>
                <w:szCs w:val="20"/>
              </w:rPr>
            </w:pPr>
            <w:r>
              <w:rPr>
                <w:rFonts w:cs="Arial"/>
                <w:b/>
                <w:sz w:val="20"/>
                <w:szCs w:val="20"/>
              </w:rPr>
              <w:t>(PA Negligible)</w:t>
            </w:r>
          </w:p>
        </w:tc>
        <w:tc>
          <w:tcPr>
            <w:tcW w:w="1842" w:type="dxa"/>
            <w:vAlign w:val="center"/>
          </w:tcPr>
          <w:p w14:paraId="0A0C8C16" w14:textId="77777777" w:rsidR="00FC305A" w:rsidRDefault="00FC305A">
            <w:pPr>
              <w:keepNext/>
              <w:spacing w:before="60" w:after="60"/>
              <w:jc w:val="center"/>
              <w:rPr>
                <w:rFonts w:cs="Arial"/>
                <w:b/>
                <w:sz w:val="20"/>
                <w:szCs w:val="20"/>
              </w:rPr>
            </w:pPr>
            <w:r>
              <w:rPr>
                <w:rFonts w:cs="Arial"/>
                <w:b/>
                <w:sz w:val="20"/>
                <w:szCs w:val="20"/>
              </w:rPr>
              <w:t>Partially Attained Low Risk</w:t>
            </w:r>
          </w:p>
          <w:p w14:paraId="1E66D494" w14:textId="77777777" w:rsidR="00FC305A" w:rsidRDefault="00FC305A">
            <w:pPr>
              <w:keepNext/>
              <w:spacing w:before="60" w:after="60"/>
              <w:jc w:val="center"/>
              <w:rPr>
                <w:rFonts w:cs="Arial"/>
                <w:b/>
                <w:sz w:val="20"/>
                <w:szCs w:val="20"/>
              </w:rPr>
            </w:pPr>
            <w:r>
              <w:rPr>
                <w:rFonts w:cs="Arial"/>
                <w:b/>
                <w:sz w:val="20"/>
                <w:szCs w:val="20"/>
              </w:rPr>
              <w:t>(PA Low)</w:t>
            </w:r>
          </w:p>
        </w:tc>
        <w:tc>
          <w:tcPr>
            <w:tcW w:w="1843" w:type="dxa"/>
            <w:vAlign w:val="center"/>
          </w:tcPr>
          <w:p w14:paraId="69F5E829" w14:textId="77777777" w:rsidR="00FC305A" w:rsidRDefault="00FC305A">
            <w:pPr>
              <w:keepNext/>
              <w:spacing w:before="60" w:after="60"/>
              <w:jc w:val="center"/>
              <w:rPr>
                <w:rFonts w:cs="Arial"/>
                <w:b/>
                <w:sz w:val="20"/>
                <w:szCs w:val="20"/>
              </w:rPr>
            </w:pPr>
            <w:r>
              <w:rPr>
                <w:rFonts w:cs="Arial"/>
                <w:b/>
                <w:sz w:val="20"/>
                <w:szCs w:val="20"/>
              </w:rPr>
              <w:t>Partially Attained Moderate Risk</w:t>
            </w:r>
          </w:p>
          <w:p w14:paraId="19D86827" w14:textId="77777777" w:rsidR="00FC305A" w:rsidRDefault="00FC305A">
            <w:pPr>
              <w:keepNext/>
              <w:spacing w:before="60" w:after="60"/>
              <w:jc w:val="center"/>
              <w:rPr>
                <w:rFonts w:cs="Arial"/>
                <w:b/>
                <w:sz w:val="20"/>
                <w:szCs w:val="20"/>
              </w:rPr>
            </w:pPr>
            <w:r>
              <w:rPr>
                <w:rFonts w:cs="Arial"/>
                <w:b/>
                <w:sz w:val="20"/>
                <w:szCs w:val="20"/>
              </w:rPr>
              <w:t>(PA Moderate)</w:t>
            </w:r>
          </w:p>
        </w:tc>
        <w:tc>
          <w:tcPr>
            <w:tcW w:w="1843" w:type="dxa"/>
            <w:vAlign w:val="center"/>
          </w:tcPr>
          <w:p w14:paraId="1E20724B" w14:textId="77777777" w:rsidR="00FC305A" w:rsidRDefault="00FC305A">
            <w:pPr>
              <w:keepNext/>
              <w:spacing w:before="60" w:after="60"/>
              <w:jc w:val="center"/>
              <w:rPr>
                <w:rFonts w:cs="Arial"/>
                <w:b/>
                <w:sz w:val="20"/>
                <w:szCs w:val="20"/>
              </w:rPr>
            </w:pPr>
            <w:r>
              <w:rPr>
                <w:rFonts w:cs="Arial"/>
                <w:b/>
                <w:sz w:val="20"/>
                <w:szCs w:val="20"/>
              </w:rPr>
              <w:t>Partially Attained High Risk</w:t>
            </w:r>
          </w:p>
          <w:p w14:paraId="5DCD5DB8" w14:textId="77777777" w:rsidR="00FC305A" w:rsidRDefault="00FC305A">
            <w:pPr>
              <w:keepNext/>
              <w:spacing w:before="60" w:after="60"/>
              <w:jc w:val="center"/>
              <w:rPr>
                <w:rFonts w:cs="Arial"/>
                <w:b/>
                <w:sz w:val="20"/>
                <w:szCs w:val="20"/>
              </w:rPr>
            </w:pPr>
            <w:r>
              <w:rPr>
                <w:rFonts w:cs="Arial"/>
                <w:b/>
                <w:sz w:val="20"/>
                <w:szCs w:val="20"/>
              </w:rPr>
              <w:t>(PA High)</w:t>
            </w:r>
          </w:p>
        </w:tc>
        <w:tc>
          <w:tcPr>
            <w:tcW w:w="1843" w:type="dxa"/>
            <w:vAlign w:val="center"/>
          </w:tcPr>
          <w:p w14:paraId="2A9137B5" w14:textId="77777777" w:rsidR="00FC305A" w:rsidRDefault="00FC305A">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2012E8C2" w14:textId="77777777" w:rsidR="00FC305A" w:rsidRDefault="00FC305A">
            <w:pPr>
              <w:keepNext/>
              <w:spacing w:before="60" w:after="60"/>
              <w:jc w:val="center"/>
              <w:rPr>
                <w:rFonts w:cs="Arial"/>
                <w:b/>
                <w:sz w:val="20"/>
                <w:szCs w:val="20"/>
              </w:rPr>
            </w:pPr>
            <w:r>
              <w:rPr>
                <w:rFonts w:cs="Arial"/>
                <w:b/>
                <w:sz w:val="20"/>
                <w:szCs w:val="20"/>
              </w:rPr>
              <w:t>(PA Critical)</w:t>
            </w:r>
          </w:p>
        </w:tc>
      </w:tr>
      <w:tr w:rsidR="00CA5000" w14:paraId="022C10A4" w14:textId="77777777">
        <w:tc>
          <w:tcPr>
            <w:tcW w:w="1384" w:type="dxa"/>
            <w:vAlign w:val="center"/>
          </w:tcPr>
          <w:p w14:paraId="693D757E" w14:textId="77777777" w:rsidR="00FC305A" w:rsidRDefault="00FC305A">
            <w:pPr>
              <w:keepNext/>
              <w:spacing w:before="60" w:after="60"/>
              <w:rPr>
                <w:rFonts w:cs="Arial"/>
                <w:b/>
                <w:sz w:val="20"/>
                <w:szCs w:val="20"/>
              </w:rPr>
            </w:pPr>
            <w:r>
              <w:rPr>
                <w:rFonts w:cs="Arial"/>
                <w:b/>
                <w:sz w:val="20"/>
                <w:szCs w:val="20"/>
              </w:rPr>
              <w:t>Subsection</w:t>
            </w:r>
          </w:p>
        </w:tc>
        <w:tc>
          <w:tcPr>
            <w:tcW w:w="1701" w:type="dxa"/>
            <w:vAlign w:val="center"/>
          </w:tcPr>
          <w:p w14:paraId="75D14287" w14:textId="77777777" w:rsidR="00FC305A" w:rsidRDefault="00FC305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7F23A7D" w14:textId="77777777" w:rsidR="00FC305A" w:rsidRDefault="00FC305A"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2BABA95" w14:textId="77777777" w:rsidR="00FC305A" w:rsidRDefault="00FC305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094B2A1" w14:textId="77777777" w:rsidR="00FC305A" w:rsidRDefault="00FC305A"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395B5CA" w14:textId="77777777" w:rsidR="00FC305A" w:rsidRDefault="00FC305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16BBE0D" w14:textId="77777777" w:rsidR="00FC305A" w:rsidRDefault="00FC305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D66F75A" w14:textId="77777777" w:rsidR="00FC305A" w:rsidRDefault="00FC305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A5000" w14:paraId="3C441649" w14:textId="77777777">
        <w:tc>
          <w:tcPr>
            <w:tcW w:w="1384" w:type="dxa"/>
            <w:vAlign w:val="center"/>
          </w:tcPr>
          <w:p w14:paraId="6F8707FE" w14:textId="77777777" w:rsidR="00FC305A" w:rsidRDefault="00FC305A">
            <w:pPr>
              <w:keepNext/>
              <w:spacing w:before="60" w:after="60"/>
              <w:rPr>
                <w:rFonts w:cs="Arial"/>
                <w:b/>
                <w:sz w:val="20"/>
                <w:szCs w:val="20"/>
              </w:rPr>
            </w:pPr>
            <w:r>
              <w:rPr>
                <w:rFonts w:cs="Arial"/>
                <w:b/>
                <w:sz w:val="20"/>
                <w:szCs w:val="20"/>
              </w:rPr>
              <w:t>Criteria</w:t>
            </w:r>
          </w:p>
        </w:tc>
        <w:tc>
          <w:tcPr>
            <w:tcW w:w="1701" w:type="dxa"/>
            <w:vAlign w:val="center"/>
          </w:tcPr>
          <w:p w14:paraId="2A4A7FC2" w14:textId="77777777" w:rsidR="00FC305A" w:rsidRDefault="00FC305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713EFD9" w14:textId="77777777" w:rsidR="00FC305A" w:rsidRDefault="00FC305A"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2E51E6B" w14:textId="77777777" w:rsidR="00FC305A" w:rsidRDefault="00FC305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ACCA665" w14:textId="77777777" w:rsidR="00FC305A" w:rsidRDefault="00FC305A"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8183B06" w14:textId="77777777" w:rsidR="00FC305A" w:rsidRDefault="00FC305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49D0FD9" w14:textId="77777777" w:rsidR="00FC305A" w:rsidRDefault="00FC305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875DA49" w14:textId="77777777" w:rsidR="00FC305A" w:rsidRDefault="00FC305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B17BA59" w14:textId="77777777" w:rsidR="00FC305A" w:rsidRDefault="00FC305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A5000" w14:paraId="7B9CA721" w14:textId="77777777">
        <w:tc>
          <w:tcPr>
            <w:tcW w:w="1384" w:type="dxa"/>
            <w:vAlign w:val="center"/>
          </w:tcPr>
          <w:p w14:paraId="7854BB46" w14:textId="77777777" w:rsidR="00FC305A" w:rsidRDefault="00FC305A">
            <w:pPr>
              <w:keepNext/>
              <w:spacing w:before="60" w:after="60"/>
              <w:rPr>
                <w:rFonts w:cs="Arial"/>
                <w:b/>
                <w:sz w:val="20"/>
                <w:szCs w:val="20"/>
              </w:rPr>
            </w:pPr>
            <w:r>
              <w:rPr>
                <w:rFonts w:cs="Arial"/>
                <w:b/>
                <w:sz w:val="20"/>
                <w:szCs w:val="20"/>
              </w:rPr>
              <w:t>Attainment Rating</w:t>
            </w:r>
          </w:p>
        </w:tc>
        <w:tc>
          <w:tcPr>
            <w:tcW w:w="1701" w:type="dxa"/>
            <w:vAlign w:val="center"/>
          </w:tcPr>
          <w:p w14:paraId="65A16F8D" w14:textId="77777777" w:rsidR="00FC305A" w:rsidRDefault="00FC305A">
            <w:pPr>
              <w:keepNext/>
              <w:spacing w:before="60" w:after="60"/>
              <w:jc w:val="center"/>
              <w:rPr>
                <w:rFonts w:cs="Arial"/>
                <w:b/>
                <w:sz w:val="20"/>
                <w:szCs w:val="20"/>
              </w:rPr>
            </w:pPr>
            <w:r>
              <w:rPr>
                <w:rFonts w:cs="Arial"/>
                <w:b/>
                <w:sz w:val="20"/>
                <w:szCs w:val="20"/>
              </w:rPr>
              <w:t>Unattained Negligible Risk</w:t>
            </w:r>
          </w:p>
          <w:p w14:paraId="7D416FA0" w14:textId="77777777" w:rsidR="00FC305A" w:rsidRDefault="00FC305A">
            <w:pPr>
              <w:keepNext/>
              <w:spacing w:before="60" w:after="60"/>
              <w:jc w:val="center"/>
              <w:rPr>
                <w:rFonts w:cs="Arial"/>
                <w:b/>
                <w:sz w:val="20"/>
                <w:szCs w:val="20"/>
              </w:rPr>
            </w:pPr>
            <w:r>
              <w:rPr>
                <w:rFonts w:cs="Arial"/>
                <w:b/>
                <w:sz w:val="20"/>
                <w:szCs w:val="20"/>
              </w:rPr>
              <w:t>(UA Negligible)</w:t>
            </w:r>
          </w:p>
        </w:tc>
        <w:tc>
          <w:tcPr>
            <w:tcW w:w="1843" w:type="dxa"/>
            <w:vAlign w:val="center"/>
          </w:tcPr>
          <w:p w14:paraId="5264538C" w14:textId="77777777" w:rsidR="00FC305A" w:rsidRDefault="00FC305A">
            <w:pPr>
              <w:keepNext/>
              <w:spacing w:before="60" w:after="60"/>
              <w:jc w:val="center"/>
              <w:rPr>
                <w:rFonts w:cs="Arial"/>
                <w:b/>
                <w:sz w:val="20"/>
                <w:szCs w:val="20"/>
              </w:rPr>
            </w:pPr>
            <w:r>
              <w:rPr>
                <w:rFonts w:cs="Arial"/>
                <w:b/>
                <w:sz w:val="20"/>
                <w:szCs w:val="20"/>
              </w:rPr>
              <w:t>Unattained Low Risk</w:t>
            </w:r>
          </w:p>
          <w:p w14:paraId="6DE5F69A" w14:textId="77777777" w:rsidR="00FC305A" w:rsidRDefault="00FC305A">
            <w:pPr>
              <w:keepNext/>
              <w:spacing w:before="60" w:after="60"/>
              <w:jc w:val="center"/>
              <w:rPr>
                <w:rFonts w:cs="Arial"/>
                <w:b/>
                <w:sz w:val="20"/>
                <w:szCs w:val="20"/>
              </w:rPr>
            </w:pPr>
            <w:r>
              <w:rPr>
                <w:rFonts w:cs="Arial"/>
                <w:b/>
                <w:sz w:val="20"/>
                <w:szCs w:val="20"/>
              </w:rPr>
              <w:t>(UA Low)</w:t>
            </w:r>
          </w:p>
        </w:tc>
        <w:tc>
          <w:tcPr>
            <w:tcW w:w="1843" w:type="dxa"/>
            <w:vAlign w:val="center"/>
          </w:tcPr>
          <w:p w14:paraId="2A325C7F" w14:textId="77777777" w:rsidR="00FC305A" w:rsidRDefault="00FC305A">
            <w:pPr>
              <w:keepNext/>
              <w:spacing w:before="60" w:after="60"/>
              <w:jc w:val="center"/>
              <w:rPr>
                <w:rFonts w:cs="Arial"/>
                <w:b/>
                <w:sz w:val="20"/>
                <w:szCs w:val="20"/>
              </w:rPr>
            </w:pPr>
            <w:r>
              <w:rPr>
                <w:rFonts w:cs="Arial"/>
                <w:b/>
                <w:sz w:val="20"/>
                <w:szCs w:val="20"/>
              </w:rPr>
              <w:t>Unattained Moderate Risk</w:t>
            </w:r>
          </w:p>
          <w:p w14:paraId="69133300" w14:textId="77777777" w:rsidR="00FC305A" w:rsidRDefault="00FC305A">
            <w:pPr>
              <w:keepNext/>
              <w:spacing w:before="60" w:after="60"/>
              <w:jc w:val="center"/>
              <w:rPr>
                <w:rFonts w:cs="Arial"/>
                <w:b/>
                <w:sz w:val="20"/>
                <w:szCs w:val="20"/>
              </w:rPr>
            </w:pPr>
            <w:r>
              <w:rPr>
                <w:rFonts w:cs="Arial"/>
                <w:b/>
                <w:sz w:val="20"/>
                <w:szCs w:val="20"/>
              </w:rPr>
              <w:t>(UA Moderate)</w:t>
            </w:r>
          </w:p>
        </w:tc>
        <w:tc>
          <w:tcPr>
            <w:tcW w:w="1842" w:type="dxa"/>
            <w:vAlign w:val="center"/>
          </w:tcPr>
          <w:p w14:paraId="2098700D" w14:textId="77777777" w:rsidR="00FC305A" w:rsidRDefault="00FC305A">
            <w:pPr>
              <w:keepNext/>
              <w:spacing w:before="60" w:after="60"/>
              <w:jc w:val="center"/>
              <w:rPr>
                <w:rFonts w:cs="Arial"/>
                <w:b/>
                <w:sz w:val="20"/>
                <w:szCs w:val="20"/>
              </w:rPr>
            </w:pPr>
            <w:r>
              <w:rPr>
                <w:rFonts w:cs="Arial"/>
                <w:b/>
                <w:sz w:val="20"/>
                <w:szCs w:val="20"/>
              </w:rPr>
              <w:t>Unattained High Risk</w:t>
            </w:r>
          </w:p>
          <w:p w14:paraId="130F6F87" w14:textId="77777777" w:rsidR="00FC305A" w:rsidRDefault="00FC305A">
            <w:pPr>
              <w:keepNext/>
              <w:spacing w:before="60" w:after="60"/>
              <w:jc w:val="center"/>
              <w:rPr>
                <w:rFonts w:cs="Arial"/>
                <w:b/>
                <w:sz w:val="20"/>
                <w:szCs w:val="20"/>
              </w:rPr>
            </w:pPr>
            <w:r>
              <w:rPr>
                <w:rFonts w:cs="Arial"/>
                <w:b/>
                <w:sz w:val="20"/>
                <w:szCs w:val="20"/>
              </w:rPr>
              <w:t>(UA High)</w:t>
            </w:r>
          </w:p>
        </w:tc>
        <w:tc>
          <w:tcPr>
            <w:tcW w:w="1843" w:type="dxa"/>
            <w:vAlign w:val="center"/>
          </w:tcPr>
          <w:p w14:paraId="5236487C" w14:textId="77777777" w:rsidR="00FC305A" w:rsidRDefault="00FC305A">
            <w:pPr>
              <w:keepNext/>
              <w:spacing w:before="60" w:after="60"/>
              <w:jc w:val="center"/>
              <w:rPr>
                <w:rFonts w:cs="Arial"/>
                <w:b/>
                <w:sz w:val="20"/>
                <w:szCs w:val="20"/>
              </w:rPr>
            </w:pPr>
            <w:r>
              <w:rPr>
                <w:rFonts w:cs="Arial"/>
                <w:b/>
                <w:sz w:val="20"/>
                <w:szCs w:val="20"/>
              </w:rPr>
              <w:t>Unattained Critical Risk</w:t>
            </w:r>
          </w:p>
          <w:p w14:paraId="0787B0F7" w14:textId="77777777" w:rsidR="00FC305A" w:rsidRDefault="00FC305A">
            <w:pPr>
              <w:keepNext/>
              <w:spacing w:before="60" w:after="60"/>
              <w:jc w:val="center"/>
              <w:rPr>
                <w:rFonts w:cs="Arial"/>
                <w:b/>
                <w:sz w:val="20"/>
                <w:szCs w:val="20"/>
              </w:rPr>
            </w:pPr>
            <w:r>
              <w:rPr>
                <w:rFonts w:cs="Arial"/>
                <w:b/>
                <w:sz w:val="20"/>
                <w:szCs w:val="20"/>
              </w:rPr>
              <w:t>(UA Critical)</w:t>
            </w:r>
          </w:p>
        </w:tc>
      </w:tr>
      <w:tr w:rsidR="00CA5000" w14:paraId="58831F7F" w14:textId="77777777">
        <w:tc>
          <w:tcPr>
            <w:tcW w:w="1384" w:type="dxa"/>
            <w:vAlign w:val="center"/>
          </w:tcPr>
          <w:p w14:paraId="43C48E0E" w14:textId="77777777" w:rsidR="00FC305A" w:rsidRDefault="00FC305A">
            <w:pPr>
              <w:keepNext/>
              <w:spacing w:before="60" w:after="60"/>
              <w:rPr>
                <w:rFonts w:cs="Arial"/>
                <w:b/>
                <w:sz w:val="20"/>
                <w:szCs w:val="20"/>
              </w:rPr>
            </w:pPr>
            <w:r>
              <w:rPr>
                <w:rFonts w:cs="Arial"/>
                <w:b/>
                <w:sz w:val="20"/>
                <w:szCs w:val="20"/>
              </w:rPr>
              <w:t>Subsection</w:t>
            </w:r>
          </w:p>
        </w:tc>
        <w:tc>
          <w:tcPr>
            <w:tcW w:w="1701" w:type="dxa"/>
            <w:vAlign w:val="center"/>
          </w:tcPr>
          <w:p w14:paraId="668A8CAB" w14:textId="77777777" w:rsidR="00FC305A" w:rsidRDefault="00FC305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C43774D" w14:textId="77777777" w:rsidR="00FC305A" w:rsidRDefault="00FC305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344B67C" w14:textId="77777777" w:rsidR="00FC305A" w:rsidRDefault="00FC305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E19BA72" w14:textId="77777777" w:rsidR="00FC305A" w:rsidRDefault="00FC305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C126395" w14:textId="77777777" w:rsidR="00FC305A" w:rsidRDefault="00FC305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A5000" w14:paraId="61A26E5C" w14:textId="77777777">
        <w:tc>
          <w:tcPr>
            <w:tcW w:w="1384" w:type="dxa"/>
            <w:vAlign w:val="center"/>
          </w:tcPr>
          <w:p w14:paraId="395C3935" w14:textId="77777777" w:rsidR="00FC305A" w:rsidRDefault="00FC305A">
            <w:pPr>
              <w:spacing w:before="60" w:after="60"/>
              <w:rPr>
                <w:rFonts w:cs="Arial"/>
                <w:b/>
                <w:sz w:val="20"/>
                <w:szCs w:val="20"/>
              </w:rPr>
            </w:pPr>
            <w:r>
              <w:rPr>
                <w:rFonts w:cs="Arial"/>
                <w:b/>
                <w:sz w:val="20"/>
                <w:szCs w:val="20"/>
              </w:rPr>
              <w:t>Criteria</w:t>
            </w:r>
          </w:p>
        </w:tc>
        <w:tc>
          <w:tcPr>
            <w:tcW w:w="1701" w:type="dxa"/>
            <w:vAlign w:val="center"/>
          </w:tcPr>
          <w:p w14:paraId="220B7994" w14:textId="77777777" w:rsidR="00FC305A" w:rsidRDefault="00FC305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D43D5A5" w14:textId="77777777" w:rsidR="00FC305A" w:rsidRDefault="00FC305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E67DB3B" w14:textId="77777777" w:rsidR="00FC305A" w:rsidRDefault="00FC305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1523A6E" w14:textId="77777777" w:rsidR="00FC305A" w:rsidRDefault="00FC305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A985931" w14:textId="77777777" w:rsidR="00FC305A" w:rsidRDefault="00FC305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F70BD27" w14:textId="77777777" w:rsidR="00FC305A" w:rsidRDefault="00FC305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3155311" w14:textId="77777777" w:rsidR="00FC305A" w:rsidRDefault="00FC305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4207B1C" w14:textId="77777777" w:rsidR="00FC305A" w:rsidRDefault="00FC305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D1FA308" w14:textId="77777777" w:rsidR="00FC305A" w:rsidRDefault="00FC305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365"/>
        <w:gridCol w:w="7090"/>
      </w:tblGrid>
      <w:tr w:rsidR="00CA5000" w14:paraId="4C4CFB11" w14:textId="77777777">
        <w:tc>
          <w:tcPr>
            <w:tcW w:w="0" w:type="auto"/>
          </w:tcPr>
          <w:p w14:paraId="21BE5D26" w14:textId="77777777" w:rsidR="00FC305A" w:rsidRPr="00BE00C7" w:rsidRDefault="00FC305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083C38" w14:textId="77777777" w:rsidR="00FC305A" w:rsidRPr="00BE00C7" w:rsidRDefault="00FC305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9FAF9C7" w14:textId="77777777" w:rsidR="00FC305A" w:rsidRPr="00BE00C7" w:rsidRDefault="00FC305A" w:rsidP="00BE00C7">
            <w:pPr>
              <w:pStyle w:val="OutcomeDescription"/>
              <w:spacing w:before="120" w:after="120"/>
              <w:rPr>
                <w:rFonts w:cs="Arial"/>
                <w:b/>
                <w:lang w:eastAsia="en-NZ"/>
              </w:rPr>
            </w:pPr>
            <w:r w:rsidRPr="00BE00C7">
              <w:rPr>
                <w:rFonts w:cs="Arial"/>
                <w:b/>
                <w:lang w:eastAsia="en-NZ"/>
              </w:rPr>
              <w:t>Audit Evidence</w:t>
            </w:r>
          </w:p>
        </w:tc>
      </w:tr>
      <w:tr w:rsidR="00CA5000" w14:paraId="67A8A826" w14:textId="77777777">
        <w:tc>
          <w:tcPr>
            <w:tcW w:w="0" w:type="auto"/>
          </w:tcPr>
          <w:p w14:paraId="4048A8B9" w14:textId="77777777" w:rsidR="00FC305A" w:rsidRPr="00BE00C7" w:rsidRDefault="00FC305A" w:rsidP="00BE00C7">
            <w:pPr>
              <w:pStyle w:val="OutcomeDescription"/>
              <w:spacing w:before="120" w:after="120"/>
              <w:rPr>
                <w:rFonts w:cs="Arial"/>
                <w:lang w:eastAsia="en-NZ"/>
              </w:rPr>
            </w:pPr>
            <w:r w:rsidRPr="00BE00C7">
              <w:rPr>
                <w:rFonts w:cs="Arial"/>
                <w:lang w:eastAsia="en-NZ"/>
              </w:rPr>
              <w:t>Subsection 1.1: Pae ora healthy futures</w:t>
            </w:r>
          </w:p>
          <w:p w14:paraId="3E7D8A1D" w14:textId="77777777" w:rsidR="00FC305A" w:rsidRPr="00BE00C7" w:rsidRDefault="00FC305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71284A42" w14:textId="77777777" w:rsidR="00FC305A" w:rsidRPr="00BE00C7" w:rsidRDefault="00FC305A" w:rsidP="00BE00C7">
            <w:pPr>
              <w:pStyle w:val="OutcomeDescription"/>
              <w:spacing w:before="120" w:after="120"/>
              <w:rPr>
                <w:rFonts w:cs="Arial"/>
                <w:lang w:eastAsia="en-NZ"/>
              </w:rPr>
            </w:pPr>
          </w:p>
        </w:tc>
        <w:tc>
          <w:tcPr>
            <w:tcW w:w="0" w:type="auto"/>
          </w:tcPr>
          <w:p w14:paraId="31B5AA02"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2147D516" w14:textId="77777777" w:rsidR="00FC305A" w:rsidRPr="00BE00C7" w:rsidRDefault="00FC305A" w:rsidP="00BE00C7">
            <w:pPr>
              <w:pStyle w:val="OutcomeDescription"/>
              <w:spacing w:before="120" w:after="120"/>
              <w:rPr>
                <w:rFonts w:cs="Arial"/>
                <w:lang w:eastAsia="en-NZ"/>
              </w:rPr>
            </w:pPr>
            <w:r w:rsidRPr="00BE00C7">
              <w:rPr>
                <w:rFonts w:cs="Arial"/>
                <w:lang w:eastAsia="en-NZ"/>
              </w:rPr>
              <w:t>A Māori health plan is in place that acknowledges Te Tiriti o Waitangi as the founding document for New Zealand. The service currently have residents who identify as Māori. Arvida Bethlehem Views is committed to respecting the self-determination, cultural values, and beliefs of Māori residents and family/whānau and evidence is documented in the resident’s care plan. Five registered nurses, an enrolled nurse, and seven wellness partners (caregivers) one cook and a housekeeper interviewed described how they f</w:t>
            </w:r>
            <w:r w:rsidRPr="00BE00C7">
              <w:rPr>
                <w:rFonts w:cs="Arial"/>
                <w:lang w:eastAsia="en-NZ"/>
              </w:rPr>
              <w:t xml:space="preserve">elt equipped to provide culturally safe services in relation to their role. </w:t>
            </w:r>
          </w:p>
          <w:p w14:paraId="5BC675F9" w14:textId="77777777" w:rsidR="00FC305A" w:rsidRPr="00BE00C7" w:rsidRDefault="00FC305A" w:rsidP="00BE00C7">
            <w:pPr>
              <w:pStyle w:val="OutcomeDescription"/>
              <w:spacing w:before="120" w:after="120"/>
              <w:rPr>
                <w:rFonts w:cs="Arial"/>
                <w:lang w:eastAsia="en-NZ"/>
              </w:rPr>
            </w:pPr>
          </w:p>
        </w:tc>
      </w:tr>
      <w:tr w:rsidR="00CA5000" w14:paraId="6FA8F046" w14:textId="77777777">
        <w:tc>
          <w:tcPr>
            <w:tcW w:w="0" w:type="auto"/>
          </w:tcPr>
          <w:p w14:paraId="4C4799B6" w14:textId="77777777" w:rsidR="00FC305A" w:rsidRPr="00BE00C7" w:rsidRDefault="00FC305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1E0C823"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76ACB91" w14:textId="77777777" w:rsidR="00FC305A" w:rsidRPr="00BE00C7" w:rsidRDefault="00FC305A" w:rsidP="00BE00C7">
            <w:pPr>
              <w:pStyle w:val="OutcomeDescription"/>
              <w:spacing w:before="120" w:after="120"/>
              <w:rPr>
                <w:rFonts w:cs="Arial"/>
                <w:lang w:eastAsia="en-NZ"/>
              </w:rPr>
            </w:pPr>
          </w:p>
        </w:tc>
        <w:tc>
          <w:tcPr>
            <w:tcW w:w="0" w:type="auto"/>
          </w:tcPr>
          <w:p w14:paraId="37106666"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35200A"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Pacific Way Framework (PWC) is the chosen model for the Pacific health plan: Arvida Ola Manuia plan is in place. Staff have been introduced to the Fonofale model. There are currently no residents that identify as Pasifika. Family/whānau are encouraged to be involved in all aspects of care, particularly in nursing and medical decisions, providing feedback about the service and recognition of cultural needs.</w:t>
            </w:r>
          </w:p>
          <w:p w14:paraId="101ACFF7" w14:textId="77777777" w:rsidR="00FC305A" w:rsidRPr="00BE00C7" w:rsidRDefault="00FC305A" w:rsidP="00BE00C7">
            <w:pPr>
              <w:pStyle w:val="OutcomeDescription"/>
              <w:spacing w:before="120" w:after="120"/>
              <w:rPr>
                <w:rFonts w:cs="Arial"/>
                <w:lang w:eastAsia="en-NZ"/>
              </w:rPr>
            </w:pPr>
          </w:p>
        </w:tc>
      </w:tr>
      <w:tr w:rsidR="00CA5000" w14:paraId="42EDB86E" w14:textId="77777777">
        <w:tc>
          <w:tcPr>
            <w:tcW w:w="0" w:type="auto"/>
          </w:tcPr>
          <w:p w14:paraId="3F169A73" w14:textId="77777777" w:rsidR="00FC305A" w:rsidRPr="00BE00C7" w:rsidRDefault="00FC305A" w:rsidP="00BE00C7">
            <w:pPr>
              <w:pStyle w:val="OutcomeDescription"/>
              <w:spacing w:before="120" w:after="120"/>
              <w:rPr>
                <w:rFonts w:cs="Arial"/>
                <w:lang w:eastAsia="en-NZ"/>
              </w:rPr>
            </w:pPr>
            <w:r w:rsidRPr="00BE00C7">
              <w:rPr>
                <w:rFonts w:cs="Arial"/>
                <w:lang w:eastAsia="en-NZ"/>
              </w:rPr>
              <w:t>Subsection 1.3: My rights during service delivery</w:t>
            </w:r>
          </w:p>
          <w:p w14:paraId="613012B4"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C4A76EF" w14:textId="77777777" w:rsidR="00FC305A" w:rsidRPr="00BE00C7" w:rsidRDefault="00FC305A" w:rsidP="00BE00C7">
            <w:pPr>
              <w:pStyle w:val="OutcomeDescription"/>
              <w:spacing w:before="120" w:after="120"/>
              <w:rPr>
                <w:rFonts w:cs="Arial"/>
                <w:lang w:eastAsia="en-NZ"/>
              </w:rPr>
            </w:pPr>
          </w:p>
        </w:tc>
        <w:tc>
          <w:tcPr>
            <w:tcW w:w="0" w:type="auto"/>
          </w:tcPr>
          <w:p w14:paraId="1FC165C0"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59692FB2"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Details relating to the Health and Disability Commissioner Code of Health and Disability Consumers’ Rights (the Code) are included in the information that is provided to new residents and their family/whānau. The clinical manager discusses aspects of the Code with residents and their family/whānau on admission. The Code is displayed in multiple locations in English and te reo Māori. Discussions relating to the Code are held during the monthly household meetings. Four residents (two hospital, two rest home) </w:t>
            </w:r>
            <w:r w:rsidRPr="00BE00C7">
              <w:rPr>
                <w:rFonts w:cs="Arial"/>
                <w:lang w:eastAsia="en-NZ"/>
              </w:rPr>
              <w:t>and seven family/whānau (three dementia, four hospital) interviewed reported that the service is upholding the residents’ rights. Interactions observed between staff and residents during the audit were respectful.</w:t>
            </w:r>
          </w:p>
          <w:p w14:paraId="33579B4D" w14:textId="77777777" w:rsidR="00FC305A" w:rsidRPr="00BE00C7" w:rsidRDefault="00FC305A" w:rsidP="00BE00C7">
            <w:pPr>
              <w:pStyle w:val="OutcomeDescription"/>
              <w:spacing w:before="120" w:after="120"/>
              <w:rPr>
                <w:rFonts w:cs="Arial"/>
                <w:lang w:eastAsia="en-NZ"/>
              </w:rPr>
            </w:pPr>
          </w:p>
        </w:tc>
      </w:tr>
      <w:tr w:rsidR="00CA5000" w14:paraId="188D6C39" w14:textId="77777777">
        <w:tc>
          <w:tcPr>
            <w:tcW w:w="0" w:type="auto"/>
          </w:tcPr>
          <w:p w14:paraId="34C93D89" w14:textId="77777777" w:rsidR="00FC305A" w:rsidRPr="00BE00C7" w:rsidRDefault="00FC305A" w:rsidP="00BE00C7">
            <w:pPr>
              <w:pStyle w:val="OutcomeDescription"/>
              <w:spacing w:before="120" w:after="120"/>
              <w:rPr>
                <w:rFonts w:cs="Arial"/>
                <w:lang w:eastAsia="en-NZ"/>
              </w:rPr>
            </w:pPr>
            <w:r w:rsidRPr="00BE00C7">
              <w:rPr>
                <w:rFonts w:cs="Arial"/>
                <w:lang w:eastAsia="en-NZ"/>
              </w:rPr>
              <w:t>Subsection 1.5: I am protected from abuse</w:t>
            </w:r>
          </w:p>
          <w:p w14:paraId="274A87FD"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14FB8DE" w14:textId="77777777" w:rsidR="00FC305A" w:rsidRPr="00BE00C7" w:rsidRDefault="00FC305A" w:rsidP="00BE00C7">
            <w:pPr>
              <w:pStyle w:val="OutcomeDescription"/>
              <w:spacing w:before="120" w:after="120"/>
              <w:rPr>
                <w:rFonts w:cs="Arial"/>
                <w:lang w:eastAsia="en-NZ"/>
              </w:rPr>
            </w:pPr>
          </w:p>
        </w:tc>
        <w:tc>
          <w:tcPr>
            <w:tcW w:w="0" w:type="auto"/>
          </w:tcPr>
          <w:p w14:paraId="1A741330"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7210D9B3" w14:textId="77777777" w:rsidR="00FC305A" w:rsidRPr="00BE00C7" w:rsidRDefault="00FC305A" w:rsidP="00BE00C7">
            <w:pPr>
              <w:pStyle w:val="OutcomeDescription"/>
              <w:spacing w:before="120" w:after="120"/>
              <w:rPr>
                <w:rFonts w:cs="Arial"/>
                <w:lang w:eastAsia="en-NZ"/>
              </w:rPr>
            </w:pPr>
            <w:r w:rsidRPr="00BE00C7">
              <w:rPr>
                <w:rFonts w:cs="Arial"/>
                <w:lang w:eastAsia="en-NZ"/>
              </w:rPr>
              <w:t>An abuse, neglect and discrimination policy is implemented. Arvida’s policies prevent any form of institutional racism, discrimination, coercion, harassment, or any other exploitation. The organisation is inclusive of ethnicities, and cultural days are completed to celebrate diversity. A staff code of conduct is discussed during the new employee’s induction to the service, with evidence of staff signing the code of conduct document. The management of misconduct policy addresses the elimination of discrimina</w:t>
            </w:r>
            <w:r w:rsidRPr="00BE00C7">
              <w:rPr>
                <w:rFonts w:cs="Arial"/>
                <w:lang w:eastAsia="en-NZ"/>
              </w:rPr>
              <w:t>tion, harassment, and bullying. All staff are held responsible for creating a positive, inclusive and a safe working environment. The cultural safety and ethnicity policy documents guidelines to understand the impact of institutional, interpersonal, and internalised racism on resident wellbeing and to improve Māori health outcomes through clinical assessments of practice and education sessions.</w:t>
            </w:r>
          </w:p>
          <w:p w14:paraId="0B7C89E3" w14:textId="77777777" w:rsidR="00FC305A" w:rsidRPr="00BE00C7" w:rsidRDefault="00FC305A" w:rsidP="00BE00C7">
            <w:pPr>
              <w:pStyle w:val="OutcomeDescription"/>
              <w:spacing w:before="120" w:after="120"/>
              <w:rPr>
                <w:rFonts w:cs="Arial"/>
                <w:lang w:eastAsia="en-NZ"/>
              </w:rPr>
            </w:pPr>
            <w:r w:rsidRPr="00BE00C7">
              <w:rPr>
                <w:rFonts w:cs="Arial"/>
                <w:lang w:eastAsia="en-NZ"/>
              </w:rPr>
              <w:t>The service implements a process to manage residents’ comfort funds. Professional boundaries are defined in job descriptions. Interviews with registered nurses and wellness partners confirmed their understanding of professional boundaries, including the boundaries of their role and responsibilities.</w:t>
            </w:r>
          </w:p>
          <w:p w14:paraId="43C285A2" w14:textId="77777777" w:rsidR="00FC305A" w:rsidRPr="00BE00C7" w:rsidRDefault="00FC305A" w:rsidP="00BE00C7">
            <w:pPr>
              <w:pStyle w:val="OutcomeDescription"/>
              <w:spacing w:before="120" w:after="120"/>
              <w:rPr>
                <w:rFonts w:cs="Arial"/>
                <w:lang w:eastAsia="en-NZ"/>
              </w:rPr>
            </w:pPr>
          </w:p>
        </w:tc>
      </w:tr>
      <w:tr w:rsidR="00CA5000" w14:paraId="4DA7D08A" w14:textId="77777777">
        <w:tc>
          <w:tcPr>
            <w:tcW w:w="0" w:type="auto"/>
          </w:tcPr>
          <w:p w14:paraId="047D8E6B" w14:textId="77777777" w:rsidR="00FC305A" w:rsidRPr="00BE00C7" w:rsidRDefault="00FC305A" w:rsidP="00BE00C7">
            <w:pPr>
              <w:pStyle w:val="OutcomeDescription"/>
              <w:spacing w:before="120" w:after="120"/>
              <w:rPr>
                <w:rFonts w:cs="Arial"/>
                <w:lang w:eastAsia="en-NZ"/>
              </w:rPr>
            </w:pPr>
            <w:r w:rsidRPr="00BE00C7">
              <w:rPr>
                <w:rFonts w:cs="Arial"/>
                <w:lang w:eastAsia="en-NZ"/>
              </w:rPr>
              <w:t>Subsection 1.7: I am informed and able to make choices</w:t>
            </w:r>
          </w:p>
          <w:p w14:paraId="5FCD4BD4"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t>
            </w:r>
            <w:r w:rsidRPr="00BE00C7">
              <w:rPr>
                <w:rFonts w:cs="Arial"/>
                <w:lang w:eastAsia="en-NZ"/>
              </w:rPr>
              <w:lastRenderedPageBreak/>
              <w:t xml:space="preserve">wellbeing. If my choices cannot be upheld, I will be provided with </w:t>
            </w:r>
            <w:r w:rsidRPr="00BE00C7">
              <w:rPr>
                <w:rFonts w:cs="Arial"/>
                <w:lang w:eastAsia="en-NZ"/>
              </w:rPr>
              <w:t>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w:t>
            </w:r>
            <w:r w:rsidRPr="00BE00C7">
              <w:rPr>
                <w:rFonts w:cs="Arial"/>
                <w:lang w:eastAsia="en-NZ"/>
              </w:rPr>
              <w:t>trol.</w:t>
            </w:r>
          </w:p>
          <w:p w14:paraId="61E2DD41" w14:textId="77777777" w:rsidR="00FC305A" w:rsidRPr="00BE00C7" w:rsidRDefault="00FC305A" w:rsidP="00BE00C7">
            <w:pPr>
              <w:pStyle w:val="OutcomeDescription"/>
              <w:spacing w:before="120" w:after="120"/>
              <w:rPr>
                <w:rFonts w:cs="Arial"/>
                <w:lang w:eastAsia="en-NZ"/>
              </w:rPr>
            </w:pPr>
          </w:p>
        </w:tc>
        <w:tc>
          <w:tcPr>
            <w:tcW w:w="0" w:type="auto"/>
          </w:tcPr>
          <w:p w14:paraId="574EED44"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F11DB4"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Informed consent processes are discussed with residents and family/whānau on admission. The electronic resident files reviewed had signed general consents in place for outings, photographs, release of medical information, medication management and medical cares. Specific consent has been signed </w:t>
            </w:r>
            <w:r w:rsidRPr="00BE00C7">
              <w:rPr>
                <w:rFonts w:cs="Arial"/>
                <w:lang w:eastAsia="en-NZ"/>
              </w:rPr>
              <w:lastRenderedPageBreak/>
              <w:t>by resident and family/whānau for procedures such as influenza and Covid-19 vaccines. Discussions with all staff interviewed confirmed that they are familiar with the requirements to obtain informed consent for entering rooms and providing personal cares.</w:t>
            </w:r>
          </w:p>
          <w:p w14:paraId="020D2742" w14:textId="77777777" w:rsidR="00FC305A" w:rsidRPr="00BE00C7" w:rsidRDefault="00FC305A" w:rsidP="00BE00C7">
            <w:pPr>
              <w:pStyle w:val="OutcomeDescription"/>
              <w:spacing w:before="120" w:after="120"/>
              <w:rPr>
                <w:rFonts w:cs="Arial"/>
                <w:lang w:eastAsia="en-NZ"/>
              </w:rPr>
            </w:pPr>
          </w:p>
        </w:tc>
      </w:tr>
      <w:tr w:rsidR="00CA5000" w14:paraId="5C15F2FE" w14:textId="77777777">
        <w:tc>
          <w:tcPr>
            <w:tcW w:w="0" w:type="auto"/>
          </w:tcPr>
          <w:p w14:paraId="39F81581"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D5DB865"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F780649" w14:textId="77777777" w:rsidR="00FC305A" w:rsidRPr="00BE00C7" w:rsidRDefault="00FC305A" w:rsidP="00BE00C7">
            <w:pPr>
              <w:pStyle w:val="OutcomeDescription"/>
              <w:spacing w:before="120" w:after="120"/>
              <w:rPr>
                <w:rFonts w:cs="Arial"/>
                <w:lang w:eastAsia="en-NZ"/>
              </w:rPr>
            </w:pPr>
          </w:p>
        </w:tc>
        <w:tc>
          <w:tcPr>
            <w:tcW w:w="0" w:type="auto"/>
          </w:tcPr>
          <w:p w14:paraId="0A95E149"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32F05AED" w14:textId="77777777" w:rsidR="00FC305A" w:rsidRPr="00BE00C7" w:rsidRDefault="00FC305A" w:rsidP="00BE00C7">
            <w:pPr>
              <w:pStyle w:val="OutcomeDescription"/>
              <w:spacing w:before="120" w:after="120"/>
              <w:rPr>
                <w:rFonts w:cs="Arial"/>
                <w:lang w:eastAsia="en-NZ"/>
              </w:rPr>
            </w:pPr>
            <w:r w:rsidRPr="00BE00C7">
              <w:rPr>
                <w:rFonts w:cs="Arial"/>
                <w:lang w:eastAsia="en-NZ"/>
              </w:rPr>
              <w:t>The complaints management policy is implemented. The complaints procedure is provided to residents and family/whānau on entry to the service. The village manager maintains a record of all complaints, both verbal and written, by using a complaint register. This register is in hard copy and on the electronic resident management system. Documentation including follow-up letters and resolution demonstrates that complaints are being managed in accordance with the Code including communicating the outcome of any i</w:t>
            </w:r>
            <w:r w:rsidRPr="00BE00C7">
              <w:rPr>
                <w:rFonts w:cs="Arial"/>
                <w:lang w:eastAsia="en-NZ"/>
              </w:rPr>
              <w:t xml:space="preserve">nvestigation to the complainant. </w:t>
            </w:r>
          </w:p>
          <w:p w14:paraId="49DD12C9" w14:textId="77777777" w:rsidR="00FC305A" w:rsidRPr="00BE00C7" w:rsidRDefault="00FC305A" w:rsidP="00BE00C7">
            <w:pPr>
              <w:pStyle w:val="OutcomeDescription"/>
              <w:spacing w:before="120" w:after="120"/>
              <w:rPr>
                <w:rFonts w:cs="Arial"/>
                <w:lang w:eastAsia="en-NZ"/>
              </w:rPr>
            </w:pPr>
            <w:r w:rsidRPr="00BE00C7">
              <w:rPr>
                <w:rFonts w:cs="Arial"/>
                <w:lang w:eastAsia="en-NZ"/>
              </w:rPr>
              <w:t>The complaints logged were classified into themes with a risk severity rating in the complaint register. There have been two internal complaints made since the last audit. Documentation evidenced that complaints are acknowledged when received. Investigation is undertaken by the appropriate staff, either the village or clinical manager and corrective actions identified where needed are completed. The complainant is informed of the outcome of the investigation, and the outcome is resolved to the complainant’s</w:t>
            </w:r>
            <w:r w:rsidRPr="00BE00C7">
              <w:rPr>
                <w:rFonts w:cs="Arial"/>
                <w:lang w:eastAsia="en-NZ"/>
              </w:rPr>
              <w:t xml:space="preserve"> satisfaction. </w:t>
            </w:r>
          </w:p>
          <w:p w14:paraId="412676F2" w14:textId="77777777" w:rsidR="00FC305A" w:rsidRPr="00BE00C7" w:rsidRDefault="00FC305A" w:rsidP="00BE00C7">
            <w:pPr>
              <w:pStyle w:val="OutcomeDescription"/>
              <w:spacing w:before="120" w:after="120"/>
              <w:rPr>
                <w:rFonts w:cs="Arial"/>
                <w:lang w:eastAsia="en-NZ"/>
              </w:rPr>
            </w:pPr>
            <w:r w:rsidRPr="00BE00C7">
              <w:rPr>
                <w:rFonts w:cs="Arial"/>
                <w:lang w:eastAsia="en-NZ"/>
              </w:rPr>
              <w:t>One complaint made through the Health and Disability Commissioner (HDC) from 2021 has been closed. The Ministry of Health have requested follow up of a complaint (letter dated 17 October 2023) in relation to monitoring of care (3.2.4) and care plan evaluations (3.2.5). There were no issues identified in this audit in relation to the complaint. Māori cultural support is available for Māori as needed.</w:t>
            </w:r>
          </w:p>
          <w:p w14:paraId="7BADF827" w14:textId="77777777" w:rsidR="00FC305A" w:rsidRPr="00BE00C7" w:rsidRDefault="00FC305A" w:rsidP="00BE00C7">
            <w:pPr>
              <w:pStyle w:val="OutcomeDescription"/>
              <w:spacing w:before="120" w:after="120"/>
              <w:rPr>
                <w:rFonts w:cs="Arial"/>
                <w:lang w:eastAsia="en-NZ"/>
              </w:rPr>
            </w:pPr>
          </w:p>
        </w:tc>
      </w:tr>
      <w:tr w:rsidR="00CA5000" w14:paraId="21FACE07" w14:textId="77777777">
        <w:tc>
          <w:tcPr>
            <w:tcW w:w="0" w:type="auto"/>
          </w:tcPr>
          <w:p w14:paraId="5117D9CE"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Subsection 2.1: Governance</w:t>
            </w:r>
          </w:p>
          <w:p w14:paraId="1B0BA461"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8ADF056" w14:textId="77777777" w:rsidR="00FC305A" w:rsidRPr="00BE00C7" w:rsidRDefault="00FC305A" w:rsidP="00BE00C7">
            <w:pPr>
              <w:pStyle w:val="OutcomeDescription"/>
              <w:spacing w:before="120" w:after="120"/>
              <w:rPr>
                <w:rFonts w:cs="Arial"/>
                <w:lang w:eastAsia="en-NZ"/>
              </w:rPr>
            </w:pPr>
          </w:p>
        </w:tc>
        <w:tc>
          <w:tcPr>
            <w:tcW w:w="0" w:type="auto"/>
          </w:tcPr>
          <w:p w14:paraId="33E9D794"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2D00156B"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Arvida Bethlehem Views is owned and operated by the Arvida Group. The service provides rest home, hospital, and dementia care level for up to 88 residents in the care centre. One double room had single occupancy on the day of the audit. </w:t>
            </w:r>
          </w:p>
          <w:p w14:paraId="77427CBD"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At the time of the audit there were 86 residents in total. There are 68 dual purpose rest home and hospital beds and 20 dementia care beds. On the day of audit there were 37 rest home residents, 30 hospital residents and 19 dementia care residents. All residents were under the age-related residential care (ARRC) contract. </w:t>
            </w:r>
          </w:p>
          <w:p w14:paraId="4CB85AD1" w14:textId="77777777" w:rsidR="00FC305A" w:rsidRPr="00BE00C7" w:rsidRDefault="00FC305A" w:rsidP="00BE00C7">
            <w:pPr>
              <w:pStyle w:val="OutcomeDescription"/>
              <w:spacing w:before="120" w:after="120"/>
              <w:rPr>
                <w:rFonts w:cs="Arial"/>
                <w:lang w:eastAsia="en-NZ"/>
              </w:rPr>
            </w:pPr>
            <w:r w:rsidRPr="00BE00C7">
              <w:rPr>
                <w:rFonts w:cs="Arial"/>
                <w:lang w:eastAsia="en-NZ"/>
              </w:rPr>
              <w:t>Arvida Group has a well-established organisational structure. The provision of care and support services is under the remit of the ‘wellness and care’ team. This group provides support and leadership across all communities and is firmly engaged with the values and approach, with its emphasis on the ‘attitude of living well’ (moving, eating, thinking, engaging, and resting well). There is an overall business plan for each village which links to the Arvida vision, mission, values, and strategic direction. The</w:t>
            </w:r>
            <w:r w:rsidRPr="00BE00C7">
              <w:rPr>
                <w:rFonts w:cs="Arial"/>
                <w:lang w:eastAsia="en-NZ"/>
              </w:rPr>
              <w:t xml:space="preserve"> overall goal is to engage the resident as a partner in care, this puts the resident at the centre of care, directing care where they are able and being supported by and with family/whānau as much as practicable. This is reviewed each year and villages are encouraged to develop their own village specific goals in response to their village community voice. Each village manager is responsible to ensure the goals are achieved and records progress towards the achievement of these goals.</w:t>
            </w:r>
          </w:p>
          <w:p w14:paraId="5780DD04"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Arvida’s board of directors are experienced and provide strategic guidance and effective oversight of the executive team. The Arvida executive team oversees the implementation of the business strategy and the day-to-day management of the Arvida Group business. The Arvida Group comprises of ten experienced executives. A clinical governance structure in place. The clinical governance group reflects the Arvida values and approach, including the inclusion of a resident on the group. </w:t>
            </w:r>
          </w:p>
          <w:p w14:paraId="05ABBB2C"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The board receives progress updates on various topics, including benchmarking, escalated complaints, human resource matters and occupancy. The Māori and clinical governance group guide vision, practice and development to reduce barriers, recognise inequity and improve the outcomes for Māori. The village manager oversees the implementation of the quality plan. The clinical managers provide regular reporting to the village manager, which includes infection control, analysis of adverse events and summaries of </w:t>
            </w:r>
            <w:r w:rsidRPr="00BE00C7">
              <w:rPr>
                <w:rFonts w:cs="Arial"/>
                <w:lang w:eastAsia="en-NZ"/>
              </w:rPr>
              <w:lastRenderedPageBreak/>
              <w:t>clinical risk. Measures are then reviewed and adapted until a positive outcome, or the goal is achieved.</w:t>
            </w:r>
          </w:p>
          <w:p w14:paraId="28383CDC"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The village manager (non-clinical) has been in the role at Arvida Bethlehem Views since October 2022 and has management experience in the aged care industry for over 10 years. The village manager is supported by an experienced clinical manager that has been in the role for many years. The clinical manager is supported by two clinical coordinators (one for rest home/hospital and one for dementia care unit). The management team are supported by the Arvida head of clinical quality, head of clinical governance </w:t>
            </w:r>
            <w:r w:rsidRPr="00BE00C7">
              <w:rPr>
                <w:rFonts w:cs="Arial"/>
                <w:lang w:eastAsia="en-NZ"/>
              </w:rPr>
              <w:t xml:space="preserve">and head of wellness and compliance. </w:t>
            </w:r>
          </w:p>
          <w:p w14:paraId="10838E67" w14:textId="77777777" w:rsidR="00FC305A" w:rsidRPr="00BE00C7" w:rsidRDefault="00FC305A" w:rsidP="00BE00C7">
            <w:pPr>
              <w:pStyle w:val="OutcomeDescription"/>
              <w:spacing w:before="120" w:after="120"/>
              <w:rPr>
                <w:rFonts w:cs="Arial"/>
                <w:lang w:eastAsia="en-NZ"/>
              </w:rPr>
            </w:pPr>
          </w:p>
        </w:tc>
      </w:tr>
      <w:tr w:rsidR="00CA5000" w14:paraId="722E4EEA" w14:textId="77777777">
        <w:tc>
          <w:tcPr>
            <w:tcW w:w="0" w:type="auto"/>
          </w:tcPr>
          <w:p w14:paraId="2DBE9665"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39C6ED8"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3551941" w14:textId="77777777" w:rsidR="00FC305A" w:rsidRPr="00BE00C7" w:rsidRDefault="00FC305A" w:rsidP="00BE00C7">
            <w:pPr>
              <w:pStyle w:val="OutcomeDescription"/>
              <w:spacing w:before="120" w:after="120"/>
              <w:rPr>
                <w:rFonts w:cs="Arial"/>
                <w:lang w:eastAsia="en-NZ"/>
              </w:rPr>
            </w:pPr>
          </w:p>
        </w:tc>
        <w:tc>
          <w:tcPr>
            <w:tcW w:w="0" w:type="auto"/>
          </w:tcPr>
          <w:p w14:paraId="12B6A2B7"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038D00A1"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Arvida Bethlehem Views is implementing a quality and risk management programme. The quality and risk management systems include performance monitoring through internal audits and through the collection of clinical indicator data. Monthly quality improvement/management and health and safety meetings, bimonthly clinical and staff meetings provide an avenue for discussions in relation to (but not limited to): quality data; health and safety; infection control/pandemic strategies; complaints received; cultural </w:t>
            </w:r>
            <w:r w:rsidRPr="00BE00C7">
              <w:rPr>
                <w:rFonts w:cs="Arial"/>
                <w:lang w:eastAsia="en-NZ"/>
              </w:rPr>
              <w:t>compliance; staffing; and education. Internal audits, meetings, and collation of data are documented as taking place, with corrective actions documented where indicated to address service improvements, with evidence of progress and sign off when achieved. Quality data and trends in data are posted on a quality noticeboard. Corrective actions are discussed at quality meetings to ensure any outstanding matters are addressed with sign-off when completed. Quality improvements are documented, monitored, and repo</w:t>
            </w:r>
            <w:r w:rsidRPr="00BE00C7">
              <w:rPr>
                <w:rFonts w:cs="Arial"/>
                <w:lang w:eastAsia="en-NZ"/>
              </w:rPr>
              <w:t>rted on.</w:t>
            </w:r>
          </w:p>
          <w:p w14:paraId="535DD22A"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The satisfaction survey for March/April 2025 is in the process of being collated. The 2024 survey shows overall residents and families/whānau are ‘very satisfied’ or ‘quite satisfied’ with the services, care, accommodation, cleaning, laundry and meals and felt their needs are met. Following the 2024 survey an action plan was implemented and completed to address areas identified for improvement. </w:t>
            </w:r>
          </w:p>
          <w:p w14:paraId="51547F81"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The Arvida health and safety programme is Accident Compensation Corporation (ACC) accredited through Wellness NZ. All staff are made aware of how to report an accident/incident as part of their induction online learning modules. There is a dedicated health and safety electronic system, and all staff </w:t>
            </w:r>
            <w:r w:rsidRPr="00BE00C7">
              <w:rPr>
                <w:rFonts w:cs="Arial"/>
                <w:lang w:eastAsia="en-NZ"/>
              </w:rPr>
              <w:lastRenderedPageBreak/>
              <w:t>are provided with a login into the electronic system during their orientation. The village manager attends the monthly health and safety national group meeting and feeds back data, trends and learning to the other health and safety representatives. The health and safety committee is representative of all departments in the facility. Hazard identification forms and an up-to-date hazard register were sighted. Staff and external contractors are orientated to the health and safety programme. Health and safety i</w:t>
            </w:r>
            <w:r w:rsidRPr="00BE00C7">
              <w:rPr>
                <w:rFonts w:cs="Arial"/>
                <w:lang w:eastAsia="en-NZ"/>
              </w:rPr>
              <w:t>s discussed in quality and staff meetings. Electronic reports are completed for each incident/accident, with immediate action noted and any follow-up actions required, evidenced in sixteen electronic accident/incident forms reviewed. Incident and accident data is collated monthly and analysed using the electronic resident management system and performance dashboard.</w:t>
            </w:r>
          </w:p>
          <w:p w14:paraId="31AC676F"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Discussions with the village manager and clinical manager evidenced awareness of their requirement to notify relevant authorities in relation to essential notifications. There have been 22 Section 31 notifications completed to HealthCERT since the last audit. No events have been required to be sent to the Health Quality and Safety Commission. </w:t>
            </w:r>
          </w:p>
          <w:p w14:paraId="3E08D28F" w14:textId="77777777" w:rsidR="00FC305A" w:rsidRPr="00BE00C7" w:rsidRDefault="00FC305A" w:rsidP="00BE00C7">
            <w:pPr>
              <w:pStyle w:val="OutcomeDescription"/>
              <w:spacing w:before="120" w:after="120"/>
              <w:rPr>
                <w:rFonts w:cs="Arial"/>
                <w:lang w:eastAsia="en-NZ"/>
              </w:rPr>
            </w:pPr>
            <w:r w:rsidRPr="00BE00C7">
              <w:rPr>
                <w:rFonts w:cs="Arial"/>
                <w:lang w:eastAsia="en-NZ"/>
              </w:rPr>
              <w:t>There have been two outbreaks since the previous audit which were reported to Public Health authorities.</w:t>
            </w:r>
          </w:p>
          <w:p w14:paraId="73828B7E" w14:textId="77777777" w:rsidR="00FC305A" w:rsidRPr="00BE00C7" w:rsidRDefault="00FC305A" w:rsidP="00BE00C7">
            <w:pPr>
              <w:pStyle w:val="OutcomeDescription"/>
              <w:spacing w:before="120" w:after="120"/>
              <w:rPr>
                <w:rFonts w:cs="Arial"/>
                <w:lang w:eastAsia="en-NZ"/>
              </w:rPr>
            </w:pPr>
          </w:p>
        </w:tc>
      </w:tr>
      <w:tr w:rsidR="00CA5000" w14:paraId="45F3C091" w14:textId="77777777">
        <w:tc>
          <w:tcPr>
            <w:tcW w:w="0" w:type="auto"/>
          </w:tcPr>
          <w:p w14:paraId="759667CE"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6195355"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49EA358" w14:textId="77777777" w:rsidR="00FC305A" w:rsidRPr="00BE00C7" w:rsidRDefault="00FC305A" w:rsidP="00BE00C7">
            <w:pPr>
              <w:pStyle w:val="OutcomeDescription"/>
              <w:spacing w:before="120" w:after="120"/>
              <w:rPr>
                <w:rFonts w:cs="Arial"/>
                <w:lang w:eastAsia="en-NZ"/>
              </w:rPr>
            </w:pPr>
          </w:p>
        </w:tc>
        <w:tc>
          <w:tcPr>
            <w:tcW w:w="0" w:type="auto"/>
          </w:tcPr>
          <w:p w14:paraId="44ED3B0A"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5BFEC0D4"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Arvida Bethlehem Views has a weekly roster in place which provides sufficient staffing cover for the provision of care and service to residents. The service has a total of 120 staff in various roles. Staffing rosters were sighted and there is staff on duty to meet the resident needs. The clinical manager and the two clinical coordinators work 40 hours per week and are available on call after hours for any operational and clinical concerns, respectively. There is at least one registered nurse on duty at all </w:t>
            </w:r>
            <w:r w:rsidRPr="00BE00C7">
              <w:rPr>
                <w:rFonts w:cs="Arial"/>
                <w:lang w:eastAsia="en-NZ"/>
              </w:rPr>
              <w:t xml:space="preserve">times. The registered nurse on each shift is aware that extra staff can be called on for increased resident requirements. There are designated activities, food services, cleaning, and laundry staff seven days a week. Interviews with staff and residents confirmed there are sufficient staff to meet the needs of residents. The wellness partners (caregivers) interviewed stated that they have sufficient staffing levels. The clinical manager interviewed stated the number of wellness partners will accommodate any </w:t>
            </w:r>
            <w:r w:rsidRPr="00BE00C7">
              <w:rPr>
                <w:rFonts w:cs="Arial"/>
                <w:lang w:eastAsia="en-NZ"/>
              </w:rPr>
              <w:t>immediate new admissions. All senior wellness partners are medication competent.</w:t>
            </w:r>
          </w:p>
          <w:p w14:paraId="573868D2"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 xml:space="preserve">There is an annual education and training schedule that was completed in 2024 and being implemented for 2025. The education and training schedule lists compulsory training, which includes cultural safe support practices in New Zealand awareness training. Cultural awareness training is part of orientation and provided annually to all staff. External training opportunities for care staff include training through Health New Zealand and Hospice. </w:t>
            </w:r>
          </w:p>
          <w:p w14:paraId="2A1A1808" w14:textId="77777777" w:rsidR="00FC305A" w:rsidRPr="00BE00C7" w:rsidRDefault="00FC305A" w:rsidP="00BE00C7">
            <w:pPr>
              <w:pStyle w:val="OutcomeDescription"/>
              <w:spacing w:before="120" w:after="120"/>
              <w:rPr>
                <w:rFonts w:cs="Arial"/>
                <w:lang w:eastAsia="en-NZ"/>
              </w:rPr>
            </w:pPr>
            <w:r w:rsidRPr="00BE00C7">
              <w:rPr>
                <w:rFonts w:cs="Arial"/>
                <w:lang w:eastAsia="en-NZ"/>
              </w:rPr>
              <w:t>Arvida Bethlehem Views supports all employees to transition through the New Zealand Qualification Authority (NZQA) Careerforce Certificate for Health and Wellbeing. There are 70 wellness partners employed 14 staff of whom are employed in the dementia unit. All have completed the required standards. All staff are required to complete competency assessments as part of their orientation. Wellness partners are required to complete annual competencies for restraint, moving and handling, personal protective equip</w:t>
            </w:r>
            <w:r w:rsidRPr="00BE00C7">
              <w:rPr>
                <w:rFonts w:cs="Arial"/>
                <w:lang w:eastAsia="en-NZ"/>
              </w:rPr>
              <w:t xml:space="preserve">ment (PPE), medication, handwashing, insulin administration and cultural competencies. </w:t>
            </w:r>
          </w:p>
          <w:p w14:paraId="4618B948" w14:textId="77777777" w:rsidR="00FC305A" w:rsidRPr="00BE00C7" w:rsidRDefault="00FC305A" w:rsidP="00BE00C7">
            <w:pPr>
              <w:pStyle w:val="OutcomeDescription"/>
              <w:spacing w:before="120" w:after="120"/>
              <w:rPr>
                <w:rFonts w:cs="Arial"/>
                <w:lang w:eastAsia="en-NZ"/>
              </w:rPr>
            </w:pPr>
            <w:r w:rsidRPr="00BE00C7">
              <w:rPr>
                <w:rFonts w:cs="Arial"/>
                <w:lang w:eastAsia="en-NZ"/>
              </w:rPr>
              <w:t>Registered nurses and enrolled nurse complete competencies including restraint, and medication competency (including controlled drug management, insulin administration and syringe driver training). Additional registered nurse specific competencies include interRAI assessment competency. A record of completion is maintained on an electronic register. Ten registered nurses are interRAI trained. All registered nurses are encouraged to attend in-service training and have completed training around infection cont</w:t>
            </w:r>
            <w:r w:rsidRPr="00BE00C7">
              <w:rPr>
                <w:rFonts w:cs="Arial"/>
                <w:lang w:eastAsia="en-NZ"/>
              </w:rPr>
              <w:t xml:space="preserve">rol, including Covid-19 preparedness, effective communication in the care setting, management of diabetes, dementia and delirium. </w:t>
            </w:r>
          </w:p>
          <w:p w14:paraId="3D88D8D9" w14:textId="77777777" w:rsidR="00FC305A" w:rsidRPr="00BE00C7" w:rsidRDefault="00FC305A" w:rsidP="00BE00C7">
            <w:pPr>
              <w:pStyle w:val="OutcomeDescription"/>
              <w:spacing w:before="120" w:after="120"/>
              <w:rPr>
                <w:rFonts w:cs="Arial"/>
                <w:lang w:eastAsia="en-NZ"/>
              </w:rPr>
            </w:pPr>
          </w:p>
        </w:tc>
      </w:tr>
      <w:tr w:rsidR="00CA5000" w14:paraId="7A8B8220" w14:textId="77777777">
        <w:tc>
          <w:tcPr>
            <w:tcW w:w="0" w:type="auto"/>
          </w:tcPr>
          <w:p w14:paraId="332F5C4F"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AF5102D"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t>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safe, respectful, quality care and </w:t>
            </w:r>
            <w:r w:rsidRPr="00BE00C7">
              <w:rPr>
                <w:rFonts w:cs="Arial"/>
                <w:lang w:eastAsia="en-NZ"/>
              </w:rPr>
              <w:lastRenderedPageBreak/>
              <w:t>services.</w:t>
            </w:r>
          </w:p>
          <w:p w14:paraId="667A6124" w14:textId="77777777" w:rsidR="00FC305A" w:rsidRPr="00BE00C7" w:rsidRDefault="00FC305A" w:rsidP="00BE00C7">
            <w:pPr>
              <w:pStyle w:val="OutcomeDescription"/>
              <w:spacing w:before="120" w:after="120"/>
              <w:rPr>
                <w:rFonts w:cs="Arial"/>
                <w:lang w:eastAsia="en-NZ"/>
              </w:rPr>
            </w:pPr>
          </w:p>
        </w:tc>
        <w:tc>
          <w:tcPr>
            <w:tcW w:w="0" w:type="auto"/>
          </w:tcPr>
          <w:p w14:paraId="7FED9743"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D0E8D6"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All staff that have been employed for more than 12 months have an annual appraisal completed and a three-month appraisal and development meeting occur three months after commencement of employment. </w:t>
            </w:r>
          </w:p>
          <w:p w14:paraId="6181518D" w14:textId="77777777" w:rsidR="00FC305A" w:rsidRPr="00BE00C7" w:rsidRDefault="00FC305A"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A comprehensive induction is provided, which includes a training in the ‘attitude of living well’ (which focuses on resident led care). A health and safety/ training coordinator assists with the implementation of the orientation and assists staff when first starting. There are competent trainers to ensure manual handling and transf</w:t>
            </w:r>
            <w:r w:rsidRPr="00BE00C7">
              <w:rPr>
                <w:rFonts w:cs="Arial"/>
                <w:lang w:eastAsia="en-NZ"/>
              </w:rPr>
              <w:t xml:space="preserve">er competencies are completed. </w:t>
            </w:r>
            <w:r w:rsidRPr="00BE00C7">
              <w:rPr>
                <w:rFonts w:cs="Arial"/>
                <w:lang w:eastAsia="en-NZ"/>
              </w:rPr>
              <w:lastRenderedPageBreak/>
              <w:t>Competencies are completed at orientation. The service demonstrates that the orientation programme supports registered nurses and wellness partners to provide a culturally safe environment for Māori.</w:t>
            </w:r>
          </w:p>
          <w:p w14:paraId="39227912" w14:textId="77777777" w:rsidR="00FC305A" w:rsidRPr="00BE00C7" w:rsidRDefault="00FC305A" w:rsidP="00BE00C7">
            <w:pPr>
              <w:pStyle w:val="OutcomeDescription"/>
              <w:spacing w:before="120" w:after="120"/>
              <w:rPr>
                <w:rFonts w:cs="Arial"/>
                <w:lang w:eastAsia="en-NZ"/>
              </w:rPr>
            </w:pPr>
          </w:p>
        </w:tc>
      </w:tr>
      <w:tr w:rsidR="00CA5000" w14:paraId="6AAF7801" w14:textId="77777777">
        <w:tc>
          <w:tcPr>
            <w:tcW w:w="0" w:type="auto"/>
          </w:tcPr>
          <w:p w14:paraId="550BF69E"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700E1F1"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7E8AC87" w14:textId="77777777" w:rsidR="00FC305A" w:rsidRPr="00BE00C7" w:rsidRDefault="00FC305A" w:rsidP="00BE00C7">
            <w:pPr>
              <w:pStyle w:val="OutcomeDescription"/>
              <w:spacing w:before="120" w:after="120"/>
              <w:rPr>
                <w:rFonts w:cs="Arial"/>
                <w:lang w:eastAsia="en-NZ"/>
              </w:rPr>
            </w:pPr>
          </w:p>
        </w:tc>
        <w:tc>
          <w:tcPr>
            <w:tcW w:w="0" w:type="auto"/>
          </w:tcPr>
          <w:p w14:paraId="042F5F95"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287294DF" w14:textId="77777777" w:rsidR="00FC305A" w:rsidRPr="00BE00C7" w:rsidRDefault="00FC305A" w:rsidP="00BE00C7">
            <w:pPr>
              <w:pStyle w:val="OutcomeDescription"/>
              <w:spacing w:before="120" w:after="120"/>
              <w:rPr>
                <w:rFonts w:cs="Arial"/>
                <w:lang w:eastAsia="en-NZ"/>
              </w:rPr>
            </w:pPr>
            <w:r w:rsidRPr="00BE00C7">
              <w:rPr>
                <w:rFonts w:cs="Arial"/>
                <w:lang w:eastAsia="en-NZ"/>
              </w:rPr>
              <w:t>Six resident files were reviewed including two rest home residents, two dementia level residents and two hospital level residents. Registered nurses are responsible for assessing residents on admission and on an ongoing basis. All resident files reviewed have evidence of resident and family/whānau involvement in the assessment and care planning process. Residents interviewed confirmed they are involved in decision making and they have choices about their care. Assessments, interim care plans, interRAI asses</w:t>
            </w:r>
            <w:r w:rsidRPr="00BE00C7">
              <w:rPr>
                <w:rFonts w:cs="Arial"/>
                <w:lang w:eastAsia="en-NZ"/>
              </w:rPr>
              <w:t xml:space="preserve">sments and long-term care plans are developed within the timeframes required by the aged related residential care contact. During the first two weeks following admission, staff complete monitoring forms for food and fluid intake, continence, sleep, hygiene, and behaviour to help inform the development of the long-term care plan. </w:t>
            </w:r>
          </w:p>
          <w:p w14:paraId="4EC5FC43"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Medical assessments are completed by the contracted general practitioner (GP), or nurse practitioner (NP) within the required timeframes. Residents then have a three-monthly review by the GP or NP as a routine, or if their needs change, they are seen when needed. The general practice provides seven day per week on call services. The general practitioner, and nurse practitioner were unavailable for interview at the time of audit. A physiotherapist is contracted for six hours per week and extra if needed and </w:t>
            </w:r>
            <w:r w:rsidRPr="00BE00C7">
              <w:rPr>
                <w:rFonts w:cs="Arial"/>
                <w:lang w:eastAsia="en-NZ"/>
              </w:rPr>
              <w:t>completes mobility assessments and makes recommendations for the mobility/transfer section of the care plan and exercises to improve strength and balance. Residents have access to a visiting podiatrist six-weekly and a dental hygienist six-monthly. Dietitian input is sought where required. Allied health practitioner and medical assessments and interventions are documented and integrated into care plans.</w:t>
            </w:r>
          </w:p>
          <w:p w14:paraId="1C6B7A99" w14:textId="77777777" w:rsidR="00FC305A" w:rsidRPr="00BE00C7" w:rsidRDefault="00FC305A"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assessment and other validated tools. Where the interRAI assessment shows a trigger for a specific need, this is included in care plans. Care plans are individualised, comprehensive and holistic. Care plans for residents in the dementia unit include triggers for behaviour, strategies for management and information from the family/whānau on what strategies have been successful in the past. The care plan</w:t>
            </w:r>
            <w:r w:rsidRPr="00BE00C7">
              <w:rPr>
                <w:rFonts w:cs="Arial"/>
                <w:lang w:eastAsia="en-NZ"/>
              </w:rPr>
              <w:t xml:space="preserve">s also include activities over the 24-hour period. The partial attainment identified at the </w:t>
            </w:r>
            <w:r w:rsidRPr="00BE00C7">
              <w:rPr>
                <w:rFonts w:cs="Arial"/>
                <w:lang w:eastAsia="en-NZ"/>
              </w:rPr>
              <w:lastRenderedPageBreak/>
              <w:t>previous audit (3.2.3) has been satisfied.</w:t>
            </w:r>
          </w:p>
          <w:p w14:paraId="624AF468"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Registered nurses and wellness partners described how they involve residents and families/whānau in implementing care plans. Residents and family/whānau interviewed confirmed they feel staff involve them and communicate well with them and in a timely manner. They stated staff are respectful and kind and answer call bells promptly. </w:t>
            </w:r>
          </w:p>
          <w:p w14:paraId="708F15CA" w14:textId="77777777" w:rsidR="00FC305A" w:rsidRPr="00BE00C7" w:rsidRDefault="00FC305A" w:rsidP="00BE00C7">
            <w:pPr>
              <w:pStyle w:val="OutcomeDescription"/>
              <w:spacing w:before="120" w:after="120"/>
              <w:rPr>
                <w:rFonts w:cs="Arial"/>
                <w:lang w:eastAsia="en-NZ"/>
              </w:rPr>
            </w:pPr>
            <w:r w:rsidRPr="00BE00C7">
              <w:rPr>
                <w:rFonts w:cs="Arial"/>
                <w:lang w:eastAsia="en-NZ"/>
              </w:rPr>
              <w:t>Wellness partners interviewed could describe a verbal handover at the beginning of each duty that maintains a continuity of service delivery; this was observed during the audit. Progress notes and monitoring charts for personal cares document care provided according to the care plan each shift. Registered nurses document at least daily for hospital level and at least weekly and as necessary for rest home and dementia level residents. Wellness partners document the cares provided each shift. There is regular</w:t>
            </w:r>
            <w:r w:rsidRPr="00BE00C7">
              <w:rPr>
                <w:rFonts w:cs="Arial"/>
                <w:lang w:eastAsia="en-NZ"/>
              </w:rPr>
              <w:t xml:space="preserve"> documented input from the general practitioner and allied health professionals. There was evidence the registered nurse has added to the progress notes when there was an incident or changes in health status or to complete regular registered nurse reviews of the care provided. Short-term care plans are developed within the long-term care plan for acute issues such as wounds or infections. These are resolved when the acute issue resolved or added to the long-term interventions. </w:t>
            </w:r>
          </w:p>
          <w:p w14:paraId="3C43E8AF"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Families and whānau are invited to either attend care plan reviews or to email any suggestions if they are unable to attend. Care plan reviews include a review of the residents’ goals and aspirations and if the supports given are helping to achieve these. </w:t>
            </w:r>
          </w:p>
          <w:p w14:paraId="1442569F" w14:textId="77777777" w:rsidR="00FC305A" w:rsidRPr="00BE00C7" w:rsidRDefault="00FC305A" w:rsidP="00BE00C7">
            <w:pPr>
              <w:pStyle w:val="OutcomeDescription"/>
              <w:spacing w:before="120" w:after="120"/>
              <w:rPr>
                <w:rFonts w:cs="Arial"/>
                <w:lang w:eastAsia="en-NZ"/>
              </w:rPr>
            </w:pPr>
            <w:r w:rsidRPr="00BE00C7">
              <w:rPr>
                <w:rFonts w:cs="Arial"/>
                <w:lang w:eastAsia="en-NZ"/>
              </w:rPr>
              <w:t>The registered nurse monitors residents’ weight and vital signs according to their needs which is monthly as a routine but more frequent when indicated. Neurological observations are completed at recommended intervals for residents with unwitnessed falls or falls where the head is hit. Monitoring charts are completed according to identified needs and include (but are not limited to) bowels, food and fluids, behaviour, blood glucose levels, positioning, personal cares and falls risk. At the time of the audit</w:t>
            </w:r>
            <w:r w:rsidRPr="00BE00C7">
              <w:rPr>
                <w:rFonts w:cs="Arial"/>
                <w:lang w:eastAsia="en-NZ"/>
              </w:rPr>
              <w:t xml:space="preserve"> there was a total of 16 wounds including one stage two pressure injury. There is evidence of communication and collaboration with the wound nurse specialist. Assessments and wound management plans including wound measurements and photographs were </w:t>
            </w:r>
            <w:r w:rsidRPr="00BE00C7">
              <w:rPr>
                <w:rFonts w:cs="Arial"/>
                <w:lang w:eastAsia="en-NZ"/>
              </w:rPr>
              <w:lastRenderedPageBreak/>
              <w:t>reviewed. An electronic wound register has been fully maintained. Wound assessment, wound management, evaluation forms and wound monitoring occurred as planned in the sample of wounds reviewed. Wellness partners and registered nurses interviewed stated there are a</w:t>
            </w:r>
            <w:r w:rsidRPr="00BE00C7">
              <w:rPr>
                <w:rFonts w:cs="Arial"/>
                <w:lang w:eastAsia="en-NZ"/>
              </w:rPr>
              <w:t>dequate clinical supplies and equipment provided, including continence, wound care supplies and pressure injury prevention resources. There is access to a continence specialist as required.</w:t>
            </w:r>
          </w:p>
          <w:p w14:paraId="124E8E22" w14:textId="77777777" w:rsidR="00FC305A" w:rsidRPr="00BE00C7" w:rsidRDefault="00FC305A" w:rsidP="00FC305A">
            <w:pPr>
              <w:pStyle w:val="OutcomeDescription"/>
              <w:spacing w:before="120" w:after="120"/>
              <w:rPr>
                <w:rFonts w:cs="Arial"/>
                <w:lang w:eastAsia="en-NZ"/>
              </w:rPr>
            </w:pPr>
          </w:p>
        </w:tc>
      </w:tr>
      <w:tr w:rsidR="00CA5000" w14:paraId="1E3B8F8D" w14:textId="77777777">
        <w:tc>
          <w:tcPr>
            <w:tcW w:w="0" w:type="auto"/>
          </w:tcPr>
          <w:p w14:paraId="689BAD68"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Subsection 3.4: My medication</w:t>
            </w:r>
          </w:p>
          <w:p w14:paraId="37584FF7"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appropriate medication and blood </w:t>
            </w:r>
            <w:r w:rsidRPr="00BE00C7">
              <w:rPr>
                <w:rFonts w:cs="Arial"/>
                <w:lang w:eastAsia="en-NZ"/>
              </w:rPr>
              <w:t>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20080C2" w14:textId="77777777" w:rsidR="00FC305A" w:rsidRPr="00BE00C7" w:rsidRDefault="00FC305A" w:rsidP="00BE00C7">
            <w:pPr>
              <w:pStyle w:val="OutcomeDescription"/>
              <w:spacing w:before="120" w:after="120"/>
              <w:rPr>
                <w:rFonts w:cs="Arial"/>
                <w:lang w:eastAsia="en-NZ"/>
              </w:rPr>
            </w:pPr>
          </w:p>
        </w:tc>
        <w:tc>
          <w:tcPr>
            <w:tcW w:w="0" w:type="auto"/>
          </w:tcPr>
          <w:p w14:paraId="78587DFF"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75E69293" w14:textId="77777777" w:rsidR="00FC305A" w:rsidRPr="00BE00C7" w:rsidRDefault="00FC305A"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Medication rounds were observed in the hospital, rest home and dementia unit and seen to be safe. Medications are administered by registered nurses, enrolled nurse, and wellness partners. All staff administering medications are required to pass an annual competency test and have ongoing training in medicine management.</w:t>
            </w:r>
          </w:p>
          <w:p w14:paraId="299203D2" w14:textId="77777777" w:rsidR="00FC305A" w:rsidRPr="00BE00C7" w:rsidRDefault="00FC305A" w:rsidP="00BE00C7">
            <w:pPr>
              <w:pStyle w:val="OutcomeDescription"/>
              <w:spacing w:before="120" w:after="120"/>
              <w:rPr>
                <w:rFonts w:cs="Arial"/>
                <w:lang w:eastAsia="en-NZ"/>
              </w:rPr>
            </w:pPr>
            <w:r w:rsidRPr="00BE00C7">
              <w:rPr>
                <w:rFonts w:cs="Arial"/>
                <w:lang w:eastAsia="en-NZ"/>
              </w:rPr>
              <w:t>Medications are supplied by a local pharmacy in robotic packs. Staff could describe their responsibilities for receiving medications from the pharmacy including checking against prescriptions. Expired and unused medications are returned to the pharmacy. Medicines were seen to be stored securely in the medication rooms. Medication trolleys were locked when not in use. The registered nurses complete expiry date checks of stored medications. The medication refrigerators and medication room temperatures are mon</w:t>
            </w:r>
            <w:r w:rsidRPr="00BE00C7">
              <w:rPr>
                <w:rFonts w:cs="Arial"/>
                <w:lang w:eastAsia="en-NZ"/>
              </w:rPr>
              <w:t xml:space="preserve">itored daily and are within an acceptable range. The partial attainment identified at the previous audit (3.4.1) has been satisfied. Liquid medications and eye drops are labelled with the date of opening. </w:t>
            </w:r>
          </w:p>
          <w:p w14:paraId="61A950D9" w14:textId="77777777" w:rsidR="00FC305A" w:rsidRPr="00BE00C7" w:rsidRDefault="00FC305A" w:rsidP="00BE00C7">
            <w:pPr>
              <w:pStyle w:val="OutcomeDescription"/>
              <w:spacing w:before="120" w:after="120"/>
              <w:rPr>
                <w:rFonts w:cs="Arial"/>
                <w:lang w:eastAsia="en-NZ"/>
              </w:rPr>
            </w:pPr>
            <w:r w:rsidRPr="00BE00C7">
              <w:rPr>
                <w:rFonts w:cs="Arial"/>
                <w:lang w:eastAsia="en-NZ"/>
              </w:rPr>
              <w:t>Twelve medication charts were reviewed. These meet prescribing requirements and are reviewed at least three-monthly by the GP or NP. Any changes to medications are discussed with residents and family/whānau. All medication charts had photographic identification. Allergies and adverse reactions are clearly recorded. Specific instructions for individual residents are included in the prescription. Pro re nata medications have the indications documented in the prescription and the effectiveness is documented in</w:t>
            </w:r>
            <w:r w:rsidRPr="00BE00C7">
              <w:rPr>
                <w:rFonts w:cs="Arial"/>
                <w:lang w:eastAsia="en-NZ"/>
              </w:rPr>
              <w:t xml:space="preserve"> the electronic medication system.</w:t>
            </w:r>
          </w:p>
          <w:p w14:paraId="378F9290"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There are no standing orders used, and no vaccines are stored on site. Three residents self-administer their medications, and a process of assessment, </w:t>
            </w:r>
            <w:r w:rsidRPr="00BE00C7">
              <w:rPr>
                <w:rFonts w:cs="Arial"/>
                <w:lang w:eastAsia="en-NZ"/>
              </w:rPr>
              <w:lastRenderedPageBreak/>
              <w:t>review, and safe storage was in evidence.</w:t>
            </w:r>
          </w:p>
          <w:p w14:paraId="19F67036" w14:textId="77777777" w:rsidR="00FC305A" w:rsidRPr="00BE00C7" w:rsidRDefault="00FC305A" w:rsidP="00BE00C7">
            <w:pPr>
              <w:pStyle w:val="OutcomeDescription"/>
              <w:spacing w:before="120" w:after="120"/>
              <w:rPr>
                <w:rFonts w:cs="Arial"/>
                <w:lang w:eastAsia="en-NZ"/>
              </w:rPr>
            </w:pPr>
          </w:p>
        </w:tc>
      </w:tr>
      <w:tr w:rsidR="00CA5000" w14:paraId="095678C7" w14:textId="77777777">
        <w:tc>
          <w:tcPr>
            <w:tcW w:w="0" w:type="auto"/>
          </w:tcPr>
          <w:p w14:paraId="6DFED615"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467D6DE"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EAAEA92" w14:textId="77777777" w:rsidR="00FC305A" w:rsidRPr="00BE00C7" w:rsidRDefault="00FC305A" w:rsidP="00BE00C7">
            <w:pPr>
              <w:pStyle w:val="OutcomeDescription"/>
              <w:spacing w:before="120" w:after="120"/>
              <w:rPr>
                <w:rFonts w:cs="Arial"/>
                <w:lang w:eastAsia="en-NZ"/>
              </w:rPr>
            </w:pPr>
          </w:p>
        </w:tc>
        <w:tc>
          <w:tcPr>
            <w:tcW w:w="0" w:type="auto"/>
          </w:tcPr>
          <w:p w14:paraId="7DF5E0C4"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5CBCB79D" w14:textId="77777777" w:rsidR="00FC305A" w:rsidRPr="00BE00C7" w:rsidRDefault="00FC305A" w:rsidP="00BE00C7">
            <w:pPr>
              <w:pStyle w:val="OutcomeDescription"/>
              <w:spacing w:before="120" w:after="120"/>
              <w:rPr>
                <w:rFonts w:cs="Arial"/>
                <w:lang w:eastAsia="en-NZ"/>
              </w:rPr>
            </w:pPr>
            <w:r w:rsidRPr="00BE00C7">
              <w:rPr>
                <w:rFonts w:cs="Arial"/>
                <w:lang w:eastAsia="en-NZ"/>
              </w:rPr>
              <w:t>All meals and baking are prepared and cooked onsite. All have completed food safety training. There is a four-week summer and winter menu which caters for food preferences, dislikes, intolerances, allergies and required food texture is identified. For main meals there are two options and alternatives are prepared if neither suit individuals. Cultural preferences and celebrations are catered for. Residents interviewed confirmed they are happy with the meals provided and can give feedback at any time. They st</w:t>
            </w:r>
            <w:r w:rsidRPr="00BE00C7">
              <w:rPr>
                <w:rFonts w:cs="Arial"/>
                <w:lang w:eastAsia="en-NZ"/>
              </w:rPr>
              <w:t>ated if they do not like what is provided an alternative is offered. There is a current food control plan.</w:t>
            </w:r>
          </w:p>
          <w:p w14:paraId="4EDCD7FA" w14:textId="77777777" w:rsidR="00FC305A" w:rsidRPr="00BE00C7" w:rsidRDefault="00FC305A" w:rsidP="00BE00C7">
            <w:pPr>
              <w:pStyle w:val="OutcomeDescription"/>
              <w:spacing w:before="120" w:after="120"/>
              <w:rPr>
                <w:rFonts w:cs="Arial"/>
                <w:lang w:eastAsia="en-NZ"/>
              </w:rPr>
            </w:pPr>
          </w:p>
        </w:tc>
      </w:tr>
      <w:tr w:rsidR="00CA5000" w14:paraId="700A18E7" w14:textId="77777777">
        <w:tc>
          <w:tcPr>
            <w:tcW w:w="0" w:type="auto"/>
          </w:tcPr>
          <w:p w14:paraId="55640D6F"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A643C6E"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26F3162" w14:textId="77777777" w:rsidR="00FC305A" w:rsidRPr="00BE00C7" w:rsidRDefault="00FC305A" w:rsidP="00BE00C7">
            <w:pPr>
              <w:pStyle w:val="OutcomeDescription"/>
              <w:spacing w:before="120" w:after="120"/>
              <w:rPr>
                <w:rFonts w:cs="Arial"/>
                <w:lang w:eastAsia="en-NZ"/>
              </w:rPr>
            </w:pPr>
          </w:p>
        </w:tc>
        <w:tc>
          <w:tcPr>
            <w:tcW w:w="0" w:type="auto"/>
          </w:tcPr>
          <w:p w14:paraId="2EC66C52"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0D36590A"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Transition, transfer to </w:t>
            </w:r>
            <w:r w:rsidRPr="00BE00C7">
              <w:rPr>
                <w:rFonts w:cs="Arial"/>
                <w:lang w:eastAsia="en-NZ"/>
              </w:rPr>
              <w:t>another facility or hospital and discharge is a planned process that includes communication with the resident and their family/whānau and communicating and documenting the care needs and potential risks to the other facility. If a resident becomes acutely unwell the registered nurse can call the GP or NP for advice. If a resident needs urgent transfer to hospital, the ambulance is called and family/whānau informed. Registered nurses, and the enrolled nurse interviewed described the required documentation re</w:t>
            </w:r>
            <w:r w:rsidRPr="00BE00C7">
              <w:rPr>
                <w:rFonts w:cs="Arial"/>
                <w:lang w:eastAsia="en-NZ"/>
              </w:rPr>
              <w:t>quired to accompany the resident to hospital and confirmed the family/whānau are notified.</w:t>
            </w:r>
          </w:p>
          <w:p w14:paraId="7902808A" w14:textId="77777777" w:rsidR="00FC305A" w:rsidRPr="00BE00C7" w:rsidRDefault="00FC305A" w:rsidP="00BE00C7">
            <w:pPr>
              <w:pStyle w:val="OutcomeDescription"/>
              <w:spacing w:before="120" w:after="120"/>
              <w:rPr>
                <w:rFonts w:cs="Arial"/>
                <w:lang w:eastAsia="en-NZ"/>
              </w:rPr>
            </w:pPr>
          </w:p>
        </w:tc>
      </w:tr>
      <w:tr w:rsidR="00CA5000" w14:paraId="13187B9D" w14:textId="77777777">
        <w:tc>
          <w:tcPr>
            <w:tcW w:w="0" w:type="auto"/>
          </w:tcPr>
          <w:p w14:paraId="4E6A4FFA" w14:textId="77777777" w:rsidR="00FC305A" w:rsidRPr="00BE00C7" w:rsidRDefault="00FC305A" w:rsidP="00BE00C7">
            <w:pPr>
              <w:pStyle w:val="OutcomeDescription"/>
              <w:spacing w:before="120" w:after="120"/>
              <w:rPr>
                <w:rFonts w:cs="Arial"/>
                <w:lang w:eastAsia="en-NZ"/>
              </w:rPr>
            </w:pPr>
            <w:r w:rsidRPr="00BE00C7">
              <w:rPr>
                <w:rFonts w:cs="Arial"/>
                <w:lang w:eastAsia="en-NZ"/>
              </w:rPr>
              <w:t>Subsection 4.1: The facility</w:t>
            </w:r>
          </w:p>
          <w:p w14:paraId="5F8AFF9D"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w:t>
            </w:r>
            <w:r w:rsidRPr="00BE00C7">
              <w:rPr>
                <w:rFonts w:cs="Arial"/>
                <w:lang w:eastAsia="en-NZ"/>
              </w:rPr>
              <w:t>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727D030C" w14:textId="77777777" w:rsidR="00FC305A" w:rsidRPr="00BE00C7" w:rsidRDefault="00FC305A" w:rsidP="00BE00C7">
            <w:pPr>
              <w:pStyle w:val="OutcomeDescription"/>
              <w:spacing w:before="120" w:after="120"/>
              <w:rPr>
                <w:rFonts w:cs="Arial"/>
                <w:lang w:eastAsia="en-NZ"/>
              </w:rPr>
            </w:pPr>
          </w:p>
        </w:tc>
        <w:tc>
          <w:tcPr>
            <w:tcW w:w="0" w:type="auto"/>
          </w:tcPr>
          <w:p w14:paraId="40EADB78"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F26B08" w14:textId="77777777" w:rsidR="00FC305A" w:rsidRPr="00BE00C7" w:rsidRDefault="00FC305A" w:rsidP="00BE00C7">
            <w:pPr>
              <w:pStyle w:val="OutcomeDescription"/>
              <w:spacing w:before="120" w:after="120"/>
              <w:rPr>
                <w:rFonts w:cs="Arial"/>
                <w:lang w:eastAsia="en-NZ"/>
              </w:rPr>
            </w:pPr>
            <w:r w:rsidRPr="00BE00C7">
              <w:rPr>
                <w:rFonts w:cs="Arial"/>
                <w:lang w:eastAsia="en-NZ"/>
              </w:rPr>
              <w:t>The building warrant of fitness is current to 11 April 2026. There is a preventative maintenance plan on an electronic system. The plan comes from Arvida support office and is tailored for Bethlehem Views. There is a logbook for staff to log maintenance and repair requests. This is checked by maintenance staff daily and signed off when completed. Essential contractors such as plumbers and electricians are available 24 hours as required. Checking and calibration of medical equipment, hoists and scales was co</w:t>
            </w:r>
            <w:r w:rsidRPr="00BE00C7">
              <w:rPr>
                <w:rFonts w:cs="Arial"/>
                <w:lang w:eastAsia="en-NZ"/>
              </w:rPr>
              <w:t xml:space="preserve">mpleted annually. Hot water temperatures are monitored regularly and within </w:t>
            </w:r>
            <w:r w:rsidRPr="00BE00C7">
              <w:rPr>
                <w:rFonts w:cs="Arial"/>
                <w:lang w:eastAsia="en-NZ"/>
              </w:rPr>
              <w:lastRenderedPageBreak/>
              <w:t>the accepted range.</w:t>
            </w:r>
          </w:p>
          <w:p w14:paraId="4B00BC9D" w14:textId="77777777" w:rsidR="00FC305A" w:rsidRPr="00BE00C7" w:rsidRDefault="00FC305A" w:rsidP="00BE00C7">
            <w:pPr>
              <w:pStyle w:val="OutcomeDescription"/>
              <w:spacing w:before="120" w:after="120"/>
              <w:rPr>
                <w:rFonts w:cs="Arial"/>
                <w:lang w:eastAsia="en-NZ"/>
              </w:rPr>
            </w:pPr>
            <w:r w:rsidRPr="00BE00C7">
              <w:rPr>
                <w:rFonts w:cs="Arial"/>
                <w:lang w:eastAsia="en-NZ"/>
              </w:rPr>
              <w:t>Residents are encouraged to bring their own possessions, including those with cultural or spiritual significance into the home and can personalise their room.</w:t>
            </w:r>
          </w:p>
          <w:p w14:paraId="7650C167" w14:textId="77777777" w:rsidR="00FC305A" w:rsidRPr="00BE00C7" w:rsidRDefault="00FC305A" w:rsidP="00BE00C7">
            <w:pPr>
              <w:pStyle w:val="OutcomeDescription"/>
              <w:spacing w:before="120" w:after="120"/>
              <w:rPr>
                <w:rFonts w:cs="Arial"/>
                <w:lang w:eastAsia="en-NZ"/>
              </w:rPr>
            </w:pPr>
          </w:p>
        </w:tc>
      </w:tr>
      <w:tr w:rsidR="00CA5000" w14:paraId="347B109C" w14:textId="77777777">
        <w:tc>
          <w:tcPr>
            <w:tcW w:w="0" w:type="auto"/>
          </w:tcPr>
          <w:p w14:paraId="2D4AFECB"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11D7389"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1E614AD" w14:textId="77777777" w:rsidR="00FC305A" w:rsidRPr="00BE00C7" w:rsidRDefault="00FC305A" w:rsidP="00BE00C7">
            <w:pPr>
              <w:pStyle w:val="OutcomeDescription"/>
              <w:spacing w:before="120" w:after="120"/>
              <w:rPr>
                <w:rFonts w:cs="Arial"/>
                <w:lang w:eastAsia="en-NZ"/>
              </w:rPr>
            </w:pPr>
          </w:p>
        </w:tc>
        <w:tc>
          <w:tcPr>
            <w:tcW w:w="0" w:type="auto"/>
          </w:tcPr>
          <w:p w14:paraId="02B41CC0"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52BF9471" w14:textId="77777777" w:rsidR="00FC305A" w:rsidRPr="00BE00C7" w:rsidRDefault="00FC305A"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Arvida Group support office in consultation with infection control coordinators. Policies are available to staff. Data on infections is collated monthly, analysed and reported to the manag</w:t>
            </w:r>
            <w:r w:rsidRPr="00BE00C7">
              <w:rPr>
                <w:rFonts w:cs="Arial"/>
                <w:lang w:eastAsia="en-NZ"/>
              </w:rPr>
              <w:t>er and head office. An annual report is sent to head office.</w:t>
            </w:r>
          </w:p>
          <w:p w14:paraId="1AAE90B7" w14:textId="77777777" w:rsidR="00FC305A" w:rsidRPr="00BE00C7" w:rsidRDefault="00FC305A" w:rsidP="00BE00C7">
            <w:pPr>
              <w:pStyle w:val="OutcomeDescription"/>
              <w:spacing w:before="120" w:after="120"/>
              <w:rPr>
                <w:rFonts w:cs="Arial"/>
                <w:lang w:eastAsia="en-NZ"/>
              </w:rPr>
            </w:pPr>
            <w:r w:rsidRPr="00BE00C7">
              <w:rPr>
                <w:rFonts w:cs="Arial"/>
                <w:lang w:eastAsia="en-NZ"/>
              </w:rPr>
              <w:t>The infection control policy states the facility is committed to the ongoing education of staff and residents. Infection prevention and control is part of staff orientation and included in the annual training plan (Altura). There has been additional training and education at the time of outbreaks and staff were informed of any changes by noticeboards, handovers, and emails. Staff have completed hand hygiene, and personal protective equipment training. Resident education occurs as part of the daily cares. Re</w:t>
            </w:r>
            <w:r w:rsidRPr="00BE00C7">
              <w:rPr>
                <w:rFonts w:cs="Arial"/>
                <w:lang w:eastAsia="en-NZ"/>
              </w:rPr>
              <w:t>sidents and family/whānau are kept informed through meetings, newsletters, and emails.</w:t>
            </w:r>
          </w:p>
          <w:p w14:paraId="35F288E9" w14:textId="77777777" w:rsidR="00FC305A" w:rsidRPr="00BE00C7" w:rsidRDefault="00FC305A" w:rsidP="00BE00C7">
            <w:pPr>
              <w:pStyle w:val="OutcomeDescription"/>
              <w:spacing w:before="120" w:after="120"/>
              <w:rPr>
                <w:rFonts w:cs="Arial"/>
                <w:lang w:eastAsia="en-NZ"/>
              </w:rPr>
            </w:pPr>
          </w:p>
        </w:tc>
      </w:tr>
      <w:tr w:rsidR="00CA5000" w14:paraId="1EBAFE3A" w14:textId="77777777">
        <w:tc>
          <w:tcPr>
            <w:tcW w:w="0" w:type="auto"/>
          </w:tcPr>
          <w:p w14:paraId="703912D3" w14:textId="77777777" w:rsidR="00FC305A" w:rsidRPr="00BE00C7" w:rsidRDefault="00FC305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89426E8"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6A56EAB" w14:textId="77777777" w:rsidR="00FC305A" w:rsidRPr="00BE00C7" w:rsidRDefault="00FC305A" w:rsidP="00BE00C7">
            <w:pPr>
              <w:pStyle w:val="OutcomeDescription"/>
              <w:spacing w:before="120" w:after="120"/>
              <w:rPr>
                <w:rFonts w:cs="Arial"/>
                <w:lang w:eastAsia="en-NZ"/>
              </w:rPr>
            </w:pPr>
          </w:p>
        </w:tc>
        <w:tc>
          <w:tcPr>
            <w:tcW w:w="0" w:type="auto"/>
          </w:tcPr>
          <w:p w14:paraId="53936E89"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04647F" w14:textId="77777777" w:rsidR="00FC305A" w:rsidRPr="00BE00C7" w:rsidRDefault="00FC305A"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Surveillance data includes ethnicity. Infections are entered into the infection register on the electronic risk management system. Surveillance of all infections (including organisms) is entered onto a monthly infection summary. This data is monitored and analysed for trend</w:t>
            </w:r>
            <w:r w:rsidRPr="00BE00C7">
              <w:rPr>
                <w:rFonts w:cs="Arial"/>
                <w:lang w:eastAsia="en-NZ"/>
              </w:rPr>
              <w:t xml:space="preserve">s, monthly and annually. Infection control surveillance is discussed at quality and staff meetings. The previous shortfall (5.4.3) has been satisfied. </w:t>
            </w:r>
          </w:p>
          <w:p w14:paraId="75903719"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Arvida head office have direct access to data via the electronic system. Data on incidents and rates of healthcare associated infections (HAI) are </w:t>
            </w:r>
            <w:r w:rsidRPr="00BE00C7">
              <w:rPr>
                <w:rFonts w:cs="Arial"/>
                <w:lang w:eastAsia="en-NZ"/>
              </w:rPr>
              <w:lastRenderedPageBreak/>
              <w:t>benchmarked monthly and emailed to villages, to support their quality programme. Any trends are reported to the monthly board meeting.</w:t>
            </w:r>
          </w:p>
          <w:p w14:paraId="389EA78E"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Internal infection control audits are completed with corrective actions for areas of improvement. The service receives email notifications and alerts from Arvida head office and Health New Zealand for any community concerns. </w:t>
            </w:r>
          </w:p>
          <w:p w14:paraId="398EB499" w14:textId="77777777" w:rsidR="00FC305A" w:rsidRPr="00BE00C7" w:rsidRDefault="00FC305A" w:rsidP="00BE00C7">
            <w:pPr>
              <w:pStyle w:val="OutcomeDescription"/>
              <w:spacing w:before="120" w:after="120"/>
              <w:rPr>
                <w:rFonts w:cs="Arial"/>
                <w:lang w:eastAsia="en-NZ"/>
              </w:rPr>
            </w:pPr>
            <w:r w:rsidRPr="00BE00C7">
              <w:rPr>
                <w:rFonts w:cs="Arial"/>
                <w:lang w:eastAsia="en-NZ"/>
              </w:rPr>
              <w:t>There has been one Covid-19 outbreak recorded since the last audit, in April/May 2024 and one norovirus outbreak in June 2024. All outbreaks were well managed and reported to Public Health authorities.</w:t>
            </w:r>
          </w:p>
          <w:p w14:paraId="32B32C65" w14:textId="77777777" w:rsidR="00FC305A" w:rsidRPr="00BE00C7" w:rsidRDefault="00FC305A" w:rsidP="00BE00C7">
            <w:pPr>
              <w:pStyle w:val="OutcomeDescription"/>
              <w:spacing w:before="120" w:after="120"/>
              <w:rPr>
                <w:rFonts w:cs="Arial"/>
                <w:lang w:eastAsia="en-NZ"/>
              </w:rPr>
            </w:pPr>
          </w:p>
        </w:tc>
      </w:tr>
      <w:tr w:rsidR="00CA5000" w14:paraId="7ABCDE5E" w14:textId="77777777">
        <w:tc>
          <w:tcPr>
            <w:tcW w:w="0" w:type="auto"/>
          </w:tcPr>
          <w:p w14:paraId="06B7C141" w14:textId="77777777" w:rsidR="00FC305A" w:rsidRPr="00BE00C7" w:rsidRDefault="00FC305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27D8758" w14:textId="77777777" w:rsidR="00FC305A" w:rsidRPr="00BE00C7" w:rsidRDefault="00FC305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4BE25AB" w14:textId="77777777" w:rsidR="00FC305A" w:rsidRPr="00BE00C7" w:rsidRDefault="00FC305A" w:rsidP="00BE00C7">
            <w:pPr>
              <w:pStyle w:val="OutcomeDescription"/>
              <w:spacing w:before="120" w:after="120"/>
              <w:rPr>
                <w:rFonts w:cs="Arial"/>
                <w:lang w:eastAsia="en-NZ"/>
              </w:rPr>
            </w:pPr>
          </w:p>
        </w:tc>
        <w:tc>
          <w:tcPr>
            <w:tcW w:w="0" w:type="auto"/>
          </w:tcPr>
          <w:p w14:paraId="7DB7DDC5" w14:textId="77777777" w:rsidR="00FC305A" w:rsidRPr="00BE00C7" w:rsidRDefault="00FC305A" w:rsidP="00BE00C7">
            <w:pPr>
              <w:pStyle w:val="OutcomeDescription"/>
              <w:spacing w:before="120" w:after="120"/>
              <w:rPr>
                <w:rFonts w:cs="Arial"/>
                <w:lang w:eastAsia="en-NZ"/>
              </w:rPr>
            </w:pPr>
            <w:r w:rsidRPr="00BE00C7">
              <w:rPr>
                <w:rFonts w:cs="Arial"/>
                <w:lang w:eastAsia="en-NZ"/>
              </w:rPr>
              <w:t>FA</w:t>
            </w:r>
          </w:p>
        </w:tc>
        <w:tc>
          <w:tcPr>
            <w:tcW w:w="0" w:type="auto"/>
          </w:tcPr>
          <w:p w14:paraId="11C3C7CE"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The restraint minimisation and safe practice policy specifies the organisation’s commitment to maintaining a restraint-free environment. There is no use of restraint. The policy and procedures describe the process for implementing restraint including a holistic assessment, an approval process that includes family/whānau and the GP or NP, identifying alternative strategies including de-escalation, and monitoring and review of restraint. </w:t>
            </w:r>
          </w:p>
          <w:p w14:paraId="1ED4D96B" w14:textId="77777777" w:rsidR="00FC305A" w:rsidRPr="00BE00C7" w:rsidRDefault="00FC305A" w:rsidP="00BE00C7">
            <w:pPr>
              <w:pStyle w:val="OutcomeDescription"/>
              <w:spacing w:before="120" w:after="120"/>
              <w:rPr>
                <w:rFonts w:cs="Arial"/>
                <w:lang w:eastAsia="en-NZ"/>
              </w:rPr>
            </w:pPr>
            <w:r w:rsidRPr="00BE00C7">
              <w:rPr>
                <w:rFonts w:cs="Arial"/>
                <w:lang w:eastAsia="en-NZ"/>
              </w:rPr>
              <w:t>Staff receive ongoing training in maintaining a restraint free environment, de-escalation, cultural safety, and alternative strategies to the use of restraint. Wellness partners and registered nurses complete a bi-annual competency test in restraint minimisation.</w:t>
            </w:r>
          </w:p>
          <w:p w14:paraId="66A59E75" w14:textId="77777777" w:rsidR="00FC305A" w:rsidRPr="00BE00C7" w:rsidRDefault="00FC305A" w:rsidP="00BE00C7">
            <w:pPr>
              <w:pStyle w:val="OutcomeDescription"/>
              <w:spacing w:before="120" w:after="120"/>
              <w:rPr>
                <w:rFonts w:cs="Arial"/>
                <w:lang w:eastAsia="en-NZ"/>
              </w:rPr>
            </w:pPr>
          </w:p>
        </w:tc>
      </w:tr>
    </w:tbl>
    <w:p w14:paraId="3AABC39F" w14:textId="77777777" w:rsidR="00FC305A" w:rsidRPr="00BE00C7" w:rsidRDefault="00FC305A" w:rsidP="00BE00C7">
      <w:pPr>
        <w:pStyle w:val="OutcomeDescription"/>
        <w:spacing w:before="120" w:after="120"/>
        <w:rPr>
          <w:rFonts w:cs="Arial"/>
          <w:lang w:eastAsia="en-NZ"/>
        </w:rPr>
      </w:pPr>
      <w:bookmarkStart w:id="56" w:name="AuditSummaryAttainment"/>
      <w:bookmarkEnd w:id="56"/>
    </w:p>
    <w:p w14:paraId="6A7C6DD2" w14:textId="77777777" w:rsidR="00FC305A" w:rsidRDefault="00FC305A">
      <w:pPr>
        <w:pStyle w:val="Heading1"/>
        <w:rPr>
          <w:rFonts w:cs="Arial"/>
        </w:rPr>
      </w:pPr>
      <w:r>
        <w:rPr>
          <w:rFonts w:cs="Arial"/>
        </w:rPr>
        <w:lastRenderedPageBreak/>
        <w:t>Specific results for criterion where corrective actions are required</w:t>
      </w:r>
    </w:p>
    <w:p w14:paraId="428E00EF" w14:textId="77777777" w:rsidR="00FC305A" w:rsidRDefault="00FC305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CC69D06" w14:textId="77777777" w:rsidR="00FC305A" w:rsidRDefault="00FC305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A82E4F7" w14:textId="77777777" w:rsidR="00FC305A" w:rsidRDefault="00FC305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A5000" w14:paraId="25405C05" w14:textId="77777777">
        <w:tc>
          <w:tcPr>
            <w:tcW w:w="0" w:type="auto"/>
          </w:tcPr>
          <w:p w14:paraId="1A96C641" w14:textId="77777777" w:rsidR="00FC305A" w:rsidRPr="00BE00C7" w:rsidRDefault="00FC305A" w:rsidP="00BE00C7">
            <w:pPr>
              <w:pStyle w:val="OutcomeDescription"/>
              <w:spacing w:before="120" w:after="120"/>
              <w:rPr>
                <w:rFonts w:cs="Arial"/>
                <w:lang w:eastAsia="en-NZ"/>
              </w:rPr>
            </w:pPr>
            <w:r w:rsidRPr="00BE00C7">
              <w:rPr>
                <w:rFonts w:cs="Arial"/>
                <w:lang w:eastAsia="en-NZ"/>
              </w:rPr>
              <w:t xml:space="preserve">No data to </w:t>
            </w:r>
            <w:r w:rsidRPr="00BE00C7">
              <w:rPr>
                <w:rFonts w:cs="Arial"/>
                <w:lang w:eastAsia="en-NZ"/>
              </w:rPr>
              <w:t>display</w:t>
            </w:r>
          </w:p>
        </w:tc>
      </w:tr>
    </w:tbl>
    <w:p w14:paraId="3116EC55" w14:textId="77777777" w:rsidR="00FC305A" w:rsidRPr="00BE00C7" w:rsidRDefault="00FC305A" w:rsidP="00BE00C7">
      <w:pPr>
        <w:pStyle w:val="OutcomeDescription"/>
        <w:spacing w:before="120" w:after="120"/>
        <w:rPr>
          <w:rFonts w:cs="Arial"/>
          <w:lang w:eastAsia="en-NZ"/>
        </w:rPr>
      </w:pPr>
      <w:bookmarkStart w:id="57" w:name="AuditSummaryCAMCriterion"/>
      <w:bookmarkEnd w:id="57"/>
    </w:p>
    <w:p w14:paraId="57753B6A" w14:textId="77777777" w:rsidR="00FC305A" w:rsidRDefault="00FC305A">
      <w:pPr>
        <w:pStyle w:val="Heading1"/>
        <w:rPr>
          <w:rFonts w:cs="Arial"/>
        </w:rPr>
      </w:pPr>
      <w:r>
        <w:rPr>
          <w:rFonts w:cs="Arial"/>
        </w:rPr>
        <w:lastRenderedPageBreak/>
        <w:t>Specific results for criterion where a continuous improvement has been recorded</w:t>
      </w:r>
    </w:p>
    <w:p w14:paraId="477536BC" w14:textId="77777777" w:rsidR="00FC305A" w:rsidRDefault="00FC305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6C1B358" w14:textId="77777777" w:rsidR="00FC305A" w:rsidRDefault="00FC305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00A2A23" w14:textId="77777777" w:rsidR="00FC305A" w:rsidRDefault="00FC305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A5000" w14:paraId="7A904150" w14:textId="77777777">
        <w:tc>
          <w:tcPr>
            <w:tcW w:w="0" w:type="auto"/>
          </w:tcPr>
          <w:p w14:paraId="20FF3B3C" w14:textId="77777777" w:rsidR="00FC305A" w:rsidRPr="00BE00C7" w:rsidRDefault="00FC305A" w:rsidP="00BE00C7">
            <w:pPr>
              <w:pStyle w:val="OutcomeDescription"/>
              <w:spacing w:before="120" w:after="120"/>
              <w:rPr>
                <w:rFonts w:cs="Arial"/>
                <w:lang w:eastAsia="en-NZ"/>
              </w:rPr>
            </w:pPr>
            <w:r w:rsidRPr="00BE00C7">
              <w:rPr>
                <w:rFonts w:cs="Arial"/>
                <w:lang w:eastAsia="en-NZ"/>
              </w:rPr>
              <w:t>No data to display</w:t>
            </w:r>
          </w:p>
        </w:tc>
      </w:tr>
    </w:tbl>
    <w:p w14:paraId="0B26A3B6" w14:textId="77777777" w:rsidR="00FC305A" w:rsidRPr="00BE00C7" w:rsidRDefault="00FC305A" w:rsidP="00BE00C7">
      <w:pPr>
        <w:pStyle w:val="OutcomeDescription"/>
        <w:spacing w:before="120" w:after="120"/>
        <w:rPr>
          <w:rFonts w:cs="Arial"/>
          <w:lang w:eastAsia="en-NZ"/>
        </w:rPr>
      </w:pPr>
      <w:bookmarkStart w:id="58" w:name="AuditSummaryCAMImprovment"/>
      <w:bookmarkEnd w:id="58"/>
    </w:p>
    <w:p w14:paraId="64632427" w14:textId="77777777" w:rsidR="00FC305A" w:rsidRDefault="00FC305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2F41" w14:textId="77777777" w:rsidR="00FC305A" w:rsidRDefault="00FC305A">
      <w:r>
        <w:separator/>
      </w:r>
    </w:p>
  </w:endnote>
  <w:endnote w:type="continuationSeparator" w:id="0">
    <w:p w14:paraId="29E7F0A4" w14:textId="77777777" w:rsidR="00FC305A" w:rsidRDefault="00FC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6256" w14:textId="77777777" w:rsidR="00FC305A" w:rsidRDefault="00FC305A">
    <w:pPr>
      <w:pStyle w:val="Footer"/>
    </w:pPr>
  </w:p>
  <w:p w14:paraId="078438AA" w14:textId="77777777" w:rsidR="00FC305A" w:rsidRDefault="00FC305A"/>
  <w:p w14:paraId="767E86CE" w14:textId="77777777" w:rsidR="00FC305A" w:rsidRDefault="00FC305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24C3" w14:textId="77777777" w:rsidR="00FC305A" w:rsidRPr="000B00BC" w:rsidRDefault="00FC305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Views Lifecare Limited - Bethlehem Views</w:t>
    </w:r>
    <w:bookmarkEnd w:id="59"/>
    <w:r>
      <w:rPr>
        <w:rFonts w:cs="Arial"/>
        <w:sz w:val="16"/>
        <w:szCs w:val="20"/>
      </w:rPr>
      <w:tab/>
      <w:t xml:space="preserve">Date of Audit: </w:t>
    </w:r>
    <w:bookmarkStart w:id="60" w:name="AuditStartDate1"/>
    <w:r>
      <w:rPr>
        <w:rFonts w:cs="Arial"/>
        <w:sz w:val="16"/>
        <w:szCs w:val="20"/>
      </w:rPr>
      <w:t>8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47629F9" w14:textId="77777777" w:rsidR="00FC305A" w:rsidRDefault="00FC30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E8FD" w14:textId="77777777" w:rsidR="00FC305A" w:rsidRDefault="00FC3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EDE5C" w14:textId="77777777" w:rsidR="00FC305A" w:rsidRDefault="00FC305A">
      <w:r>
        <w:separator/>
      </w:r>
    </w:p>
  </w:footnote>
  <w:footnote w:type="continuationSeparator" w:id="0">
    <w:p w14:paraId="53DFECE9" w14:textId="77777777" w:rsidR="00FC305A" w:rsidRDefault="00FC3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B7FA" w14:textId="77777777" w:rsidR="00FC305A" w:rsidRDefault="00FC305A">
    <w:pPr>
      <w:pStyle w:val="Header"/>
    </w:pPr>
  </w:p>
  <w:p w14:paraId="4766CA29" w14:textId="77777777" w:rsidR="00FC305A" w:rsidRDefault="00FC30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F3C0" w14:textId="77777777" w:rsidR="00FC305A" w:rsidRDefault="00FC305A">
    <w:pPr>
      <w:pStyle w:val="Header"/>
    </w:pPr>
  </w:p>
  <w:p w14:paraId="109FF9D9" w14:textId="77777777" w:rsidR="00FC305A" w:rsidRDefault="00FC30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94AF" w14:textId="77777777" w:rsidR="00FC305A" w:rsidRDefault="00FC3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1DAE572">
      <w:start w:val="1"/>
      <w:numFmt w:val="decimal"/>
      <w:lvlText w:val="%1."/>
      <w:lvlJc w:val="left"/>
      <w:pPr>
        <w:ind w:left="360" w:hanging="360"/>
      </w:pPr>
    </w:lvl>
    <w:lvl w:ilvl="1" w:tplc="DF22AAF2" w:tentative="1">
      <w:start w:val="1"/>
      <w:numFmt w:val="lowerLetter"/>
      <w:lvlText w:val="%2."/>
      <w:lvlJc w:val="left"/>
      <w:pPr>
        <w:ind w:left="1080" w:hanging="360"/>
      </w:pPr>
    </w:lvl>
    <w:lvl w:ilvl="2" w:tplc="9AD0B00C" w:tentative="1">
      <w:start w:val="1"/>
      <w:numFmt w:val="lowerRoman"/>
      <w:lvlText w:val="%3."/>
      <w:lvlJc w:val="right"/>
      <w:pPr>
        <w:ind w:left="1800" w:hanging="180"/>
      </w:pPr>
    </w:lvl>
    <w:lvl w:ilvl="3" w:tplc="30685E62" w:tentative="1">
      <w:start w:val="1"/>
      <w:numFmt w:val="decimal"/>
      <w:lvlText w:val="%4."/>
      <w:lvlJc w:val="left"/>
      <w:pPr>
        <w:ind w:left="2520" w:hanging="360"/>
      </w:pPr>
    </w:lvl>
    <w:lvl w:ilvl="4" w:tplc="3F18CBA0" w:tentative="1">
      <w:start w:val="1"/>
      <w:numFmt w:val="lowerLetter"/>
      <w:lvlText w:val="%5."/>
      <w:lvlJc w:val="left"/>
      <w:pPr>
        <w:ind w:left="3240" w:hanging="360"/>
      </w:pPr>
    </w:lvl>
    <w:lvl w:ilvl="5" w:tplc="5D528628" w:tentative="1">
      <w:start w:val="1"/>
      <w:numFmt w:val="lowerRoman"/>
      <w:lvlText w:val="%6."/>
      <w:lvlJc w:val="right"/>
      <w:pPr>
        <w:ind w:left="3960" w:hanging="180"/>
      </w:pPr>
    </w:lvl>
    <w:lvl w:ilvl="6" w:tplc="4330E988" w:tentative="1">
      <w:start w:val="1"/>
      <w:numFmt w:val="decimal"/>
      <w:lvlText w:val="%7."/>
      <w:lvlJc w:val="left"/>
      <w:pPr>
        <w:ind w:left="4680" w:hanging="360"/>
      </w:pPr>
    </w:lvl>
    <w:lvl w:ilvl="7" w:tplc="B4EAEE62" w:tentative="1">
      <w:start w:val="1"/>
      <w:numFmt w:val="lowerLetter"/>
      <w:lvlText w:val="%8."/>
      <w:lvlJc w:val="left"/>
      <w:pPr>
        <w:ind w:left="5400" w:hanging="360"/>
      </w:pPr>
    </w:lvl>
    <w:lvl w:ilvl="8" w:tplc="C0309EF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6A2E5A4">
      <w:start w:val="1"/>
      <w:numFmt w:val="bullet"/>
      <w:lvlText w:val=""/>
      <w:lvlJc w:val="left"/>
      <w:pPr>
        <w:ind w:left="720" w:hanging="360"/>
      </w:pPr>
      <w:rPr>
        <w:rFonts w:ascii="Symbol" w:hAnsi="Symbol" w:hint="default"/>
      </w:rPr>
    </w:lvl>
    <w:lvl w:ilvl="1" w:tplc="45CC3208" w:tentative="1">
      <w:start w:val="1"/>
      <w:numFmt w:val="bullet"/>
      <w:lvlText w:val="o"/>
      <w:lvlJc w:val="left"/>
      <w:pPr>
        <w:ind w:left="1440" w:hanging="360"/>
      </w:pPr>
      <w:rPr>
        <w:rFonts w:ascii="Courier New" w:hAnsi="Courier New" w:cs="Courier New" w:hint="default"/>
      </w:rPr>
    </w:lvl>
    <w:lvl w:ilvl="2" w:tplc="BCCC7A64" w:tentative="1">
      <w:start w:val="1"/>
      <w:numFmt w:val="bullet"/>
      <w:lvlText w:val=""/>
      <w:lvlJc w:val="left"/>
      <w:pPr>
        <w:ind w:left="2160" w:hanging="360"/>
      </w:pPr>
      <w:rPr>
        <w:rFonts w:ascii="Wingdings" w:hAnsi="Wingdings" w:hint="default"/>
      </w:rPr>
    </w:lvl>
    <w:lvl w:ilvl="3" w:tplc="D8109576" w:tentative="1">
      <w:start w:val="1"/>
      <w:numFmt w:val="bullet"/>
      <w:lvlText w:val=""/>
      <w:lvlJc w:val="left"/>
      <w:pPr>
        <w:ind w:left="2880" w:hanging="360"/>
      </w:pPr>
      <w:rPr>
        <w:rFonts w:ascii="Symbol" w:hAnsi="Symbol" w:hint="default"/>
      </w:rPr>
    </w:lvl>
    <w:lvl w:ilvl="4" w:tplc="42DC648C" w:tentative="1">
      <w:start w:val="1"/>
      <w:numFmt w:val="bullet"/>
      <w:lvlText w:val="o"/>
      <w:lvlJc w:val="left"/>
      <w:pPr>
        <w:ind w:left="3600" w:hanging="360"/>
      </w:pPr>
      <w:rPr>
        <w:rFonts w:ascii="Courier New" w:hAnsi="Courier New" w:cs="Courier New" w:hint="default"/>
      </w:rPr>
    </w:lvl>
    <w:lvl w:ilvl="5" w:tplc="EC0C1564" w:tentative="1">
      <w:start w:val="1"/>
      <w:numFmt w:val="bullet"/>
      <w:lvlText w:val=""/>
      <w:lvlJc w:val="left"/>
      <w:pPr>
        <w:ind w:left="4320" w:hanging="360"/>
      </w:pPr>
      <w:rPr>
        <w:rFonts w:ascii="Wingdings" w:hAnsi="Wingdings" w:hint="default"/>
      </w:rPr>
    </w:lvl>
    <w:lvl w:ilvl="6" w:tplc="F20A1E44" w:tentative="1">
      <w:start w:val="1"/>
      <w:numFmt w:val="bullet"/>
      <w:lvlText w:val=""/>
      <w:lvlJc w:val="left"/>
      <w:pPr>
        <w:ind w:left="5040" w:hanging="360"/>
      </w:pPr>
      <w:rPr>
        <w:rFonts w:ascii="Symbol" w:hAnsi="Symbol" w:hint="default"/>
      </w:rPr>
    </w:lvl>
    <w:lvl w:ilvl="7" w:tplc="651C3D72" w:tentative="1">
      <w:start w:val="1"/>
      <w:numFmt w:val="bullet"/>
      <w:lvlText w:val="o"/>
      <w:lvlJc w:val="left"/>
      <w:pPr>
        <w:ind w:left="5760" w:hanging="360"/>
      </w:pPr>
      <w:rPr>
        <w:rFonts w:ascii="Courier New" w:hAnsi="Courier New" w:cs="Courier New" w:hint="default"/>
      </w:rPr>
    </w:lvl>
    <w:lvl w:ilvl="8" w:tplc="AC56EB8C" w:tentative="1">
      <w:start w:val="1"/>
      <w:numFmt w:val="bullet"/>
      <w:lvlText w:val=""/>
      <w:lvlJc w:val="left"/>
      <w:pPr>
        <w:ind w:left="6480" w:hanging="360"/>
      </w:pPr>
      <w:rPr>
        <w:rFonts w:ascii="Wingdings" w:hAnsi="Wingdings" w:hint="default"/>
      </w:rPr>
    </w:lvl>
  </w:abstractNum>
  <w:num w:numId="1" w16cid:durableId="877475199">
    <w:abstractNumId w:val="1"/>
  </w:num>
  <w:num w:numId="2" w16cid:durableId="533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00"/>
    <w:rsid w:val="00CA5000"/>
    <w:rsid w:val="00FC30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66F6"/>
  <w15:docId w15:val="{5C90439A-BC18-494E-9432-FDEA056F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7811</Words>
  <Characters>44528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2</cp:revision>
  <dcterms:created xsi:type="dcterms:W3CDTF">2025-06-27T02:26:00Z</dcterms:created>
  <dcterms:modified xsi:type="dcterms:W3CDTF">2025-06-27T02:26:00Z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