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AEB2" w14:textId="77777777" w:rsidR="00000000" w:rsidRDefault="00000000">
      <w:pPr>
        <w:pStyle w:val="Heading1"/>
        <w:rPr>
          <w:rFonts w:cs="Arial"/>
        </w:rPr>
      </w:pPr>
      <w:bookmarkStart w:id="0" w:name="PRMS_RIName"/>
      <w:r>
        <w:rPr>
          <w:rFonts w:cs="Arial"/>
        </w:rPr>
        <w:t>Bainlea House (2013) Limited - Bainswood on Victoria</w:t>
      </w:r>
      <w:bookmarkEnd w:id="0"/>
    </w:p>
    <w:p w14:paraId="5920D65A" w14:textId="77777777" w:rsidR="00000000" w:rsidRDefault="00000000">
      <w:pPr>
        <w:pStyle w:val="Heading2"/>
        <w:spacing w:after="0"/>
        <w:rPr>
          <w:rFonts w:cs="Arial"/>
        </w:rPr>
      </w:pPr>
      <w:r>
        <w:rPr>
          <w:rFonts w:cs="Arial"/>
        </w:rPr>
        <w:t>Introduction</w:t>
      </w:r>
    </w:p>
    <w:p w14:paraId="5BCC25E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1D77F7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340C81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748595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D975F27" w14:textId="77777777" w:rsidR="00000000" w:rsidRDefault="00000000">
      <w:pPr>
        <w:spacing w:before="240" w:after="240"/>
        <w:rPr>
          <w:rFonts w:cs="Arial"/>
          <w:lang w:eastAsia="en-NZ"/>
        </w:rPr>
      </w:pPr>
      <w:r>
        <w:rPr>
          <w:rFonts w:cs="Arial"/>
          <w:lang w:eastAsia="en-NZ"/>
        </w:rPr>
        <w:t>The specifics of this audit included:</w:t>
      </w:r>
    </w:p>
    <w:p w14:paraId="132A4D2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8DDF5C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Bainlea House (2013) Limited</w:t>
      </w:r>
      <w:bookmarkEnd w:id="4"/>
    </w:p>
    <w:p w14:paraId="5629D63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Bainswood on Victoria</w:t>
      </w:r>
      <w:bookmarkEnd w:id="5"/>
    </w:p>
    <w:p w14:paraId="1E0CB5E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8AC482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April 2025</w:t>
      </w:r>
      <w:bookmarkEnd w:id="7"/>
      <w:r w:rsidRPr="009418D4">
        <w:rPr>
          <w:rFonts w:cs="Arial"/>
        </w:rPr>
        <w:tab/>
        <w:t xml:space="preserve">End date: </w:t>
      </w:r>
      <w:bookmarkStart w:id="8" w:name="AuditEndDate"/>
      <w:r>
        <w:rPr>
          <w:rFonts w:cs="Arial"/>
        </w:rPr>
        <w:t>23 April 2025</w:t>
      </w:r>
      <w:bookmarkEnd w:id="8"/>
    </w:p>
    <w:p w14:paraId="3458A7B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 recent reconfiguration of adding one additional room (room 22b) resulted in an increase of bed numbers from 57 to 58. </w:t>
      </w:r>
    </w:p>
    <w:bookmarkEnd w:id="9"/>
    <w:p w14:paraId="4827872D" w14:textId="77777777" w:rsidR="004B376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2F79A5C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8DAD595" w14:textId="77777777" w:rsidR="00000000" w:rsidRDefault="00000000">
      <w:pPr>
        <w:pStyle w:val="Heading1"/>
        <w:rPr>
          <w:rFonts w:cs="Arial"/>
        </w:rPr>
      </w:pPr>
      <w:r>
        <w:rPr>
          <w:rFonts w:cs="Arial"/>
        </w:rPr>
        <w:lastRenderedPageBreak/>
        <w:t>Executive summary of the audit</w:t>
      </w:r>
    </w:p>
    <w:p w14:paraId="2E4097BC" w14:textId="77777777" w:rsidR="00000000" w:rsidRDefault="00000000">
      <w:pPr>
        <w:pStyle w:val="Heading2"/>
        <w:rPr>
          <w:rFonts w:cs="Arial"/>
        </w:rPr>
      </w:pPr>
      <w:r>
        <w:rPr>
          <w:rFonts w:cs="Arial"/>
        </w:rPr>
        <w:t>Introduction</w:t>
      </w:r>
    </w:p>
    <w:p w14:paraId="7F09E2A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9484AC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56A6E5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F16FD1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FF7D86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236F10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0C9065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B05E47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C19A7E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B376D" w14:paraId="0C38CC16" w14:textId="77777777">
        <w:trPr>
          <w:cantSplit/>
          <w:tblHeader/>
        </w:trPr>
        <w:tc>
          <w:tcPr>
            <w:tcW w:w="1260" w:type="dxa"/>
            <w:tcBorders>
              <w:bottom w:val="single" w:sz="4" w:space="0" w:color="000000"/>
            </w:tcBorders>
            <w:vAlign w:val="center"/>
          </w:tcPr>
          <w:p w14:paraId="4F4B357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34FDDD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9FD79DB" w14:textId="77777777" w:rsidR="00000000" w:rsidRDefault="00000000">
            <w:pPr>
              <w:spacing w:before="60" w:after="60"/>
              <w:rPr>
                <w:rFonts w:eastAsia="Calibri"/>
                <w:b/>
                <w:szCs w:val="24"/>
              </w:rPr>
            </w:pPr>
            <w:r>
              <w:rPr>
                <w:rFonts w:eastAsia="Calibri"/>
                <w:b/>
                <w:szCs w:val="24"/>
              </w:rPr>
              <w:t>Definition</w:t>
            </w:r>
          </w:p>
        </w:tc>
      </w:tr>
      <w:tr w:rsidR="004B376D" w14:paraId="51C1243E" w14:textId="77777777">
        <w:trPr>
          <w:cantSplit/>
          <w:trHeight w:val="964"/>
        </w:trPr>
        <w:tc>
          <w:tcPr>
            <w:tcW w:w="1260" w:type="dxa"/>
            <w:tcBorders>
              <w:bottom w:val="single" w:sz="4" w:space="0" w:color="000000"/>
            </w:tcBorders>
            <w:shd w:val="clear" w:color="0066FF" w:fill="0000FF"/>
            <w:vAlign w:val="center"/>
          </w:tcPr>
          <w:p w14:paraId="79FA0F7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930B0F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C0187B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B376D" w14:paraId="24EEE85E" w14:textId="77777777">
        <w:trPr>
          <w:cantSplit/>
          <w:trHeight w:val="964"/>
        </w:trPr>
        <w:tc>
          <w:tcPr>
            <w:tcW w:w="1260" w:type="dxa"/>
            <w:shd w:val="clear" w:color="33CC33" w:fill="00FF00"/>
            <w:vAlign w:val="center"/>
          </w:tcPr>
          <w:p w14:paraId="79983C68" w14:textId="77777777" w:rsidR="00000000" w:rsidRDefault="00000000">
            <w:pPr>
              <w:spacing w:before="60" w:after="60"/>
              <w:rPr>
                <w:rFonts w:eastAsia="Calibri"/>
                <w:szCs w:val="24"/>
              </w:rPr>
            </w:pPr>
          </w:p>
        </w:tc>
        <w:tc>
          <w:tcPr>
            <w:tcW w:w="7095" w:type="dxa"/>
            <w:shd w:val="clear" w:color="auto" w:fill="auto"/>
            <w:vAlign w:val="center"/>
          </w:tcPr>
          <w:p w14:paraId="6052527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132CCF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B376D" w14:paraId="359FF9E2" w14:textId="77777777">
        <w:trPr>
          <w:cantSplit/>
          <w:trHeight w:val="964"/>
        </w:trPr>
        <w:tc>
          <w:tcPr>
            <w:tcW w:w="1260" w:type="dxa"/>
            <w:tcBorders>
              <w:bottom w:val="single" w:sz="4" w:space="0" w:color="000000"/>
            </w:tcBorders>
            <w:shd w:val="clear" w:color="auto" w:fill="FFFF00"/>
            <w:vAlign w:val="center"/>
          </w:tcPr>
          <w:p w14:paraId="7C552B8C" w14:textId="77777777" w:rsidR="00000000" w:rsidRDefault="00000000">
            <w:pPr>
              <w:spacing w:before="60" w:after="60"/>
              <w:rPr>
                <w:rFonts w:eastAsia="Calibri"/>
                <w:szCs w:val="24"/>
              </w:rPr>
            </w:pPr>
          </w:p>
        </w:tc>
        <w:tc>
          <w:tcPr>
            <w:tcW w:w="7095" w:type="dxa"/>
            <w:shd w:val="clear" w:color="auto" w:fill="auto"/>
            <w:vAlign w:val="center"/>
          </w:tcPr>
          <w:p w14:paraId="6A748C0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42DA1A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B376D" w14:paraId="308AB6ED" w14:textId="77777777">
        <w:trPr>
          <w:cantSplit/>
          <w:trHeight w:val="964"/>
        </w:trPr>
        <w:tc>
          <w:tcPr>
            <w:tcW w:w="1260" w:type="dxa"/>
            <w:tcBorders>
              <w:bottom w:val="single" w:sz="4" w:space="0" w:color="000000"/>
            </w:tcBorders>
            <w:shd w:val="clear" w:color="auto" w:fill="FFC800"/>
            <w:vAlign w:val="center"/>
          </w:tcPr>
          <w:p w14:paraId="554227F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60533C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09F764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B376D" w14:paraId="024A47BC" w14:textId="77777777">
        <w:trPr>
          <w:cantSplit/>
          <w:trHeight w:val="964"/>
        </w:trPr>
        <w:tc>
          <w:tcPr>
            <w:tcW w:w="1260" w:type="dxa"/>
            <w:shd w:val="clear" w:color="auto" w:fill="FF0000"/>
            <w:vAlign w:val="center"/>
          </w:tcPr>
          <w:p w14:paraId="5498703F" w14:textId="77777777" w:rsidR="00000000" w:rsidRDefault="00000000">
            <w:pPr>
              <w:spacing w:before="60" w:after="60"/>
              <w:rPr>
                <w:rFonts w:eastAsia="Calibri"/>
                <w:szCs w:val="24"/>
              </w:rPr>
            </w:pPr>
          </w:p>
        </w:tc>
        <w:tc>
          <w:tcPr>
            <w:tcW w:w="7095" w:type="dxa"/>
            <w:shd w:val="clear" w:color="auto" w:fill="auto"/>
            <w:vAlign w:val="center"/>
          </w:tcPr>
          <w:p w14:paraId="77170C0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A35855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6AEAFF1" w14:textId="77777777" w:rsidR="00000000" w:rsidRDefault="00000000">
      <w:pPr>
        <w:pStyle w:val="Heading2"/>
        <w:spacing w:after="0"/>
        <w:rPr>
          <w:rFonts w:cs="Arial"/>
        </w:rPr>
      </w:pPr>
      <w:r>
        <w:rPr>
          <w:rFonts w:cs="Arial"/>
        </w:rPr>
        <w:t>General overview of the audit</w:t>
      </w:r>
    </w:p>
    <w:p w14:paraId="26A096AF" w14:textId="77777777" w:rsidR="00000000" w:rsidRDefault="00000000">
      <w:pPr>
        <w:spacing w:before="240" w:line="276" w:lineRule="auto"/>
        <w:rPr>
          <w:rFonts w:eastAsia="Calibri"/>
        </w:rPr>
      </w:pPr>
      <w:bookmarkStart w:id="13" w:name="GeneralOverview"/>
      <w:r w:rsidRPr="00A4268A">
        <w:rPr>
          <w:rFonts w:eastAsia="Calibri"/>
        </w:rPr>
        <w:t>Bainswood on Victoria is one of four local aged care facilities in Rangiora owned by Rangiora Lifecare Limited. Bainswood on Victoria provides hospital (geriatric and medical) and rest home level of care for up to 58 residents. There were 55 residents at the time of the audit.</w:t>
      </w:r>
    </w:p>
    <w:p w14:paraId="79C171CA" w14:textId="77777777" w:rsidR="004B376D"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The audit process included reviewing quality systems, residents and staff files, observations, and interviews with residents, family/whānau, staff, management, and a nurse practitioner. </w:t>
      </w:r>
    </w:p>
    <w:p w14:paraId="0D3757C2" w14:textId="77777777" w:rsidR="004B376D" w:rsidRPr="00A4268A" w:rsidRDefault="00000000">
      <w:pPr>
        <w:spacing w:before="240" w:line="276" w:lineRule="auto"/>
        <w:rPr>
          <w:rFonts w:eastAsia="Calibri"/>
        </w:rPr>
      </w:pPr>
      <w:r w:rsidRPr="00A4268A">
        <w:rPr>
          <w:rFonts w:eastAsia="Calibri"/>
        </w:rPr>
        <w:t xml:space="preserve">There were internal renovations and refurbishments completed since the last audit. The service continues to implement a quality and risk management system. Residents and family/whānau interviewed were complimentary of the service and care provided. </w:t>
      </w:r>
    </w:p>
    <w:p w14:paraId="1F2E6D3E" w14:textId="77777777" w:rsidR="004B376D" w:rsidRPr="00A4268A" w:rsidRDefault="00000000">
      <w:pPr>
        <w:spacing w:before="240" w:line="276" w:lineRule="auto"/>
        <w:rPr>
          <w:rFonts w:eastAsia="Calibri"/>
        </w:rPr>
      </w:pPr>
      <w:r w:rsidRPr="00A4268A">
        <w:rPr>
          <w:rFonts w:eastAsia="Calibri"/>
        </w:rPr>
        <w:t xml:space="preserve">This certification audit identified shortfalls related to the implementation of the quality system and care planning interventions. </w:t>
      </w:r>
    </w:p>
    <w:bookmarkEnd w:id="13"/>
    <w:p w14:paraId="5321AD1A" w14:textId="77777777" w:rsidR="004B376D" w:rsidRPr="00A4268A" w:rsidRDefault="004B376D">
      <w:pPr>
        <w:spacing w:before="240" w:line="276" w:lineRule="auto"/>
        <w:rPr>
          <w:rFonts w:eastAsia="Calibri"/>
        </w:rPr>
      </w:pPr>
    </w:p>
    <w:p w14:paraId="4DFAA68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376D" w14:paraId="5CB9F48D" w14:textId="77777777" w:rsidTr="00A4268A">
        <w:trPr>
          <w:cantSplit/>
        </w:trPr>
        <w:tc>
          <w:tcPr>
            <w:tcW w:w="10206" w:type="dxa"/>
            <w:vAlign w:val="center"/>
          </w:tcPr>
          <w:p w14:paraId="23D3219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5BD9A6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5D9C38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E2FD98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4E7A880" w14:textId="77777777" w:rsidR="00000000" w:rsidRDefault="00000000">
      <w:pPr>
        <w:spacing w:before="240" w:line="276" w:lineRule="auto"/>
        <w:rPr>
          <w:rFonts w:eastAsia="Calibri"/>
        </w:rPr>
      </w:pPr>
      <w:bookmarkStart w:id="16" w:name="ConsumerRights"/>
      <w:r w:rsidRPr="00A4268A">
        <w:rPr>
          <w:rFonts w:eastAsia="Calibri"/>
        </w:rPr>
        <w:t>Bainswood on Victoria provides an environment that supports resident rights and safe care. Residents and their family/whānau are informed of their rights according to the Code of Health and Disability Services Consumers’ Rights (the Code) and these are upheld. The service has connections with local iwi and has a Māori health plan documented. A Pacific health plan is in place and the service has links with a Pacific community group who will provide support for Pasifika peoples when required. The informed consent process is well understood and implemented by staff. The service listens and respects the voices of the residents and effectively communicates with them about their choices.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26382A31" w14:textId="77777777" w:rsidR="004B376D" w:rsidRPr="00A4268A" w:rsidRDefault="004B376D">
      <w:pPr>
        <w:spacing w:before="240" w:line="276" w:lineRule="auto"/>
        <w:rPr>
          <w:rFonts w:eastAsia="Calibri"/>
        </w:rPr>
      </w:pPr>
    </w:p>
    <w:p w14:paraId="53B75EA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376D" w14:paraId="2F352445" w14:textId="77777777" w:rsidTr="00A4268A">
        <w:trPr>
          <w:cantSplit/>
        </w:trPr>
        <w:tc>
          <w:tcPr>
            <w:tcW w:w="10206" w:type="dxa"/>
            <w:vAlign w:val="center"/>
          </w:tcPr>
          <w:p w14:paraId="3CB7507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F969B4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FCEE508"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4BD4608" w14:textId="77777777" w:rsidR="00000000" w:rsidRDefault="00000000">
      <w:pPr>
        <w:spacing w:before="240" w:line="276" w:lineRule="auto"/>
        <w:rPr>
          <w:rFonts w:eastAsia="Calibri"/>
        </w:rPr>
      </w:pPr>
      <w:bookmarkStart w:id="19" w:name="OrganisationalManagement"/>
      <w:r w:rsidRPr="00A4268A">
        <w:rPr>
          <w:rFonts w:eastAsia="Calibri"/>
        </w:rPr>
        <w:t xml:space="preserve">There is a documented business plan, which includes mission, vision, values and annual objectives. Bainswood on Victoria has a documented quality and risk management programme that includes performance monitoring through internal audits, meetings and the collection of clinical indicator data. Human resources policies cover recruitment, selection, orientation, and staff training and development. A thorough induction programme provides new staff with essential information for safe work practices. An in-service </w:t>
      </w:r>
      <w:r w:rsidRPr="00A4268A">
        <w:rPr>
          <w:rFonts w:eastAsia="Calibri"/>
        </w:rPr>
        <w:lastRenderedPageBreak/>
        <w:t>education/training programme addresses relevant aspects of care and support and external training is supported. The staffing policy meets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w:t>
      </w:r>
    </w:p>
    <w:bookmarkEnd w:id="19"/>
    <w:p w14:paraId="0C346804" w14:textId="77777777" w:rsidR="004B376D" w:rsidRPr="00A4268A" w:rsidRDefault="004B376D">
      <w:pPr>
        <w:spacing w:before="240" w:line="276" w:lineRule="auto"/>
        <w:rPr>
          <w:rFonts w:eastAsia="Calibri"/>
        </w:rPr>
      </w:pPr>
    </w:p>
    <w:p w14:paraId="5187236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376D" w14:paraId="6D0A854B" w14:textId="77777777" w:rsidTr="00A4268A">
        <w:trPr>
          <w:cantSplit/>
        </w:trPr>
        <w:tc>
          <w:tcPr>
            <w:tcW w:w="10206" w:type="dxa"/>
            <w:vAlign w:val="center"/>
          </w:tcPr>
          <w:p w14:paraId="4865872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9FF86A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ADD0B62"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47A86E2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care home manager, clinical manager, registered nurses and enrolled nurse efficiently manage the entry process to the service. The service works in partnership with the residents, and their family/whānau or enduring power of attorneys to assess, plan and evaluate care. </w:t>
      </w:r>
    </w:p>
    <w:p w14:paraId="2396BB31" w14:textId="77777777" w:rsidR="004B376D"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There are adequate resources to undertake activities at the service. Medication policies are available and accessible. </w:t>
      </w:r>
    </w:p>
    <w:p w14:paraId="6898054A" w14:textId="77777777" w:rsidR="004B376D" w:rsidRPr="00A4268A" w:rsidRDefault="00000000" w:rsidP="00621629">
      <w:pPr>
        <w:spacing w:before="240" w:line="276" w:lineRule="auto"/>
        <w:rPr>
          <w:rFonts w:eastAsia="Calibri"/>
        </w:rPr>
      </w:pPr>
      <w:r w:rsidRPr="00A4268A">
        <w:rPr>
          <w:rFonts w:eastAsia="Calibri"/>
        </w:rPr>
        <w:t xml:space="preserve">Registered nurses, enrolled nurses and medication competent caregivers are responsible for administration of medicines. They complete annual education and medication competencies. The electronic medicine charts reviewed meets prescribing requirements and are reviewed at least three-monthly by the general practitioner. </w:t>
      </w:r>
    </w:p>
    <w:p w14:paraId="2B0FD475" w14:textId="77777777" w:rsidR="004B376D"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1956478D" w14:textId="77777777" w:rsidR="004B376D" w:rsidRPr="00A4268A" w:rsidRDefault="00000000" w:rsidP="00621629">
      <w:pPr>
        <w:spacing w:before="240" w:line="276" w:lineRule="auto"/>
        <w:rPr>
          <w:rFonts w:eastAsia="Calibri"/>
        </w:rPr>
      </w:pPr>
      <w:r w:rsidRPr="00A4268A">
        <w:rPr>
          <w:rFonts w:eastAsia="Calibri"/>
        </w:rPr>
        <w:lastRenderedPageBreak/>
        <w:t>Residents are reviewed regularly and referred to specialist services and to other health services as required. Discharge and transfers are coordinated and planned.</w:t>
      </w:r>
    </w:p>
    <w:bookmarkEnd w:id="22"/>
    <w:p w14:paraId="1E03A4CC" w14:textId="77777777" w:rsidR="004B376D" w:rsidRPr="00A4268A" w:rsidRDefault="004B376D" w:rsidP="00621629">
      <w:pPr>
        <w:spacing w:before="240" w:line="276" w:lineRule="auto"/>
        <w:rPr>
          <w:rFonts w:eastAsia="Calibri"/>
        </w:rPr>
      </w:pPr>
    </w:p>
    <w:p w14:paraId="0CD5DEE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376D" w14:paraId="09D2075C" w14:textId="77777777" w:rsidTr="00A4268A">
        <w:trPr>
          <w:cantSplit/>
        </w:trPr>
        <w:tc>
          <w:tcPr>
            <w:tcW w:w="10206" w:type="dxa"/>
            <w:vAlign w:val="center"/>
          </w:tcPr>
          <w:p w14:paraId="03D537F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5D17FE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123E9E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9711B61"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There are fifty-eight rooms including one double room, twelve of which have a shared shower, toilet and sink, the remaining rooms have a sink only. There are communal toilets situated close to lounge areas with appropriate signage. Resident rooms are personalised. </w:t>
      </w:r>
    </w:p>
    <w:p w14:paraId="6334329A" w14:textId="77777777" w:rsidR="004B376D" w:rsidRPr="00A4268A" w:rsidRDefault="00000000">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w:t>
      </w:r>
    </w:p>
    <w:p w14:paraId="64861A08" w14:textId="77777777" w:rsidR="004B376D" w:rsidRPr="00A4268A" w:rsidRDefault="00000000">
      <w:pPr>
        <w:spacing w:before="240" w:line="276" w:lineRule="auto"/>
        <w:rPr>
          <w:rFonts w:eastAsia="Calibri"/>
        </w:rPr>
      </w:pPr>
      <w:r w:rsidRPr="00A4268A">
        <w:rPr>
          <w:rFonts w:eastAsia="Calibri"/>
        </w:rPr>
        <w:t xml:space="preserve">Security checks are performed by staff. Security lights are installed externally throughout the facility, and doors and gates are automatically locked at night. </w:t>
      </w:r>
    </w:p>
    <w:bookmarkEnd w:id="25"/>
    <w:p w14:paraId="07A187D1" w14:textId="77777777" w:rsidR="004B376D" w:rsidRPr="00A4268A" w:rsidRDefault="004B376D">
      <w:pPr>
        <w:spacing w:before="240" w:line="276" w:lineRule="auto"/>
        <w:rPr>
          <w:rFonts w:eastAsia="Calibri"/>
        </w:rPr>
      </w:pPr>
    </w:p>
    <w:p w14:paraId="5AE40769"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376D" w14:paraId="641D0F61" w14:textId="77777777" w:rsidTr="00A4268A">
        <w:trPr>
          <w:cantSplit/>
        </w:trPr>
        <w:tc>
          <w:tcPr>
            <w:tcW w:w="10206" w:type="dxa"/>
            <w:vAlign w:val="center"/>
          </w:tcPr>
          <w:p w14:paraId="78FD209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1D8D5D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6916D5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9E3D57A" w14:textId="77777777" w:rsidR="00000000" w:rsidRDefault="00000000">
      <w:pPr>
        <w:spacing w:before="240" w:line="276" w:lineRule="auto"/>
        <w:rPr>
          <w:rFonts w:eastAsia="Calibri"/>
        </w:rPr>
      </w:pPr>
      <w:bookmarkStart w:id="28" w:name="RestraintMinimisationAndSafePractice"/>
      <w:r w:rsidRPr="00A4268A">
        <w:rPr>
          <w:rFonts w:eastAsia="Calibri"/>
        </w:rPr>
        <w:t>There infection control programme links to the business documents and quality and risk plan. The service ensures the safety of residents and staff through a planned infection prevention and antimicrobial stewardship programme appropriate to the service's size and complexity. The clinical manager oversees the programme.</w:t>
      </w:r>
    </w:p>
    <w:p w14:paraId="44818FF9" w14:textId="77777777" w:rsidR="004B376D" w:rsidRPr="00A4268A" w:rsidRDefault="00000000">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397D1774" w14:textId="77777777" w:rsidR="004B376D"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There was one outbreak since the last audit, and these were managed according to Ministry of Health guidelines.</w:t>
      </w:r>
    </w:p>
    <w:p w14:paraId="0EF9885F" w14:textId="77777777" w:rsidR="004B376D" w:rsidRPr="00A4268A" w:rsidRDefault="00000000">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15F16614" w14:textId="77777777" w:rsidR="004B376D" w:rsidRPr="00A4268A" w:rsidRDefault="004B376D">
      <w:pPr>
        <w:spacing w:before="240" w:line="276" w:lineRule="auto"/>
        <w:rPr>
          <w:rFonts w:eastAsia="Calibri"/>
        </w:rPr>
      </w:pPr>
    </w:p>
    <w:p w14:paraId="68E5BE44"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B376D" w14:paraId="207758A4" w14:textId="77777777" w:rsidTr="00A4268A">
        <w:trPr>
          <w:cantSplit/>
        </w:trPr>
        <w:tc>
          <w:tcPr>
            <w:tcW w:w="10206" w:type="dxa"/>
            <w:vAlign w:val="center"/>
          </w:tcPr>
          <w:p w14:paraId="50C12EF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E3381A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902189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D904CFE"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leadership commitment to maintain a restraint-free environment. Restraint minimisation and safe practice policies and procedures are in place. Restraint minimisation is overseen by the clinical manager, who is the restraint coordinator. The facility does not have residents currently using restraint. Use of restraints is considered as a last resort only after all other options were explored. Education is provided to staff around maintaining a restraint free environment and management of challenging behaviour. </w:t>
      </w:r>
    </w:p>
    <w:bookmarkEnd w:id="31"/>
    <w:p w14:paraId="43E675B4" w14:textId="77777777" w:rsidR="004B376D" w:rsidRPr="00A4268A" w:rsidRDefault="004B376D">
      <w:pPr>
        <w:spacing w:before="240" w:line="276" w:lineRule="auto"/>
        <w:rPr>
          <w:rFonts w:eastAsia="Calibri"/>
        </w:rPr>
      </w:pPr>
    </w:p>
    <w:p w14:paraId="7B3E5487" w14:textId="77777777" w:rsidR="00000000" w:rsidRDefault="00000000" w:rsidP="000E6E02">
      <w:pPr>
        <w:pStyle w:val="Heading2"/>
        <w:spacing w:before="0"/>
        <w:rPr>
          <w:rFonts w:cs="Arial"/>
        </w:rPr>
      </w:pPr>
      <w:r>
        <w:rPr>
          <w:rFonts w:cs="Arial"/>
        </w:rPr>
        <w:t>Summary of attainment</w:t>
      </w:r>
    </w:p>
    <w:p w14:paraId="213DAC9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B376D" w14:paraId="26839742" w14:textId="77777777">
        <w:tc>
          <w:tcPr>
            <w:tcW w:w="1384" w:type="dxa"/>
            <w:vAlign w:val="center"/>
          </w:tcPr>
          <w:p w14:paraId="5612E5E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E0AF94E" w14:textId="77777777" w:rsidR="00000000" w:rsidRDefault="00000000">
            <w:pPr>
              <w:keepNext/>
              <w:spacing w:before="60" w:after="60"/>
              <w:jc w:val="center"/>
              <w:rPr>
                <w:rFonts w:cs="Arial"/>
                <w:b/>
                <w:sz w:val="20"/>
                <w:szCs w:val="20"/>
              </w:rPr>
            </w:pPr>
            <w:r>
              <w:rPr>
                <w:rFonts w:cs="Arial"/>
                <w:b/>
                <w:sz w:val="20"/>
                <w:szCs w:val="20"/>
              </w:rPr>
              <w:t>Continuous Improvement</w:t>
            </w:r>
          </w:p>
          <w:p w14:paraId="760B011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F36EFA9" w14:textId="77777777" w:rsidR="00000000" w:rsidRDefault="00000000">
            <w:pPr>
              <w:keepNext/>
              <w:spacing w:before="60" w:after="60"/>
              <w:jc w:val="center"/>
              <w:rPr>
                <w:rFonts w:cs="Arial"/>
                <w:b/>
                <w:sz w:val="20"/>
                <w:szCs w:val="20"/>
              </w:rPr>
            </w:pPr>
            <w:r>
              <w:rPr>
                <w:rFonts w:cs="Arial"/>
                <w:b/>
                <w:sz w:val="20"/>
                <w:szCs w:val="20"/>
              </w:rPr>
              <w:t>Fully Attained</w:t>
            </w:r>
          </w:p>
          <w:p w14:paraId="1994E15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F9684B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C6F9D0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0E8094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0B9E78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6F3F8F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8A3DEA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1A2416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8B2F85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4EEBE4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605C5D8" w14:textId="77777777" w:rsidR="00000000" w:rsidRDefault="00000000">
            <w:pPr>
              <w:keepNext/>
              <w:spacing w:before="60" w:after="60"/>
              <w:jc w:val="center"/>
              <w:rPr>
                <w:rFonts w:cs="Arial"/>
                <w:b/>
                <w:sz w:val="20"/>
                <w:szCs w:val="20"/>
              </w:rPr>
            </w:pPr>
            <w:r>
              <w:rPr>
                <w:rFonts w:cs="Arial"/>
                <w:b/>
                <w:sz w:val="20"/>
                <w:szCs w:val="20"/>
              </w:rPr>
              <w:t>(PA Critical)</w:t>
            </w:r>
          </w:p>
        </w:tc>
      </w:tr>
      <w:tr w:rsidR="004B376D" w14:paraId="6319FAAD" w14:textId="77777777">
        <w:tc>
          <w:tcPr>
            <w:tcW w:w="1384" w:type="dxa"/>
            <w:vAlign w:val="center"/>
          </w:tcPr>
          <w:p w14:paraId="214E83C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C219FF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1019AB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059876B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50EC1A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22779C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F77D94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3D6662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B376D" w14:paraId="3C8EADE6" w14:textId="77777777">
        <w:tc>
          <w:tcPr>
            <w:tcW w:w="1384" w:type="dxa"/>
            <w:vAlign w:val="center"/>
          </w:tcPr>
          <w:p w14:paraId="76B2992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CA9A8D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3BEDA6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5BCD984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956D29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12DA216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53F725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E13116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8B22D8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B376D" w14:paraId="08D6D3B3" w14:textId="77777777">
        <w:tc>
          <w:tcPr>
            <w:tcW w:w="1384" w:type="dxa"/>
            <w:vAlign w:val="center"/>
          </w:tcPr>
          <w:p w14:paraId="7689F0E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4ECC69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A8B202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65DC386" w14:textId="77777777" w:rsidR="00000000" w:rsidRDefault="00000000">
            <w:pPr>
              <w:keepNext/>
              <w:spacing w:before="60" w:after="60"/>
              <w:jc w:val="center"/>
              <w:rPr>
                <w:rFonts w:cs="Arial"/>
                <w:b/>
                <w:sz w:val="20"/>
                <w:szCs w:val="20"/>
              </w:rPr>
            </w:pPr>
            <w:r>
              <w:rPr>
                <w:rFonts w:cs="Arial"/>
                <w:b/>
                <w:sz w:val="20"/>
                <w:szCs w:val="20"/>
              </w:rPr>
              <w:t>Unattained Low Risk</w:t>
            </w:r>
          </w:p>
          <w:p w14:paraId="4622C47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ED812CD" w14:textId="77777777" w:rsidR="00000000" w:rsidRDefault="00000000">
            <w:pPr>
              <w:keepNext/>
              <w:spacing w:before="60" w:after="60"/>
              <w:jc w:val="center"/>
              <w:rPr>
                <w:rFonts w:cs="Arial"/>
                <w:b/>
                <w:sz w:val="20"/>
                <w:szCs w:val="20"/>
              </w:rPr>
            </w:pPr>
            <w:r>
              <w:rPr>
                <w:rFonts w:cs="Arial"/>
                <w:b/>
                <w:sz w:val="20"/>
                <w:szCs w:val="20"/>
              </w:rPr>
              <w:t>Unattained Moderate Risk</w:t>
            </w:r>
          </w:p>
          <w:p w14:paraId="025608D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99D9C5C" w14:textId="77777777" w:rsidR="00000000" w:rsidRDefault="00000000">
            <w:pPr>
              <w:keepNext/>
              <w:spacing w:before="60" w:after="60"/>
              <w:jc w:val="center"/>
              <w:rPr>
                <w:rFonts w:cs="Arial"/>
                <w:b/>
                <w:sz w:val="20"/>
                <w:szCs w:val="20"/>
              </w:rPr>
            </w:pPr>
            <w:r>
              <w:rPr>
                <w:rFonts w:cs="Arial"/>
                <w:b/>
                <w:sz w:val="20"/>
                <w:szCs w:val="20"/>
              </w:rPr>
              <w:t>Unattained High Risk</w:t>
            </w:r>
          </w:p>
          <w:p w14:paraId="6E844C1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468EB72" w14:textId="77777777" w:rsidR="00000000" w:rsidRDefault="00000000">
            <w:pPr>
              <w:keepNext/>
              <w:spacing w:before="60" w:after="60"/>
              <w:jc w:val="center"/>
              <w:rPr>
                <w:rFonts w:cs="Arial"/>
                <w:b/>
                <w:sz w:val="20"/>
                <w:szCs w:val="20"/>
              </w:rPr>
            </w:pPr>
            <w:r>
              <w:rPr>
                <w:rFonts w:cs="Arial"/>
                <w:b/>
                <w:sz w:val="20"/>
                <w:szCs w:val="20"/>
              </w:rPr>
              <w:t>Unattained Critical Risk</w:t>
            </w:r>
          </w:p>
          <w:p w14:paraId="281D5872" w14:textId="77777777" w:rsidR="00000000" w:rsidRDefault="00000000">
            <w:pPr>
              <w:keepNext/>
              <w:spacing w:before="60" w:after="60"/>
              <w:jc w:val="center"/>
              <w:rPr>
                <w:rFonts w:cs="Arial"/>
                <w:b/>
                <w:sz w:val="20"/>
                <w:szCs w:val="20"/>
              </w:rPr>
            </w:pPr>
            <w:r>
              <w:rPr>
                <w:rFonts w:cs="Arial"/>
                <w:b/>
                <w:sz w:val="20"/>
                <w:szCs w:val="20"/>
              </w:rPr>
              <w:t>(UA Critical)</w:t>
            </w:r>
          </w:p>
        </w:tc>
      </w:tr>
      <w:tr w:rsidR="004B376D" w14:paraId="6772E7CE" w14:textId="77777777">
        <w:tc>
          <w:tcPr>
            <w:tcW w:w="1384" w:type="dxa"/>
            <w:vAlign w:val="center"/>
          </w:tcPr>
          <w:p w14:paraId="34843C0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000267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0CFC2F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D76AE7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D0F919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951854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B376D" w14:paraId="0BB214DC" w14:textId="77777777">
        <w:tc>
          <w:tcPr>
            <w:tcW w:w="1384" w:type="dxa"/>
            <w:vAlign w:val="center"/>
          </w:tcPr>
          <w:p w14:paraId="3E33C31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2CF5F5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88918E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E8CDAF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CB8098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B5309F8"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9D7046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8CFC98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672A35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6F1515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4B376D" w14:paraId="5E976D3E" w14:textId="77777777">
        <w:tc>
          <w:tcPr>
            <w:tcW w:w="0" w:type="auto"/>
          </w:tcPr>
          <w:p w14:paraId="52CB5A4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E53AC3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03747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B376D" w14:paraId="7F301AD6" w14:textId="77777777">
        <w:tc>
          <w:tcPr>
            <w:tcW w:w="0" w:type="auto"/>
          </w:tcPr>
          <w:p w14:paraId="7246BA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E7F6E9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9C2A78B" w14:textId="77777777" w:rsidR="00000000" w:rsidRPr="00BE00C7" w:rsidRDefault="00000000" w:rsidP="00BE00C7">
            <w:pPr>
              <w:pStyle w:val="OutcomeDescription"/>
              <w:spacing w:before="120" w:after="120"/>
              <w:rPr>
                <w:rFonts w:cs="Arial"/>
                <w:lang w:eastAsia="en-NZ"/>
              </w:rPr>
            </w:pPr>
          </w:p>
        </w:tc>
        <w:tc>
          <w:tcPr>
            <w:tcW w:w="0" w:type="auto"/>
          </w:tcPr>
          <w:p w14:paraId="5BA24F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D73A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Māori health plan and policy that describes the Māori perspectives of health and a commitment to Te Tiriti o Waitangi. Bainswood on Victoria has established connections with the local Tuahiwi Marae. The care home manager reported during interview that they can access cultural support and guidance from the Māori health unit at Health NZ. There were residents who identified as Māori at the time of the audit. The business plan reviewed evidenced leadership commitment to ensure all aspects of service delivery is culturally safe. </w:t>
            </w:r>
          </w:p>
          <w:p w14:paraId="67EFD3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recruitment policy includes provision of an equitable recruitment process. The care home manager confirmed in interview that the service supports a Māori workforce through an equitable recruitment process. There were staff identifying as Māori at the time of the audit. Staff receive training on Te Tiriti o Waitangi, Māori health policy, tikanga practices and te reo Māori. Self-determination, cultural values and beliefs of Māori residents and family/whānau are documented in the resident care plan. All staff have access to relevant tikanga guidelines. Te reo Māori is encouraged to be used in general conversations. </w:t>
            </w:r>
          </w:p>
          <w:p w14:paraId="7691C0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Interviews with 17 staff including one quality coordinator, two registered nurses (RNs), one enrolled nurse (EN), six caregivers, one activities coordinator, one physio, one physio assistant, one laundry person, two cleaners and one kitchen manager confirmed that mana motuhake is respected and they are well-equipped to deliver equitable services.</w:t>
            </w:r>
          </w:p>
          <w:p w14:paraId="5084514F" w14:textId="77777777" w:rsidR="00000000" w:rsidRPr="00BE00C7" w:rsidRDefault="00000000" w:rsidP="00BE00C7">
            <w:pPr>
              <w:pStyle w:val="OutcomeDescription"/>
              <w:spacing w:before="120" w:after="120"/>
              <w:rPr>
                <w:rFonts w:cs="Arial"/>
                <w:lang w:eastAsia="en-NZ"/>
              </w:rPr>
            </w:pPr>
          </w:p>
        </w:tc>
      </w:tr>
      <w:tr w:rsidR="004B376D" w14:paraId="57541213" w14:textId="77777777">
        <w:tc>
          <w:tcPr>
            <w:tcW w:w="0" w:type="auto"/>
          </w:tcPr>
          <w:p w14:paraId="73828D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279BC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33A17D0" w14:textId="77777777" w:rsidR="00000000" w:rsidRPr="00BE00C7" w:rsidRDefault="00000000" w:rsidP="00BE00C7">
            <w:pPr>
              <w:pStyle w:val="OutcomeDescription"/>
              <w:spacing w:before="120" w:after="120"/>
              <w:rPr>
                <w:rFonts w:cs="Arial"/>
                <w:lang w:eastAsia="en-NZ"/>
              </w:rPr>
            </w:pPr>
          </w:p>
        </w:tc>
        <w:tc>
          <w:tcPr>
            <w:tcW w:w="0" w:type="auto"/>
          </w:tcPr>
          <w:p w14:paraId="26B05C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E527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health plan in place which documents care requirements for Pacific peoples to ensure culturally appropriate services. The plan includes the Fonofale model of care for use with Pacific peoples. At the time of the audit there were no residents who identified as Pasifika. Bainswood on Victoria has established connections with Vaka Tautua Canterbury who provide support and guidance for Pacific peoples. </w:t>
            </w:r>
          </w:p>
          <w:p w14:paraId="30216DFF"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information and Pacific people’s cultural beliefs and practices that may affect the way in which care is delivered is documented on admission to the service. Interviews with the care home manager and staff confirmed that they understood the equity issues faced by Pacific peoples and can access guidance from people within the organisation around appropriate care and service for Pasifika. There are equitable recruitment and education processes to recruit and upskill Pacific staff. There were staff identifying as Pasifika at the time of the audit.</w:t>
            </w:r>
          </w:p>
          <w:p w14:paraId="0D858BE2" w14:textId="77777777" w:rsidR="00000000" w:rsidRPr="00BE00C7" w:rsidRDefault="00000000" w:rsidP="00BE00C7">
            <w:pPr>
              <w:pStyle w:val="OutcomeDescription"/>
              <w:spacing w:before="120" w:after="120"/>
              <w:rPr>
                <w:rFonts w:cs="Arial"/>
                <w:lang w:eastAsia="en-NZ"/>
              </w:rPr>
            </w:pPr>
          </w:p>
        </w:tc>
      </w:tr>
      <w:tr w:rsidR="004B376D" w14:paraId="3B2BB91D" w14:textId="77777777">
        <w:tc>
          <w:tcPr>
            <w:tcW w:w="0" w:type="auto"/>
          </w:tcPr>
          <w:p w14:paraId="4F464C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6FF1A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3B7728D" w14:textId="77777777" w:rsidR="00000000" w:rsidRPr="00BE00C7" w:rsidRDefault="00000000" w:rsidP="00BE00C7">
            <w:pPr>
              <w:pStyle w:val="OutcomeDescription"/>
              <w:spacing w:before="120" w:after="120"/>
              <w:rPr>
                <w:rFonts w:cs="Arial"/>
                <w:lang w:eastAsia="en-NZ"/>
              </w:rPr>
            </w:pPr>
          </w:p>
        </w:tc>
        <w:tc>
          <w:tcPr>
            <w:tcW w:w="0" w:type="auto"/>
          </w:tcPr>
          <w:p w14:paraId="7FB236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F138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on posters and brochures available in te reo Māori on entry to the facility. Brochures on the Code and the Nationwide Health and Disability Advocacy Service are also available. Interviews with five residents (three rest home residents and two hospital) and eight family/whānau (five rest home and three hospital) and staff confirmed that staff are respectful and considerate of residents’ rights in line with the Code. The care home manager confirmed the involvement of independent advocacy when required. Regular resident meetings provide a valuable platform for residents </w:t>
            </w:r>
            <w:r w:rsidRPr="00BE00C7">
              <w:rPr>
                <w:rFonts w:cs="Arial"/>
                <w:lang w:eastAsia="en-NZ"/>
              </w:rPr>
              <w:lastRenderedPageBreak/>
              <w:t xml:space="preserve">to voice their preferences regarding various aspects of the home, including food services and activities. </w:t>
            </w:r>
          </w:p>
          <w:p w14:paraId="2B03E9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meeting minutes evidenced residents' wishes are conveyed to management. Documented evidence shows that the service follows up on raised issues. The service actively supports and encourages family/whānau engagement and welcome visits. Residents and family/whānau interviewed reported being made aware of the Code and the Nationwide Health and Disability Advocacy Service and were provided with opportunities to discuss and clarify their rights. The care home manager affirmed their commitment to respecting and upholding Māori autonomy and mana motuhake which was confirmed by staff interviewed.</w:t>
            </w:r>
          </w:p>
          <w:p w14:paraId="503277D3" w14:textId="77777777" w:rsidR="00000000" w:rsidRPr="00BE00C7" w:rsidRDefault="00000000" w:rsidP="00BE00C7">
            <w:pPr>
              <w:pStyle w:val="OutcomeDescription"/>
              <w:spacing w:before="120" w:after="120"/>
              <w:rPr>
                <w:rFonts w:cs="Arial"/>
                <w:lang w:eastAsia="en-NZ"/>
              </w:rPr>
            </w:pPr>
          </w:p>
        </w:tc>
      </w:tr>
      <w:tr w:rsidR="004B376D" w14:paraId="44E033AC" w14:textId="77777777">
        <w:tc>
          <w:tcPr>
            <w:tcW w:w="0" w:type="auto"/>
          </w:tcPr>
          <w:p w14:paraId="176950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E4B86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277AC44" w14:textId="77777777" w:rsidR="00000000" w:rsidRPr="00BE00C7" w:rsidRDefault="00000000" w:rsidP="00BE00C7">
            <w:pPr>
              <w:pStyle w:val="OutcomeDescription"/>
              <w:spacing w:before="120" w:after="120"/>
              <w:rPr>
                <w:rFonts w:cs="Arial"/>
                <w:lang w:eastAsia="en-NZ"/>
              </w:rPr>
            </w:pPr>
          </w:p>
        </w:tc>
        <w:tc>
          <w:tcPr>
            <w:tcW w:w="0" w:type="auto"/>
          </w:tcPr>
          <w:p w14:paraId="7418A3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3B42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Bainswood on Victoria is inclusive of each resident’s identity, including their values and beliefs, culture, religion, disabilities, gender, sexual orientation, relationship status, and other social identities or characteristic as confirmed in residents and family/whānau interviews. Staff were observed to maintain privacy throughout the audit. All residents have a private room. Care plans included respect for advance directives and personal wishes, as well as efforts to promote independence. 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w:t>
            </w:r>
          </w:p>
          <w:p w14:paraId="2C7DFA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A sexuality and intimacy policy is in place with training part of the education schedule. Staff were observed to use person-centred and respectful language with residents. Spiritual needs are identified, church services are held, and spiritual support is available. The RNs and caregivers interviewed explained how the service meets the residents cultural and spiritual needs. Te reo </w:t>
            </w:r>
            <w:r w:rsidRPr="00BE00C7">
              <w:rPr>
                <w:rFonts w:cs="Arial"/>
                <w:lang w:eastAsia="en-NZ"/>
              </w:rPr>
              <w:lastRenderedPageBreak/>
              <w:t>Māori signage was visible throughout the facility and staff have access to the Māori health plan, which they reference and implement regularly in their daily activities.</w:t>
            </w:r>
          </w:p>
          <w:p w14:paraId="781125B3" w14:textId="77777777" w:rsidR="00000000" w:rsidRPr="00BE00C7" w:rsidRDefault="00000000" w:rsidP="00BE00C7">
            <w:pPr>
              <w:pStyle w:val="OutcomeDescription"/>
              <w:spacing w:before="120" w:after="120"/>
              <w:rPr>
                <w:rFonts w:cs="Arial"/>
                <w:lang w:eastAsia="en-NZ"/>
              </w:rPr>
            </w:pPr>
          </w:p>
        </w:tc>
      </w:tr>
      <w:tr w:rsidR="004B376D" w14:paraId="64176E0E" w14:textId="77777777">
        <w:tc>
          <w:tcPr>
            <w:tcW w:w="0" w:type="auto"/>
          </w:tcPr>
          <w:p w14:paraId="682B19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88B04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8293FB8" w14:textId="77777777" w:rsidR="00000000" w:rsidRPr="00BE00C7" w:rsidRDefault="00000000" w:rsidP="00BE00C7">
            <w:pPr>
              <w:pStyle w:val="OutcomeDescription"/>
              <w:spacing w:before="120" w:after="120"/>
              <w:rPr>
                <w:rFonts w:cs="Arial"/>
                <w:lang w:eastAsia="en-NZ"/>
              </w:rPr>
            </w:pPr>
          </w:p>
        </w:tc>
        <w:tc>
          <w:tcPr>
            <w:tcW w:w="0" w:type="auto"/>
          </w:tcPr>
          <w:p w14:paraId="117E73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2A60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 Staff sign a code of conduct upon commencing employment. Staff demonstrated an understanding of what Te Tiriti o Waitangi means to their practice. Residents interviewed reported that their property is respected, and professional boundaries are consistently maintained. The service follows a process of managing residents’ finances through invoicing. Residents maintain a comfort account to avoid handling cash. </w:t>
            </w:r>
          </w:p>
          <w:p w14:paraId="63B345A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of the code of rights and cultural values were conducted to ensure compliance. The results confirmed that residents' needs are being met, with audit reports showing full compliance in these areas.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is achieved when in care.</w:t>
            </w:r>
          </w:p>
          <w:p w14:paraId="6F85338C" w14:textId="77777777" w:rsidR="00000000" w:rsidRPr="00BE00C7" w:rsidRDefault="00000000" w:rsidP="00BE00C7">
            <w:pPr>
              <w:pStyle w:val="OutcomeDescription"/>
              <w:spacing w:before="120" w:after="120"/>
              <w:rPr>
                <w:rFonts w:cs="Arial"/>
                <w:lang w:eastAsia="en-NZ"/>
              </w:rPr>
            </w:pPr>
          </w:p>
        </w:tc>
      </w:tr>
      <w:tr w:rsidR="004B376D" w14:paraId="0609EA49" w14:textId="77777777">
        <w:tc>
          <w:tcPr>
            <w:tcW w:w="0" w:type="auto"/>
          </w:tcPr>
          <w:p w14:paraId="71E5F4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DCF0A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2AD79FED" w14:textId="77777777" w:rsidR="00000000" w:rsidRPr="00BE00C7" w:rsidRDefault="00000000" w:rsidP="00BE00C7">
            <w:pPr>
              <w:pStyle w:val="OutcomeDescription"/>
              <w:spacing w:before="120" w:after="120"/>
              <w:rPr>
                <w:rFonts w:cs="Arial"/>
                <w:lang w:eastAsia="en-NZ"/>
              </w:rPr>
            </w:pPr>
          </w:p>
        </w:tc>
        <w:tc>
          <w:tcPr>
            <w:tcW w:w="0" w:type="auto"/>
          </w:tcPr>
          <w:p w14:paraId="2D1F0D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6829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family/whānau on admission. Non-subsidised residents` family/whānau are advised in writing of their eligibility and the process to become a subsidised resident should they wish to do so. The family/whānau are informed prior to entry of the scope of services and any items that are not covered by the agreement. Residents and family/whānau interviewed provided </w:t>
            </w:r>
            <w:r w:rsidRPr="00BE00C7">
              <w:rPr>
                <w:rFonts w:cs="Arial"/>
                <w:lang w:eastAsia="en-NZ"/>
              </w:rPr>
              <w:lastRenderedPageBreak/>
              <w:t xml:space="preserve">positive feedback, noting that communication is open and effective, and they felt listened to. The review of adverse event forms confirmed that family/whānau were notified of any events or incidents. The contact details for family/whānau and the Enduring Power of Attorney (EPOA) were kept current with a secondary contact noted when the EPOA was unavailable. </w:t>
            </w:r>
          </w:p>
          <w:p w14:paraId="060FF2FA"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(GP) interview confirmed timely communication and appropriate follow ups. A review of the residents' meeting minutes confirmed that residents can raise issues with staff and management. These concerns are followed up, and any issues are addressed promptly. Information is provided to residents and family/ whānau on admission. The clinical manager described an implemented process around providing residents and family/whānau with time for discussion around care, time to consider decisions, and opportunity for further discussion, if required. The delivery of care includes a multidisciplinary team and family/whānau are communicated to with regard to services involved. Bainswood on Victoria has access to interpreter services and cultural advisors/advocates when required. At the time of the audit all residents could speak and understand English.</w:t>
            </w:r>
          </w:p>
          <w:p w14:paraId="2CE91CFD" w14:textId="77777777" w:rsidR="00000000" w:rsidRPr="00BE00C7" w:rsidRDefault="00000000" w:rsidP="00BE00C7">
            <w:pPr>
              <w:pStyle w:val="OutcomeDescription"/>
              <w:spacing w:before="120" w:after="120"/>
              <w:rPr>
                <w:rFonts w:cs="Arial"/>
                <w:lang w:eastAsia="en-NZ"/>
              </w:rPr>
            </w:pPr>
          </w:p>
        </w:tc>
      </w:tr>
      <w:tr w:rsidR="004B376D" w14:paraId="2244DFC6" w14:textId="77777777">
        <w:tc>
          <w:tcPr>
            <w:tcW w:w="0" w:type="auto"/>
          </w:tcPr>
          <w:p w14:paraId="456D93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7CE58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22A0B8C" w14:textId="77777777" w:rsidR="00000000" w:rsidRPr="00BE00C7" w:rsidRDefault="00000000" w:rsidP="00BE00C7">
            <w:pPr>
              <w:pStyle w:val="OutcomeDescription"/>
              <w:spacing w:before="120" w:after="120"/>
              <w:rPr>
                <w:rFonts w:cs="Arial"/>
                <w:lang w:eastAsia="en-NZ"/>
              </w:rPr>
            </w:pPr>
          </w:p>
        </w:tc>
        <w:tc>
          <w:tcPr>
            <w:tcW w:w="0" w:type="auto"/>
          </w:tcPr>
          <w:p w14:paraId="0209E0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F6D5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regarding informed consent. Eight resident files reviewed included informed consent forms (for outings, training/students involvement, photography, advocacy, transfer, off site medical visits , tagging of electrical equipment, valuables and personal belongings) signed by the residents` enduring powers of attorney (EPOA) or welfare guardians. Family/whānau and residents interviewed could describe what informed consent was and their rights around choice. In the files reviewed, there were appropriately signed resuscitation plans and advance directives in place. The service follows relevant best practice tikanga guidelines, welcoming the involvement of residents and family/whānau in decision-making. Discussions with family/whānau and EPOAs confirmed that they are involved in the decision-making process and in the planning of care. Admission agreements had been signed and sighted for all the files seen. Copies of enduring power of attorneys (EPOAs) or welfare </w:t>
            </w:r>
            <w:r w:rsidRPr="00BE00C7">
              <w:rPr>
                <w:rFonts w:cs="Arial"/>
                <w:lang w:eastAsia="en-NZ"/>
              </w:rPr>
              <w:lastRenderedPageBreak/>
              <w:t xml:space="preserve">guardianship were in resident files. Where EPOAs are activated, a medical letter of incapacity is on file. </w:t>
            </w:r>
          </w:p>
          <w:p w14:paraId="4B6CA6B9" w14:textId="77777777" w:rsidR="00000000" w:rsidRPr="00BE00C7" w:rsidRDefault="00000000" w:rsidP="00BE00C7">
            <w:pPr>
              <w:pStyle w:val="OutcomeDescription"/>
              <w:spacing w:before="120" w:after="120"/>
              <w:rPr>
                <w:rFonts w:cs="Arial"/>
                <w:lang w:eastAsia="en-NZ"/>
              </w:rPr>
            </w:pPr>
          </w:p>
        </w:tc>
      </w:tr>
      <w:tr w:rsidR="004B376D" w14:paraId="2C3F2A69" w14:textId="77777777">
        <w:tc>
          <w:tcPr>
            <w:tcW w:w="0" w:type="auto"/>
          </w:tcPr>
          <w:p w14:paraId="47497D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95613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629AD64" w14:textId="77777777" w:rsidR="00000000" w:rsidRPr="00BE00C7" w:rsidRDefault="00000000" w:rsidP="00BE00C7">
            <w:pPr>
              <w:pStyle w:val="OutcomeDescription"/>
              <w:spacing w:before="120" w:after="120"/>
              <w:rPr>
                <w:rFonts w:cs="Arial"/>
                <w:lang w:eastAsia="en-NZ"/>
              </w:rPr>
            </w:pPr>
          </w:p>
        </w:tc>
        <w:tc>
          <w:tcPr>
            <w:tcW w:w="0" w:type="auto"/>
          </w:tcPr>
          <w:p w14:paraId="27ED90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C2AB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interviewed has a good understanding of including residents and family/whānau in decision making and maintains a complaints file containing all appropriate documentation. There have been three complaints made since the last audit, all in 2023. One of the complaints was made through HDC and has been closed off in October 2023 (letter sighted) and one complaint made through the Nationwide Health &amp; Disability Advocacy Service was closed off in June 2023 (letter sighted). There is a process in place to manage complaints in accordance with the guidelines set by the Health and Disability Commissioner (HDC). </w:t>
            </w:r>
          </w:p>
          <w:p w14:paraId="4A41FF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welcome pack includes information on the process for making a complaint. Interviews with residents and family/whānau confirmed they have been provided with information on the complaints process. Complaint forms are easily accessible at the entrance to the facility. The complaints process is equitable for Māori. The care home manager is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w:t>
            </w:r>
          </w:p>
          <w:p w14:paraId="60FEDBB2" w14:textId="77777777" w:rsidR="00000000" w:rsidRPr="00BE00C7" w:rsidRDefault="00000000" w:rsidP="00BE00C7">
            <w:pPr>
              <w:pStyle w:val="OutcomeDescription"/>
              <w:spacing w:before="120" w:after="120"/>
              <w:rPr>
                <w:rFonts w:cs="Arial"/>
                <w:lang w:eastAsia="en-NZ"/>
              </w:rPr>
            </w:pPr>
          </w:p>
        </w:tc>
      </w:tr>
      <w:tr w:rsidR="004B376D" w14:paraId="3104D184" w14:textId="77777777">
        <w:tc>
          <w:tcPr>
            <w:tcW w:w="0" w:type="auto"/>
          </w:tcPr>
          <w:p w14:paraId="0E4AC3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53913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59B3D7B1" w14:textId="77777777" w:rsidR="00000000" w:rsidRPr="00BE00C7" w:rsidRDefault="00000000" w:rsidP="00BE00C7">
            <w:pPr>
              <w:pStyle w:val="OutcomeDescription"/>
              <w:spacing w:before="120" w:after="120"/>
              <w:rPr>
                <w:rFonts w:cs="Arial"/>
                <w:lang w:eastAsia="en-NZ"/>
              </w:rPr>
            </w:pPr>
          </w:p>
        </w:tc>
        <w:tc>
          <w:tcPr>
            <w:tcW w:w="0" w:type="auto"/>
          </w:tcPr>
          <w:p w14:paraId="63667B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AE8453" w14:textId="77777777" w:rsidR="00000000" w:rsidRPr="00BE00C7" w:rsidRDefault="00000000" w:rsidP="00BE00C7">
            <w:pPr>
              <w:pStyle w:val="OutcomeDescription"/>
              <w:spacing w:before="120" w:after="120"/>
              <w:rPr>
                <w:rFonts w:cs="Arial"/>
                <w:lang w:eastAsia="en-NZ"/>
              </w:rPr>
            </w:pPr>
            <w:r w:rsidRPr="00BE00C7">
              <w:rPr>
                <w:rFonts w:cs="Arial"/>
                <w:lang w:eastAsia="en-NZ"/>
              </w:rPr>
              <w:t>Bainswood on Victoria is one of four local aged care facilities in Rangiora owned by Rangiora Lifecare Limited. Bainswood on Victoria provides hospital (geriatric and medical) and rest home level of care for up to 58 residents. There were 55 residents at the time of the audit, including 23 rest home residents and 32 hospital level residents. All of the 58 beds are dual purpose. All residents were on the aged residential care (ARRC) agreement. There was one double room which was being used as single occupancy and no shared rooms.</w:t>
            </w:r>
          </w:p>
          <w:p w14:paraId="5B175C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is governed by a board of six directors, with the executive director providing the board with regular operational reports. The directors have extensive experience across multiple fields including aged care, retirement village, health, property, technology and business ownership. The operational report provided to the board includes health and safety, staffing, infection, ethnicity data, quality trends and analysis and restraint minimisation. The board is advised by their clinical and quality consultant (and act as cultural  advisor and also chair of the board). A business plan (2025-2027) has been developed that includes a mission, vision and values. The business plan describes annual objectives that support outcomes to achieve equity for Māori and addressing barriers for Māori. </w:t>
            </w:r>
          </w:p>
          <w:p w14:paraId="2A553589"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within the documented quality programme and staff training. The service has iwi affiliations and links with the local Tuahiwi Marae. There is collaboration with mana whenua in business planning and service development that support outcomes to achieve equity for Māori. Tāngata whaikaha have meaningful representation through monthly resident meetings and annual satisfaction surveys. The care home manager reviews the results and feedback to identify barriers to care to improve outcomes for all residents. The care home manager is knowledgeable around contractual and legislative requirements and has completed cultural awareness training. The board of directors have also completed cultural awareness training.</w:t>
            </w:r>
          </w:p>
          <w:p w14:paraId="21F394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meets regularly with the executive director to discuss day-to-day operational activities and reporting on the quality and risk management programme, including meetings; training; health and safety; infection prevention and control; staffing; internal audits; complaints (if any); cultural safety and satisfaction survey results. Auditors observed the care home manager and clinical manager actively interacting with residents and family/whānau, demonstrating their thorough understanding of the daily operations of the service. There is a monthly group leadership and risk management meeting, which includes the clinical managers from the four facilities and executive director when available. The clinical advisory group oversee the clinical governance for the group </w:t>
            </w:r>
            <w:r w:rsidRPr="00BE00C7">
              <w:rPr>
                <w:rFonts w:cs="Arial"/>
                <w:lang w:eastAsia="en-NZ"/>
              </w:rPr>
              <w:lastRenderedPageBreak/>
              <w:t xml:space="preserve">across their four aged care facilities. The clinical and quality consultant attend the bimonthly meeting if available. </w:t>
            </w:r>
          </w:p>
          <w:p w14:paraId="188745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(non-clinical) has been in the role for three and a half years and is an experienced manager in aged care. The care home manager oversees the day-to-day operations of the facility and is supported by an experienced clinical manager has been in the role for six years, a quality coordinator and an experienced team of RNs and caregivers. The care home manager and clinical manager have completed at least eight hours of professional development activities related to managing an aged care facility. Training completed includes New Zealand Aged Care Association (NZACA) manager forums and other external training days.</w:t>
            </w:r>
          </w:p>
          <w:p w14:paraId="187A9077" w14:textId="77777777" w:rsidR="00000000" w:rsidRPr="00BE00C7" w:rsidRDefault="00000000" w:rsidP="00BE00C7">
            <w:pPr>
              <w:pStyle w:val="OutcomeDescription"/>
              <w:spacing w:before="120" w:after="120"/>
              <w:rPr>
                <w:rFonts w:cs="Arial"/>
                <w:lang w:eastAsia="en-NZ"/>
              </w:rPr>
            </w:pPr>
          </w:p>
        </w:tc>
      </w:tr>
      <w:tr w:rsidR="004B376D" w14:paraId="17936615" w14:textId="77777777">
        <w:tc>
          <w:tcPr>
            <w:tcW w:w="0" w:type="auto"/>
          </w:tcPr>
          <w:p w14:paraId="20E675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4439E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123CBAB" w14:textId="77777777" w:rsidR="00000000" w:rsidRPr="00BE00C7" w:rsidRDefault="00000000" w:rsidP="00BE00C7">
            <w:pPr>
              <w:pStyle w:val="OutcomeDescription"/>
              <w:spacing w:before="120" w:after="120"/>
              <w:rPr>
                <w:rFonts w:cs="Arial"/>
                <w:lang w:eastAsia="en-NZ"/>
              </w:rPr>
            </w:pPr>
          </w:p>
        </w:tc>
        <w:tc>
          <w:tcPr>
            <w:tcW w:w="0" w:type="auto"/>
          </w:tcPr>
          <w:p w14:paraId="05494A0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7AA69A0" w14:textId="77777777" w:rsidR="00000000" w:rsidRPr="00BE00C7" w:rsidRDefault="00000000" w:rsidP="00BE00C7">
            <w:pPr>
              <w:pStyle w:val="OutcomeDescription"/>
              <w:spacing w:before="120" w:after="120"/>
              <w:rPr>
                <w:rFonts w:cs="Arial"/>
                <w:lang w:eastAsia="en-NZ"/>
              </w:rPr>
            </w:pPr>
            <w:r w:rsidRPr="00BE00C7">
              <w:rPr>
                <w:rFonts w:cs="Arial"/>
                <w:lang w:eastAsia="en-NZ"/>
              </w:rPr>
              <w:t>Bainswood on Victoria is implementing a quality and risk management programme that includes performance monitoring through internal audits, meetings and the collection of clinical indicator data. There is an annual internal audit schedule in place; however, the schedule has not been fully implemented and although the correction action requests (CAR) were identified they have not been fully imbedded in practice. A meeting schedule is implemented and evidence staff participation in the quality programme. Quality data on infections, restraint use or lack of it, incidents, and wounds is collected, analysed, and reviewed at the monthly quality/health and safety meeting, RN/clinical meeting and staff meetings. Correction action requests from meetings were not consistently followed up and or dated when completed.</w:t>
            </w:r>
          </w:p>
          <w:p w14:paraId="0FA312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satisfaction surveys are conducted annually with the 2024 results indicating an overall satisfactory level of the service provided in most areas. Corrective actions have been completed around the food service, car parking, laundry service and resident hospital admission notification to family/whānau. </w:t>
            </w:r>
          </w:p>
          <w:p w14:paraId="7E1B60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current and reflect good practice being embedded throughout service delivery and maintained in electronic format. Staff have confirmed they can access policies as needed. </w:t>
            </w:r>
            <w:r w:rsidRPr="00BE00C7">
              <w:rPr>
                <w:rFonts w:cs="Arial"/>
                <w:lang w:eastAsia="en-NZ"/>
              </w:rPr>
              <w:lastRenderedPageBreak/>
              <w:t xml:space="preserve">Cultural safety is reflected within the quality programme with collation of ethnicity data related to adverse events and infections. The process provide for critical analysis of organisational practices to improve health equity. Staff undergo comprehensive cultural training on Te Tiriti o Waitangi, tikanga Māori, and health equity and are well-equipped to deliver high-quality healthcare for Māori. </w:t>
            </w:r>
          </w:p>
          <w:p w14:paraId="7B52E9DD"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incident/accident is documented in the resident management system. Twenty adverse event forms were reviewed and indicated the forms are completed in full and signed off by a RN or clinical manager. Incident and accident data is collated monthly and reported in the monthly meetings. Each event involving a resident, reflected a clinical assessment and a timely follow-up by a RN. Opportunities to minimise future risks are identified by the clinical manager and RN. Quality/health and safety meetings occur monthly. There are health and safety representatives that monitor hazards and risks. Hazards are documented and addressed. Staff receive education related to hazard management and health and safety at orientation and annually. The hazard and risk register was reviewed in July 2024. The bi-monthly leadership and risk management (combined group) meetings evidence leadership commitment to health and safety and staff wellbeing.</w:t>
            </w:r>
          </w:p>
          <w:p w14:paraId="36E2C6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care home manager and clinical manager evidenced their awareness of the requirement to notify relevant authorities in relation to essential notifications. There have been six incidents requiring Section 31 notifications to be submitted since the last audit. One report has been notified to the Health Safety and Quality Commission as required. There was one norovirus outbreak was notified in a timely manner. </w:t>
            </w:r>
          </w:p>
          <w:p w14:paraId="34F0DE78" w14:textId="77777777" w:rsidR="00000000" w:rsidRPr="00BE00C7" w:rsidRDefault="00000000" w:rsidP="00BE00C7">
            <w:pPr>
              <w:pStyle w:val="OutcomeDescription"/>
              <w:spacing w:before="120" w:after="120"/>
              <w:rPr>
                <w:rFonts w:cs="Arial"/>
                <w:lang w:eastAsia="en-NZ"/>
              </w:rPr>
            </w:pPr>
          </w:p>
        </w:tc>
      </w:tr>
      <w:tr w:rsidR="004B376D" w14:paraId="050931B1" w14:textId="77777777">
        <w:tc>
          <w:tcPr>
            <w:tcW w:w="0" w:type="auto"/>
          </w:tcPr>
          <w:p w14:paraId="0CBFE7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92E87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490512FB" w14:textId="77777777" w:rsidR="00000000" w:rsidRPr="00BE00C7" w:rsidRDefault="00000000" w:rsidP="00BE00C7">
            <w:pPr>
              <w:pStyle w:val="OutcomeDescription"/>
              <w:spacing w:before="120" w:after="120"/>
              <w:rPr>
                <w:rFonts w:cs="Arial"/>
                <w:lang w:eastAsia="en-NZ"/>
              </w:rPr>
            </w:pPr>
          </w:p>
        </w:tc>
        <w:tc>
          <w:tcPr>
            <w:tcW w:w="0" w:type="auto"/>
          </w:tcPr>
          <w:p w14:paraId="62B5F9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2442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The care home manager and clinical manager both work fulltime from Monday to Friday. Staff interviewed reported adequate staffing and appropriate support from the clinical manager and RNs. Residents and family/whānau interviewed and residents meeting minutes </w:t>
            </w:r>
            <w:r w:rsidRPr="00BE00C7">
              <w:rPr>
                <w:rFonts w:cs="Arial"/>
                <w:lang w:eastAsia="en-NZ"/>
              </w:rPr>
              <w:lastRenderedPageBreak/>
              <w:t xml:space="preserve">reviewed did not raise staffing issues and confirmed that staff are attentive to resident’s needs. There is at least one RN on duty 24/7. </w:t>
            </w:r>
          </w:p>
          <w:p w14:paraId="5C155A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and non-clinical rosters reviewed evidence staff are replaced in the event of any absences. Staff reported absences are covered by a casual pool. Nursing agency staff have not been used. A sufficient number of caregivers are allocated according to the layout and design of the facility to ensure residents needs are met. The clinical manager provides an on-call service for any clinical issues with support from the RNs. The care home manager is available for any operational related matters after hours. A selection of caregivers are medication competent and assist with certain delegated tasks to support RNs in their clinical decision making. </w:t>
            </w:r>
          </w:p>
          <w:p w14:paraId="3A2D0B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total of 73 staff in various roles. There are 44 caregivers employed in total. Bainswood on Victoria supports all employees to transition through the New Zealand Qualification Authority (NZQA) certificate for health and wellbeing. Thirty-one caregivers have achieved either a level three or level four NZQA qualification. There is an annual education and training schedule in place covers all mandatory training. Staff reported they are provided with training on an either online platform or formal face to face in-service training. Staff undergo training on Te Tiriti o Waitangi, tikanga Māori, and health equity from a Māori perspective, which builds their knowledge and awareness of the importance of addressing accessibility barriers. </w:t>
            </w:r>
          </w:p>
          <w:p w14:paraId="6D1C38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training and cultural connections ensure that all staff are well-equipped to deliver high-quality healthcare for Māori. Staff training records showed that they completed the required training and staff interviewed were knowledgeable around these subjects. All staff are required to complete competency assessments as part of their orientation and include hand hygiene, use of personal protective equipment (PPE), manual handling and restraint. Staff who administer medication complete annual medicine competency and a record of completion is maintained. There are eleven RNs and one enrolled nurse (EN) with nine RNs having completed interRAI training. Registered nurses complete syringe driver training and palliative care training. Staff reported a positive work environment, </w:t>
            </w:r>
            <w:r w:rsidRPr="00BE00C7">
              <w:rPr>
                <w:rFonts w:cs="Arial"/>
                <w:lang w:eastAsia="en-NZ"/>
              </w:rPr>
              <w:lastRenderedPageBreak/>
              <w:t>and an employee assistance programme is available to them, when required.</w:t>
            </w:r>
          </w:p>
          <w:p w14:paraId="6EBDDE61" w14:textId="77777777" w:rsidR="00000000" w:rsidRPr="00BE00C7" w:rsidRDefault="00000000" w:rsidP="00BE00C7">
            <w:pPr>
              <w:pStyle w:val="OutcomeDescription"/>
              <w:spacing w:before="120" w:after="120"/>
              <w:rPr>
                <w:rFonts w:cs="Arial"/>
                <w:lang w:eastAsia="en-NZ"/>
              </w:rPr>
            </w:pPr>
          </w:p>
        </w:tc>
      </w:tr>
      <w:tr w:rsidR="004B376D" w14:paraId="1A5AF73E" w14:textId="77777777">
        <w:tc>
          <w:tcPr>
            <w:tcW w:w="0" w:type="auto"/>
          </w:tcPr>
          <w:p w14:paraId="4CC40F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8A382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3C640C8" w14:textId="77777777" w:rsidR="00000000" w:rsidRPr="00BE00C7" w:rsidRDefault="00000000" w:rsidP="00BE00C7">
            <w:pPr>
              <w:pStyle w:val="OutcomeDescription"/>
              <w:spacing w:before="120" w:after="120"/>
              <w:rPr>
                <w:rFonts w:cs="Arial"/>
                <w:lang w:eastAsia="en-NZ"/>
              </w:rPr>
            </w:pPr>
          </w:p>
        </w:tc>
        <w:tc>
          <w:tcPr>
            <w:tcW w:w="0" w:type="auto"/>
          </w:tcPr>
          <w:p w14:paraId="77B00E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1E8B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Ten staff files including one clinical manager, one RN, five caregivers, one activities coordinator, one housekeeper/cleaner and one kitchen manager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The service has a role-specific orientation programme in place that provides new staff with relevant information for safe work practice. </w:t>
            </w:r>
          </w:p>
          <w:p w14:paraId="06CE41E6" w14:textId="77777777" w:rsidR="00000000" w:rsidRPr="00BE00C7" w:rsidRDefault="00000000"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Bainswood on Victoria demonstrated that the orientation programme supports RNs, caregivers, cleaning, and laundry staff to provide a culturally safe environment to Māori. Staff performances are scheduled and completed as they become due as sighted in nine of staff files, the other staff member has been employed for less than a year. All staff files were kept secure and confidential. Staff ethnicity data is collected and recorded. Staff interviews indicate that staff feel supported in their roles and feel comfortable discussing any issues with the clinical manager or care home manager. The clinical manager reported that debrief and discussion occur following any incidents.</w:t>
            </w:r>
          </w:p>
          <w:p w14:paraId="31C2D465" w14:textId="77777777" w:rsidR="00000000" w:rsidRPr="00BE00C7" w:rsidRDefault="00000000" w:rsidP="00BE00C7">
            <w:pPr>
              <w:pStyle w:val="OutcomeDescription"/>
              <w:spacing w:before="120" w:after="120"/>
              <w:rPr>
                <w:rFonts w:cs="Arial"/>
                <w:lang w:eastAsia="en-NZ"/>
              </w:rPr>
            </w:pPr>
          </w:p>
        </w:tc>
      </w:tr>
      <w:tr w:rsidR="004B376D" w14:paraId="48F96E2C" w14:textId="77777777">
        <w:tc>
          <w:tcPr>
            <w:tcW w:w="0" w:type="auto"/>
          </w:tcPr>
          <w:p w14:paraId="2ECBC3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5A0915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297FA51D" w14:textId="77777777" w:rsidR="00000000" w:rsidRPr="00BE00C7" w:rsidRDefault="00000000" w:rsidP="00BE00C7">
            <w:pPr>
              <w:pStyle w:val="OutcomeDescription"/>
              <w:spacing w:before="120" w:after="120"/>
              <w:rPr>
                <w:rFonts w:cs="Arial"/>
                <w:lang w:eastAsia="en-NZ"/>
              </w:rPr>
            </w:pPr>
          </w:p>
        </w:tc>
        <w:tc>
          <w:tcPr>
            <w:tcW w:w="0" w:type="auto"/>
          </w:tcPr>
          <w:p w14:paraId="20EE23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E6EA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stored electronically. There is a resident management system and a medication management system that are secure and require user identification and passwords to access. The resident files are appropriate to the service type and demonstrated service integration. Records are uniquely identifiable, legible, and timely. Signatures that are documented include the name and designation </w:t>
            </w:r>
            <w:r w:rsidRPr="00BE00C7">
              <w:rPr>
                <w:rFonts w:cs="Arial"/>
                <w:lang w:eastAsia="en-NZ"/>
              </w:rPr>
              <w:lastRenderedPageBreak/>
              <w:t>of the service provider. Residents and staff archived files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37BF8260" w14:textId="77777777" w:rsidR="00000000" w:rsidRPr="00BE00C7" w:rsidRDefault="00000000" w:rsidP="00BE00C7">
            <w:pPr>
              <w:pStyle w:val="OutcomeDescription"/>
              <w:spacing w:before="120" w:after="120"/>
              <w:rPr>
                <w:rFonts w:cs="Arial"/>
                <w:lang w:eastAsia="en-NZ"/>
              </w:rPr>
            </w:pPr>
          </w:p>
        </w:tc>
      </w:tr>
      <w:tr w:rsidR="004B376D" w14:paraId="6F6F0E31" w14:textId="77777777">
        <w:tc>
          <w:tcPr>
            <w:tcW w:w="0" w:type="auto"/>
          </w:tcPr>
          <w:p w14:paraId="24046A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885B6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CA4CE10" w14:textId="77777777" w:rsidR="00000000" w:rsidRPr="00BE00C7" w:rsidRDefault="00000000" w:rsidP="00BE00C7">
            <w:pPr>
              <w:pStyle w:val="OutcomeDescription"/>
              <w:spacing w:before="120" w:after="120"/>
              <w:rPr>
                <w:rFonts w:cs="Arial"/>
                <w:lang w:eastAsia="en-NZ"/>
              </w:rPr>
            </w:pPr>
          </w:p>
        </w:tc>
        <w:tc>
          <w:tcPr>
            <w:tcW w:w="0" w:type="auto"/>
          </w:tcPr>
          <w:p w14:paraId="7981F3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5575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services, accommodation options and costs are outlined in an information pack and on the website. Prior to entry, prospective residents and their family/whānau are invited to meet staff and view the facility. Policies and procedures guide staff in entry criteria and required admission documentation. Residents and family/whānau interviewed confirmed they were given accurate information about the service, and they felt welcome. </w:t>
            </w:r>
          </w:p>
          <w:p w14:paraId="2E79BE83"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team (NASC) prior to entry. Residents and family/whānau confirmed staff are respectful and communicate well with them.</w:t>
            </w:r>
          </w:p>
          <w:p w14:paraId="0F8E6230" w14:textId="77777777" w:rsidR="00000000" w:rsidRPr="00BE00C7" w:rsidRDefault="00000000" w:rsidP="00BE00C7">
            <w:pPr>
              <w:pStyle w:val="OutcomeDescription"/>
              <w:spacing w:before="120" w:after="120"/>
              <w:rPr>
                <w:rFonts w:cs="Arial"/>
                <w:lang w:eastAsia="en-NZ"/>
              </w:rPr>
            </w:pPr>
            <w:r w:rsidRPr="00BE00C7">
              <w:rPr>
                <w:rFonts w:cs="Arial"/>
                <w:lang w:eastAsia="en-NZ"/>
              </w:rPr>
              <w:t>Entry would only be declined if a prospective resident does not meet the entry criteria. In this case, they are informed and referred to NASC. Data is collated on the numbers of declined entries and this data includes ethnicity.</w:t>
            </w:r>
          </w:p>
          <w:p w14:paraId="645980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links with local iwi through their cultural advisor and local marae , staff are trained in cultural safety, tikanga and consulting residents and family/whānau in any decision making. </w:t>
            </w:r>
          </w:p>
          <w:p w14:paraId="58A5E5D5" w14:textId="77777777" w:rsidR="00000000" w:rsidRPr="00BE00C7" w:rsidRDefault="00000000" w:rsidP="00BE00C7">
            <w:pPr>
              <w:pStyle w:val="OutcomeDescription"/>
              <w:spacing w:before="120" w:after="120"/>
              <w:rPr>
                <w:rFonts w:cs="Arial"/>
                <w:lang w:eastAsia="en-NZ"/>
              </w:rPr>
            </w:pPr>
          </w:p>
        </w:tc>
      </w:tr>
      <w:tr w:rsidR="004B376D" w14:paraId="5E597D1F" w14:textId="77777777">
        <w:tc>
          <w:tcPr>
            <w:tcW w:w="0" w:type="auto"/>
          </w:tcPr>
          <w:p w14:paraId="12806A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38794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6345CB52" w14:textId="77777777" w:rsidR="00000000" w:rsidRPr="00BE00C7" w:rsidRDefault="00000000" w:rsidP="00BE00C7">
            <w:pPr>
              <w:pStyle w:val="OutcomeDescription"/>
              <w:spacing w:before="120" w:after="120"/>
              <w:rPr>
                <w:rFonts w:cs="Arial"/>
                <w:lang w:eastAsia="en-NZ"/>
              </w:rPr>
            </w:pPr>
          </w:p>
        </w:tc>
        <w:tc>
          <w:tcPr>
            <w:tcW w:w="0" w:type="auto"/>
          </w:tcPr>
          <w:p w14:paraId="0795E4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C6349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Eight resident files were reviewed (four rest home and four hospital). An initial assessment is undertaken by a RN on admission and an initial care plan is developed on the same day or within 24 hours of admission. The initial assessment is documented in the electronic system and includes the use of validated assessment tools. InterRAI </w:t>
            </w:r>
            <w:r w:rsidRPr="00BE00C7">
              <w:rPr>
                <w:rFonts w:cs="Arial"/>
                <w:lang w:eastAsia="en-NZ"/>
              </w:rPr>
              <w:lastRenderedPageBreak/>
              <w:t>assessments are completed for all long-term residents within 21 days of admission and occurs six monthly. The triggers, scores and outcomes of the identified risks are used to develop the long-term care plan; however, not all the triggers, identified risks and early warning signs were identified in all the care plans. Therefore, not all the interventions were sufficiently and in detail documented to guide staff in the care needs of the residents.</w:t>
            </w:r>
          </w:p>
          <w:p w14:paraId="280073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developed with input from residents, family/whānau, caregivers, RNs/EN and activities coordinators and had been completed within the required timeframes. There were residents who identified as Māori at the time of the audit. The Māori health plan and wellbeing assessments reviewed, support Kaupapa Māori perspectives to permeate the assessment process. The Māori health care plan in place reflects the partnership and support of residents, family/whānau, and the extended whānau as applicable. Residents and family/ whānau identify their own pae ora outcomes to support care and wellbeing. Tikanga principles were included within the Māori health care plan. </w:t>
            </w:r>
          </w:p>
          <w:p w14:paraId="346A55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advocates for residents with disabilities to access relevant disability services. Contact details for family/whānau are recorded on the electronic system. Family/whānau and EPOA interviews and resident records evidenced that family are informed where there is a change in health status.</w:t>
            </w:r>
          </w:p>
          <w:p w14:paraId="6E539D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are fully integrated with all members of the team contributing to progress notes, including physiotherapists, RNs/EN, caregivers, nurse practitioner, podiatrist, and activities coordinators. </w:t>
            </w:r>
          </w:p>
          <w:p w14:paraId="18C4C0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practitioner (NP) assesses residents within five days of admission. Residents are then reviewed by the NP on a three-monthly routine basis or more frequently if their condition changes. The NP interviewed stated that they are informed of concerns in a timely manner. The facility has access to afterhours support from the NP practice and a paramedic service. A physiotherapist is available four hours per week. Residents are timely referred to speech and language therapists (SLT), dietitian services, diabetic nurse  and physiotherapy services. Their instructions were documented, and </w:t>
            </w:r>
            <w:r w:rsidRPr="00BE00C7">
              <w:rPr>
                <w:rFonts w:cs="Arial"/>
                <w:lang w:eastAsia="en-NZ"/>
              </w:rPr>
              <w:lastRenderedPageBreak/>
              <w:t>progress notes evidence instructions were implemented; however not all instructions were integrated as part of the care plan.</w:t>
            </w:r>
          </w:p>
          <w:p w14:paraId="4F067D5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 Progress notes are documented daily, and RN reviews are completed weekly or when residents’ health needs change; the progress notes were comprehensive and reflect a true care  journey of the resident.</w:t>
            </w:r>
          </w:p>
          <w:p w14:paraId="47044F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Neurological observations are recorded following all un-witnessed falls. Monitoring of care is completed as required and stated in the care plans and include (but not limited to) intentional rounding, repositioning, behaviour monitoring, regular toileting, blood sugar monitoring and food and fluid management. </w:t>
            </w:r>
          </w:p>
          <w:p w14:paraId="0B7AE33C"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11 wounds managed including three pressure injuries (two stage two pressure injuries and one stage four pressure injury). The wounds were reviewed and had a comprehensive wound assessment, wound management plans and documented evaluations including photographs to show healing progression. The wound care specialist is involved in the treatment of the stage four pressure injury. The caregivers and RNs interviewed confirmed there are adequate clinical supplies and equipment provided, including continence, wound care supplies and pressure injury prevention resources.</w:t>
            </w:r>
          </w:p>
          <w:p w14:paraId="046C27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Multidisciplinary reviews occur six-monthly. This includes input from the RNs, caregivers, family/whānau, activities coordinator, NP, physiotherapist and physiotherapy assistant. The care plan is reviewed six monthly after the interRAI reassessment to ensure the goals are being met and if there are new goals identified. Care plans are evaluated where residents health needs change; however, interventions are identified in the evaluation section but not in the body of the care plan. Where short-term acute issues are identified </w:t>
            </w:r>
            <w:r w:rsidRPr="00BE00C7">
              <w:rPr>
                <w:rFonts w:cs="Arial"/>
                <w:lang w:eastAsia="en-NZ"/>
              </w:rPr>
              <w:lastRenderedPageBreak/>
              <w:t>such as wounds or infections, a short-term care plan is developed, implemented and sign off when resolved.</w:t>
            </w:r>
          </w:p>
          <w:p w14:paraId="62A13ACC" w14:textId="77777777" w:rsidR="00000000" w:rsidRPr="00BE00C7" w:rsidRDefault="00000000" w:rsidP="00445527">
            <w:pPr>
              <w:pStyle w:val="OutcomeDescription"/>
              <w:spacing w:before="120" w:after="120"/>
              <w:rPr>
                <w:rFonts w:cs="Arial"/>
                <w:lang w:eastAsia="en-NZ"/>
              </w:rPr>
            </w:pPr>
          </w:p>
        </w:tc>
      </w:tr>
      <w:tr w:rsidR="004B376D" w14:paraId="6033E715" w14:textId="77777777">
        <w:tc>
          <w:tcPr>
            <w:tcW w:w="0" w:type="auto"/>
          </w:tcPr>
          <w:p w14:paraId="2A2206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65B4A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754171E" w14:textId="77777777" w:rsidR="00000000" w:rsidRPr="00BE00C7" w:rsidRDefault="00000000" w:rsidP="00BE00C7">
            <w:pPr>
              <w:pStyle w:val="OutcomeDescription"/>
              <w:spacing w:before="120" w:after="120"/>
              <w:rPr>
                <w:rFonts w:cs="Arial"/>
                <w:lang w:eastAsia="en-NZ"/>
              </w:rPr>
            </w:pPr>
          </w:p>
        </w:tc>
        <w:tc>
          <w:tcPr>
            <w:tcW w:w="0" w:type="auto"/>
          </w:tcPr>
          <w:p w14:paraId="6007A6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7C02DF" w14:textId="77777777" w:rsidR="00000000" w:rsidRPr="00BE00C7" w:rsidRDefault="00000000" w:rsidP="00BE00C7">
            <w:pPr>
              <w:pStyle w:val="OutcomeDescription"/>
              <w:spacing w:before="120" w:after="120"/>
              <w:rPr>
                <w:rFonts w:cs="Arial"/>
                <w:lang w:eastAsia="en-NZ"/>
              </w:rPr>
            </w:pPr>
            <w:r w:rsidRPr="00BE00C7">
              <w:rPr>
                <w:rFonts w:cs="Arial"/>
                <w:lang w:eastAsia="en-NZ"/>
              </w:rPr>
              <w:t>Two full-time activities coordinators and oversee the implementation of the activities programme. The weekly activities programme is implemented from Monday to Saturday  to 4.30pm with a minimum of two activities coordinators on each day. The activities programme reviewed provide for a range of activities that are suitable for residents` choice and preferences. The activities promote optimum quality of life through the provision of activities that meet the cognitive, physical, intellectual, and emotional needs of the residents.</w:t>
            </w:r>
          </w:p>
          <w:p w14:paraId="5086ED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activity team members have first aid certificates. The programme is planned monthly and includes themed cultural events, including those associated with residents and staff. The activities programme is available throughout the facility on noticeboards and big print, within the communal areas and hand delivered to specific residents’ bedrooms. </w:t>
            </w:r>
          </w:p>
          <w:p w14:paraId="63456163"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an initial profile, and an activities assessment completed within a few days of admission. The cultural, social, spiritual, and diversional therapy section of the long-term care plan is completed within three weeks of admission and reviewed at least six-monthly at the same time the long-term care plan is reviewed. The activities coordinators document in the participation of residents in a participation register that is also used to measure individual activities goals. The resident’s past hobbies, present interests, likes and dislikes, career, and family/whānau connections are used to develop the diversional/social care plan. Activities coordinators are further responsible for relaying relevant information to the RNs and clinical manager regarding the individual social interaction patterns and changing needs or preferences for inclusion in care plans.</w:t>
            </w:r>
          </w:p>
          <w:p w14:paraId="77B5F9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access to cultural advisor and kaumatua at the local marae and have resources available to support culturally appropriate services where relevant to individual residents. The principles of Te Tiriti o Waitangi reflect in the implementation of the activities </w:t>
            </w:r>
            <w:r w:rsidRPr="00BE00C7">
              <w:rPr>
                <w:rFonts w:cs="Arial"/>
                <w:lang w:eastAsia="en-NZ"/>
              </w:rPr>
              <w:lastRenderedPageBreak/>
              <w:t xml:space="preserve">programme; there is celebration of te ao Māori events such as Waitangi Day, Matariki and Te Wiki o Te Reo Māori. Te Reo Māori is encouraged among staff and residents. </w:t>
            </w:r>
          </w:p>
          <w:p w14:paraId="1B3E9602"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Community visitors include entertainers and church services. There are weekly van outings and scenic drives. Those residents who prefer to stay in their room or cannot participate in group activities have one-on-one visits and activities such as manicures, hand massage, setting up technology-based systems such as audio books and movies, and walking around the garden. Residents are encouraged to join in activities that are appropriate and meaningful. Group activities are held in the main lounges and include bowls; news and discussion sessions; baking; bingo; exercises; walking groups; reminiscing; crafts; games; quizzes; entertainers; exercise sessions, hand pampering and physical games. Residents` participation is recorded in a participation register and used to monitor the effectiveness of the activity programme.</w:t>
            </w:r>
          </w:p>
          <w:p w14:paraId="4B0D89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monthly residents` meetings. Family/whānau are invited to attend these. Residents and family/ whānau are also provided the opportunity to give feedback on activities at the six-monthly care plan review meetings. Residents and family/whānau interviewed stated the activity programme is meaningful and engaging.</w:t>
            </w:r>
          </w:p>
          <w:p w14:paraId="61644EE7" w14:textId="77777777" w:rsidR="00000000" w:rsidRPr="00BE00C7" w:rsidRDefault="00000000" w:rsidP="00BE00C7">
            <w:pPr>
              <w:pStyle w:val="OutcomeDescription"/>
              <w:spacing w:before="120" w:after="120"/>
              <w:rPr>
                <w:rFonts w:cs="Arial"/>
                <w:lang w:eastAsia="en-NZ"/>
              </w:rPr>
            </w:pPr>
          </w:p>
        </w:tc>
      </w:tr>
      <w:tr w:rsidR="004B376D" w14:paraId="43CDE933" w14:textId="77777777">
        <w:tc>
          <w:tcPr>
            <w:tcW w:w="0" w:type="auto"/>
          </w:tcPr>
          <w:p w14:paraId="4234F17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41F23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997B4ED" w14:textId="77777777" w:rsidR="00000000" w:rsidRPr="00BE00C7" w:rsidRDefault="00000000" w:rsidP="00BE00C7">
            <w:pPr>
              <w:pStyle w:val="OutcomeDescription"/>
              <w:spacing w:before="120" w:after="120"/>
              <w:rPr>
                <w:rFonts w:cs="Arial"/>
                <w:lang w:eastAsia="en-NZ"/>
              </w:rPr>
            </w:pPr>
          </w:p>
        </w:tc>
        <w:tc>
          <w:tcPr>
            <w:tcW w:w="0" w:type="auto"/>
          </w:tcPr>
          <w:p w14:paraId="0C04B2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4C3F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medication management policies to guide safe medication administration and meets legislative requirements. All staff who administer medications are assessed for competency on an annual basis. Education around safe medication administration has been provided. Staff were observed to be safely administering medications. </w:t>
            </w:r>
          </w:p>
          <w:p w14:paraId="273F74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enrolled nurse and caregivers interviewed could describe their role regarding medication administration. Bainswood on Victoria Care uses blister packs for all medications, which are checked against the electronic administration system by the RNs/EN, and any discrepancies are fed back to the supplying pharmacy. </w:t>
            </w:r>
          </w:p>
          <w:p w14:paraId="48613C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Medications are stored securely in a secure medication room. Medication trolleys are always locked when not in use. The medication fridges and medication room temperatures are monitored daily. All temperature records reviewed showed that the temperatures are within acceptable ranges. All medications, including stock medications, are checked monthly. All eyedrops have been dated on opening and discarded as per the manufacturer’s instructions. All over-the-counter vitamins, supplements or alternative therapies residents choose to use are required to be prescribed by the NP and charted on the medication chart. The six-monthly controlled drug physical check and reconciliation has been completed as per required timeframes.</w:t>
            </w:r>
          </w:p>
          <w:p w14:paraId="55544319" w14:textId="77777777" w:rsidR="00000000" w:rsidRPr="00BE00C7" w:rsidRDefault="00000000" w:rsidP="00BE00C7">
            <w:pPr>
              <w:pStyle w:val="OutcomeDescription"/>
              <w:spacing w:before="120" w:after="120"/>
              <w:rPr>
                <w:rFonts w:cs="Arial"/>
                <w:lang w:eastAsia="en-NZ"/>
              </w:rPr>
            </w:pPr>
            <w:r w:rsidRPr="00BE00C7">
              <w:rPr>
                <w:rFonts w:cs="Arial"/>
                <w:lang w:eastAsia="en-NZ"/>
              </w:rPr>
              <w:t>Sixteen electronic medication charts were reviewed. The medication charts reviewed confirmed the NP reviews all resident medication charts three-monthly and each chart has photo identification and allergy status identified. Four residents were assessed as competent to self-administer their medications (creams and inhaler). The policy guidelines related to residents who administer their own medication have been implemented and include three monthly assessments, secure storage and care plan requirements.</w:t>
            </w:r>
          </w:p>
          <w:p w14:paraId="1C9EF5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required, medications are administered as prescribed. Medication-competent caregivers or the RN/EN sign when the medication has been administered. There are no vaccines kept on site, and no standing orders are in use. Family/whānau are updated around medication changes, including the reason for changing medications and side effects. This is documented in the progress notes. </w:t>
            </w:r>
          </w:p>
          <w:p w14:paraId="192D59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provide support all residents and family/whānau to access medication through a pharmacy agreement. Residents (where able) and their family/whānau are supported to understand their medications when required. The RNs/EN interviewed described processes for working in partnership with Māori residents and family/whānau to ensure the appropriate support is in place, advice is timely, easily accessed, and treatment is prioritised to achieve better health outcomes.</w:t>
            </w:r>
          </w:p>
          <w:p w14:paraId="7BCEB3A0" w14:textId="77777777" w:rsidR="00000000" w:rsidRPr="00BE00C7" w:rsidRDefault="00000000" w:rsidP="00BE00C7">
            <w:pPr>
              <w:pStyle w:val="OutcomeDescription"/>
              <w:spacing w:before="120" w:after="120"/>
              <w:rPr>
                <w:rFonts w:cs="Arial"/>
                <w:lang w:eastAsia="en-NZ"/>
              </w:rPr>
            </w:pPr>
          </w:p>
        </w:tc>
      </w:tr>
      <w:tr w:rsidR="004B376D" w14:paraId="02E774CD" w14:textId="77777777">
        <w:tc>
          <w:tcPr>
            <w:tcW w:w="0" w:type="auto"/>
          </w:tcPr>
          <w:p w14:paraId="4D782E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6AC4A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AC26AD7" w14:textId="77777777" w:rsidR="00000000" w:rsidRPr="00BE00C7" w:rsidRDefault="00000000" w:rsidP="00BE00C7">
            <w:pPr>
              <w:pStyle w:val="OutcomeDescription"/>
              <w:spacing w:before="120" w:after="120"/>
              <w:rPr>
                <w:rFonts w:cs="Arial"/>
                <w:lang w:eastAsia="en-NZ"/>
              </w:rPr>
            </w:pPr>
          </w:p>
        </w:tc>
        <w:tc>
          <w:tcPr>
            <w:tcW w:w="0" w:type="auto"/>
          </w:tcPr>
          <w:p w14:paraId="3F899B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258F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moved away from their contracted meal service since the last audit. All meals are prepared and cooked on-site. The kitchen was observed to be clean, well-organised, and well-equipped and a current approved food control plan was evidenced, expiring on 14 May 2026. All aspects of the food control plan is implemented and monitored on an electronic platform.</w:t>
            </w:r>
          </w:p>
          <w:p w14:paraId="44F5FA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Dry ingredients were decanted into containers for ease of access. The four-weekly seasonal menu has been reviewed by a dietitian (28 October 2024). The kitchen manager is supported by a weekend cook and kitchen assistants in the morning and afternoon. </w:t>
            </w:r>
          </w:p>
          <w:p w14:paraId="2B9C74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kitchen manager receives resident dietary information from the RNs/EN and is notified of any changes to dietary requirements (lactose-free, pureed foods) or residents with weight loss. Alternative meals are offered for those residents with dislikes or religious and cultural preferences. On the day of the audit, the meals were observed to be well-presented. Residents have access to nutritious snacks. The kitchen manager interviewed understand tikanga guidelines in terms of everyday practice. Tikanga guidelines are available to staff. Tapu and noa and their relevance to the kitchen services were included in kitchen staff orientation. </w:t>
            </w:r>
          </w:p>
          <w:p w14:paraId="2C231C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completes a daily diary, which includes fridge and freezer temperature recordings. Food temperatures are checked at different stages of the preparation process. These are all within safe limits. Staff were observed wearing correct personal protective clothing in the kitchen. Cleaning schedules are maintained. </w:t>
            </w:r>
          </w:p>
          <w:p w14:paraId="5A008F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directly served from the kitchen to residents in the adjacent dining room in Victoria wing and transported in a hotbox and served in satellite kitchen in Ivory wing. Residents were observed enjoying their meals. Staff were observed assisting residents with meals in the dining areas and modified utensils are available for residents to maintain independence with eating as required. The dining experience was observed to be calm and relaxing with no distracting background noise. Food service staff have all completed food safety and hygiene courses. </w:t>
            </w:r>
          </w:p>
          <w:p w14:paraId="628A6A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family/whānau interviewed were complimentary regarding the food service, the variety and the choice of meals provided. They can offer feedback anytime or at the six-monthly care plan review meetings and through resident surveys.</w:t>
            </w:r>
          </w:p>
          <w:p w14:paraId="732F9156" w14:textId="77777777" w:rsidR="00000000" w:rsidRPr="00BE00C7" w:rsidRDefault="00000000" w:rsidP="00BE00C7">
            <w:pPr>
              <w:pStyle w:val="OutcomeDescription"/>
              <w:spacing w:before="120" w:after="120"/>
              <w:rPr>
                <w:rFonts w:cs="Arial"/>
                <w:lang w:eastAsia="en-NZ"/>
              </w:rPr>
            </w:pPr>
          </w:p>
        </w:tc>
      </w:tr>
      <w:tr w:rsidR="004B376D" w14:paraId="747DD0A9" w14:textId="77777777">
        <w:tc>
          <w:tcPr>
            <w:tcW w:w="0" w:type="auto"/>
          </w:tcPr>
          <w:p w14:paraId="047886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EDE3E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F0F6DC8" w14:textId="77777777" w:rsidR="00000000" w:rsidRPr="00BE00C7" w:rsidRDefault="00000000" w:rsidP="00BE00C7">
            <w:pPr>
              <w:pStyle w:val="OutcomeDescription"/>
              <w:spacing w:before="120" w:after="120"/>
              <w:rPr>
                <w:rFonts w:cs="Arial"/>
                <w:lang w:eastAsia="en-NZ"/>
              </w:rPr>
            </w:pPr>
          </w:p>
        </w:tc>
        <w:tc>
          <w:tcPr>
            <w:tcW w:w="0" w:type="auto"/>
          </w:tcPr>
          <w:p w14:paraId="1DF367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D02FF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 and transfer are planned processes that are communicated with residents and their family/whānau. The facility uses the Health New Zealand yellow envelope transfer documentation system.</w:t>
            </w:r>
          </w:p>
          <w:p w14:paraId="56CC51B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advised of options to access other health and disability services, social support or Kaupapa Māori agencies if indicated or requested. When residents are transferred to the public hospital, their family/whānau is informed. The NP makes the referral to the hospital. Relevant documentation is sent with the resident, including a printout of their current medications, care needs and a copy of EPOA documents.</w:t>
            </w:r>
          </w:p>
          <w:p w14:paraId="7767F4E1"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and their  family/whānau wish for a resident to be seen or need to be seen by another health service, they are advised of their options to access other health and disability services, social support or Kaupapa Māori agencies. Examples of this were sighted in resident files, including referrals to a dietitian, wound nurse specialist, diabetic nurse specialist and NASC for change in level of care. Residents attending external appointments are encouraged to be accompanied by their family/whānau. Any risks are communicated to the external health provider by the RNs/EN and documented in the file.</w:t>
            </w:r>
          </w:p>
          <w:p w14:paraId="6A2A514C" w14:textId="77777777" w:rsidR="00000000" w:rsidRPr="00BE00C7" w:rsidRDefault="00000000" w:rsidP="00BE00C7">
            <w:pPr>
              <w:pStyle w:val="OutcomeDescription"/>
              <w:spacing w:before="120" w:after="120"/>
              <w:rPr>
                <w:rFonts w:cs="Arial"/>
                <w:lang w:eastAsia="en-NZ"/>
              </w:rPr>
            </w:pPr>
          </w:p>
        </w:tc>
      </w:tr>
      <w:tr w:rsidR="004B376D" w14:paraId="6B97DA63" w14:textId="77777777">
        <w:tc>
          <w:tcPr>
            <w:tcW w:w="0" w:type="auto"/>
          </w:tcPr>
          <w:p w14:paraId="19BACD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E6A3C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C9C2F42" w14:textId="77777777" w:rsidR="00000000" w:rsidRPr="00BE00C7" w:rsidRDefault="00000000" w:rsidP="00BE00C7">
            <w:pPr>
              <w:pStyle w:val="OutcomeDescription"/>
              <w:spacing w:before="120" w:after="120"/>
              <w:rPr>
                <w:rFonts w:cs="Arial"/>
                <w:lang w:eastAsia="en-NZ"/>
              </w:rPr>
            </w:pPr>
          </w:p>
        </w:tc>
        <w:tc>
          <w:tcPr>
            <w:tcW w:w="0" w:type="auto"/>
          </w:tcPr>
          <w:p w14:paraId="4ECDC9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C27F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on 19 February 2026. A maintenance manager (was not able to be interviewed) works full time to maintain the building and grounds. The maintenance manager addresses day to day repairs and completes planned maintenance. There is a maintenance request </w:t>
            </w:r>
            <w:r w:rsidRPr="00BE00C7">
              <w:rPr>
                <w:rFonts w:cs="Arial"/>
                <w:lang w:eastAsia="en-NZ"/>
              </w:rPr>
              <w:lastRenderedPageBreak/>
              <w:t>book for repairs and requests in the staff room. This is checked daily and signed off when repairs have been completed. There is an annual maintenance plan that includes electrical testing and tagging that had been completed within the last 12 months. Resident equipment checks, call bell checks, and monthly testing of hot water temperatures occurs. The hot water temperature records reviewed evidenced acceptable temperatures. Essential contractors/ tradespeople are available 24 hours a day as required. The calibration of medical equipment has occurred as planned (it was last completed in September 2024). The environment is inclusive of peoples’ cultures and supports cultural practices.</w:t>
            </w:r>
          </w:p>
          <w:p w14:paraId="5D93249F" w14:textId="59672950"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wings: Victoria wing and Ivory wing. There is a double room suitable for a couple and a new added room in Ivory wing. (The managers stated that room 14 in Ivory wing was always certified as a double room suitable for a couple; however, the auditors could not find evidence in previous reports of reference to a double room). This room was again verified as suitable for a couple. </w:t>
            </w:r>
          </w:p>
          <w:p w14:paraId="70F0CBA3"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additional room has been added to Ivory wing increasing the room numbers from 27 to 28. (A lounge has been refurbished to provide for one extra room and a whānau room). The new room in Ivory wing (room 22b) has been verified as suitable for single use. The result of the adding of the new room will increase the bed numbers to 58. There is a nurses station in each wing that provides for easy oversight.</w:t>
            </w:r>
          </w:p>
          <w:p w14:paraId="60C13149"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wing has easy access from their communal areas to separate spacious external courtyards and gardens. There is outdoor furniture and shade available.</w:t>
            </w:r>
          </w:p>
          <w:p w14:paraId="6E8CAE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physical environment supports the independence of the residents. The facility has corridors with handrails for residents to safely mobilise using mobility aids, manoeuvring of hoists and power chairs. Residents were observed moving freely around the areas with mobility aids where required. The staff interviewed stated there was sufficient equipment to safely carry out the resident cares, as documented in care plans. The facility’s furnishings, floorings and equipment are designed to minimise harm to residents. Residents rooms are single occupancy (except one suitable for a couple) with a mix of ensuites and other shared a sufficient number of communal </w:t>
            </w:r>
            <w:r w:rsidRPr="00BE00C7">
              <w:rPr>
                <w:rFonts w:cs="Arial"/>
                <w:lang w:eastAsia="en-NZ"/>
              </w:rPr>
              <w:lastRenderedPageBreak/>
              <w:t xml:space="preserve">showers and toilets. Toilets, bathrooms and bedrooms are easy identifiable. </w:t>
            </w:r>
          </w:p>
          <w:p w14:paraId="26014E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large open-plan lounge and dining area in each wing. The corridors, communal areas, resident rooms, bathrooms, ensuites, toilets and service areas have appropriate flooring. There are adequate storage areas for linen and equipment. All resident rooms are spacious enough to allow residents to move about with mobility aids and allows for the use of a hoist in an event of a fall or for general transfer. Residents and family/whānau are encouraged to personalise resident rooms, as viewed at the time of the audit. All caregivers interviewed confirmed that privacy is maintained while attending to personal hygiene cares.</w:t>
            </w:r>
          </w:p>
          <w:p w14:paraId="1B380F0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rooms and communal areas are equipped with centralised heating that can be individually controlled within the room. The temperatures can be adjusted according to individual preferences. All resident rooms have external windows and are well-ventilated. A number of rooms have direct access to the outdoors through a ranch slider. The facility has plenty of natural light. All residents and family/ whānau interviewed stated they were happy with the temperature of the facility. Furniture is arranged to create a homely and welcoming environment. There are plenty of quiet spaces and alcoves throughout the building.</w:t>
            </w:r>
          </w:p>
          <w:p w14:paraId="50A50D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separate toilet facilities for staff and visitors. Privacy locks are on the residents’ shared showers and communal and visitor toilets. All ensuite and communal toilets have paper towels and flowing soap available.</w:t>
            </w:r>
          </w:p>
          <w:p w14:paraId="670E78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lounges, and residents are able to use alternative communal areas if they did not wish to participate in the group activities being held in the main lounges. There is an additional small lounge in each wing and a whānau room available for residents and family/whānau. </w:t>
            </w:r>
          </w:p>
          <w:p w14:paraId="313BB9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reported that there is no immediate planned development for the building; however, the latest refurbishments ensured that the clinical and quality consultant (acts as cultural advisor and also chair of the board) was consulted to ensure that the aspirations and identity of Māori would be reflected. </w:t>
            </w:r>
          </w:p>
          <w:p w14:paraId="5B3A6DEC" w14:textId="77777777" w:rsidR="00000000" w:rsidRPr="00BE00C7" w:rsidRDefault="00000000" w:rsidP="00BE00C7">
            <w:pPr>
              <w:pStyle w:val="OutcomeDescription"/>
              <w:spacing w:before="120" w:after="120"/>
              <w:rPr>
                <w:rFonts w:cs="Arial"/>
                <w:lang w:eastAsia="en-NZ"/>
              </w:rPr>
            </w:pPr>
          </w:p>
        </w:tc>
      </w:tr>
      <w:tr w:rsidR="004B376D" w14:paraId="2153000F" w14:textId="77777777">
        <w:tc>
          <w:tcPr>
            <w:tcW w:w="0" w:type="auto"/>
          </w:tcPr>
          <w:p w14:paraId="3BA1F8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FB907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85010E8" w14:textId="77777777" w:rsidR="00000000" w:rsidRPr="00BE00C7" w:rsidRDefault="00000000" w:rsidP="00BE00C7">
            <w:pPr>
              <w:pStyle w:val="OutcomeDescription"/>
              <w:spacing w:before="120" w:after="120"/>
              <w:rPr>
                <w:rFonts w:cs="Arial"/>
                <w:lang w:eastAsia="en-NZ"/>
              </w:rPr>
            </w:pPr>
          </w:p>
        </w:tc>
        <w:tc>
          <w:tcPr>
            <w:tcW w:w="0" w:type="auto"/>
          </w:tcPr>
          <w:p w14:paraId="02A55A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9E8E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24 March 2005). Fire evacuation drills are held six-monthly (last 21 March 2025). </w:t>
            </w:r>
          </w:p>
          <w:p w14:paraId="09BC02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a central cupboard and are checked three-monthly. In the event of a power outage, emergency lighting provides sufficient lighting until the provider can connect the arranged generator (note that this facility is registered as a priority one in their provider agreement with their supplier). Water is heated by gas and the laundry service is run on a mix of power and gas. A gas barbeque and gas hob in the kitchen is available for cooking. There is an adequate food supply available for each resident for a minimum of three days. The provider has plenty of water supplies (1500 litres) to provide residents and staff with three litres per day for a minimum of three days. Emergency management is included in staff orientation and is included in the ongoing education plan. Emergency response flip charts are readily available at each nurse’s station and in various other areas. A minimum of one person, trained in first aid is always available. </w:t>
            </w:r>
          </w:p>
          <w:p w14:paraId="0CAD7D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ensuites, communal toilets, and lounge/dining room areas. Call bells are tested monthly, and the last call bell audit showed full compliance as part of the maintenance audit. Family/whānau know the process of alerting staff when in need of access to the facility after hours. There is a visitor policy and guidelines available to ensure resident safety and well-being are not compromised by visitors to the service. Staff are identifiable.</w:t>
            </w:r>
          </w:p>
          <w:p w14:paraId="76ACC8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secured at night with the doors closing at predetermined times. There are sufficient lighting outside. All doors leading to the outdoors are closed and locked during night. There are closed circuit cameras in corridors and both entrances. </w:t>
            </w:r>
            <w:r w:rsidRPr="00BE00C7">
              <w:rPr>
                <w:rFonts w:cs="Arial"/>
                <w:lang w:eastAsia="en-NZ"/>
              </w:rPr>
              <w:lastRenderedPageBreak/>
              <w:t>Residents and family/whānau are informed of emergency procedures as part of the admission process. On interview, staff confirmed an awareness of the process to follow should an emergency event occur.</w:t>
            </w:r>
          </w:p>
          <w:p w14:paraId="5DA1C016" w14:textId="77777777" w:rsidR="00000000" w:rsidRPr="00BE00C7" w:rsidRDefault="00000000" w:rsidP="00BE00C7">
            <w:pPr>
              <w:pStyle w:val="OutcomeDescription"/>
              <w:spacing w:before="120" w:after="120"/>
              <w:rPr>
                <w:rFonts w:cs="Arial"/>
                <w:lang w:eastAsia="en-NZ"/>
              </w:rPr>
            </w:pPr>
          </w:p>
        </w:tc>
      </w:tr>
      <w:tr w:rsidR="004B376D" w14:paraId="51982DF7" w14:textId="77777777">
        <w:tc>
          <w:tcPr>
            <w:tcW w:w="0" w:type="auto"/>
          </w:tcPr>
          <w:p w14:paraId="083600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AC907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D3EC7BB" w14:textId="77777777" w:rsidR="00000000" w:rsidRPr="00BE00C7" w:rsidRDefault="00000000" w:rsidP="00BE00C7">
            <w:pPr>
              <w:pStyle w:val="OutcomeDescription"/>
              <w:spacing w:before="120" w:after="120"/>
              <w:rPr>
                <w:rFonts w:cs="Arial"/>
                <w:lang w:eastAsia="en-NZ"/>
              </w:rPr>
            </w:pPr>
          </w:p>
        </w:tc>
        <w:tc>
          <w:tcPr>
            <w:tcW w:w="0" w:type="auto"/>
          </w:tcPr>
          <w:p w14:paraId="5C8117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78A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(AMS) programmes are appropriate to the service's size and complexity. The management team and clinical advisory group approved these programmes, which are linked to the quality improvement system, and are reviewed and reported on yearly. Expertise and advice are sought following a defined process and include expert advice from Health New Zealand, the external contractor (policy writer) and the consultant quality coordinator. A documented pathway supports reporting progress, issues, and/or significant events to management and the clinical advisory group. Significant events are managed using a stepwise approach to manage risks. The service benchmarks their infection control data against other aged care facilities to monitor their own performance.</w:t>
            </w:r>
          </w:p>
          <w:p w14:paraId="31B0401C" w14:textId="77777777" w:rsidR="00000000" w:rsidRPr="00BE00C7" w:rsidRDefault="00000000" w:rsidP="00BE00C7">
            <w:pPr>
              <w:pStyle w:val="OutcomeDescription"/>
              <w:spacing w:before="120" w:after="120"/>
              <w:rPr>
                <w:rFonts w:cs="Arial"/>
                <w:lang w:eastAsia="en-NZ"/>
              </w:rPr>
            </w:pPr>
          </w:p>
        </w:tc>
      </w:tr>
      <w:tr w:rsidR="004B376D" w14:paraId="1952BA90" w14:textId="77777777">
        <w:tc>
          <w:tcPr>
            <w:tcW w:w="0" w:type="auto"/>
          </w:tcPr>
          <w:p w14:paraId="562834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F7794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9786E5A" w14:textId="77777777" w:rsidR="00000000" w:rsidRPr="00BE00C7" w:rsidRDefault="00000000" w:rsidP="00BE00C7">
            <w:pPr>
              <w:pStyle w:val="OutcomeDescription"/>
              <w:spacing w:before="120" w:after="120"/>
              <w:rPr>
                <w:rFonts w:cs="Arial"/>
                <w:lang w:eastAsia="en-NZ"/>
              </w:rPr>
            </w:pPr>
          </w:p>
        </w:tc>
        <w:tc>
          <w:tcPr>
            <w:tcW w:w="0" w:type="auto"/>
          </w:tcPr>
          <w:p w14:paraId="6C2E37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07BA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and clinical advisory group approved the Infection Prevention and Control (IPC) and AMS programme, which is linked to the quality improvement system and reflect the organisation's strategic direction. The programme is reviewed and reported on annually. The CM is the infection control coordinator (ICC), and the position description for ICC is well-defined and in place. The ICC has input when infection control policies and procedures are reviewed. There is a documented mechanism for accessing appropriate multidisciplinary IP expertise and advice when needed. Everyone is a part of Infection Control Team including registered nurses, enrolled nurse, housekeepers, caregivers meets monthly as part of the quality and staff meeting.</w:t>
            </w:r>
          </w:p>
          <w:p w14:paraId="7782E6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and outbreak plan and guidelines to manage and prevent infection exposure. Infection prevention and control training is provided to staff, residents, and visitors. Adequate supplies of personal protective equipment (PPE) and hand sanitisers </w:t>
            </w:r>
            <w:r w:rsidRPr="00BE00C7">
              <w:rPr>
                <w:rFonts w:cs="Arial"/>
                <w:lang w:eastAsia="en-NZ"/>
              </w:rPr>
              <w:lastRenderedPageBreak/>
              <w:t xml:space="preserve">were in stock. Hand hygiene audits were completed as per schedule. Staff are advised not to attend work if they are unwell or self-isolate and get tested if they have been in contact with a person who has tested positive for Covid-19. Information and resources to support staff in managing Covid-19 and other outbreaks were regularly updated and tested. </w:t>
            </w:r>
          </w:p>
          <w:p w14:paraId="73D858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to the staff. The care delivery, cleaning, laundry services, and food management processes were observed. Staff were observed following organisational policies, such as appropriate use of hand sanitisers, good hand hygiene techniques, and the use of disposable aprons and gloves. Staff demonstrated knowledge of the requirements of standard precautions and were able to locate policies and procedures.</w:t>
            </w:r>
          </w:p>
          <w:p w14:paraId="4DC28F4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training on infection prevention and control is routinely provided during orientation and annual in-service education. The training includes hand hygiene procedures, donning and doffing protective equipment, and regular outbreak response updates. Records of staff education were maintained. The ICC has completed various infection prevention and control training online.</w:t>
            </w:r>
          </w:p>
          <w:p w14:paraId="3BFF3F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ICC reported they work in consultation with Health New Zealand infection control specialists in procurement processes for equipment, devices, and consumables. The CM, enrolled nurse and registered nurses reported that there were processes in place for early consultation with the infection prevention personnel in case of any new building or when significant changes are proposed to an existing facility. In an interview, the CM, and the nursing team reported that single-use medical devices are not reused at the service. Shared equipment is appropriately cleaned between use. The service have completed cleaning and environmental audits to safely assess and evidence that these procedures are carried out according to the Outbreak Management, Isolation or Segregation Policy. </w:t>
            </w:r>
          </w:p>
          <w:p w14:paraId="4A3E9C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printed infection prevention educational resources in te reo Māori. The infection prevention coordinator works in partnership with Māori and their cultural advisor for the protection of </w:t>
            </w:r>
            <w:r w:rsidRPr="00BE00C7">
              <w:rPr>
                <w:rFonts w:cs="Arial"/>
                <w:lang w:eastAsia="en-NZ"/>
              </w:rPr>
              <w:lastRenderedPageBreak/>
              <w:t>culturally safe practices in infection prevention, acknowledging the spirit of Te Tiriti. In interviews, staff understood these requirements.</w:t>
            </w:r>
          </w:p>
          <w:p w14:paraId="5F13E55B" w14:textId="77777777" w:rsidR="00000000" w:rsidRPr="00BE00C7" w:rsidRDefault="00000000" w:rsidP="00BE00C7">
            <w:pPr>
              <w:pStyle w:val="OutcomeDescription"/>
              <w:spacing w:before="120" w:after="120"/>
              <w:rPr>
                <w:rFonts w:cs="Arial"/>
                <w:lang w:eastAsia="en-NZ"/>
              </w:rPr>
            </w:pPr>
          </w:p>
        </w:tc>
      </w:tr>
      <w:tr w:rsidR="004B376D" w14:paraId="47BB9347" w14:textId="77777777">
        <w:tc>
          <w:tcPr>
            <w:tcW w:w="0" w:type="auto"/>
          </w:tcPr>
          <w:p w14:paraId="15CBEC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B37CB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699435C" w14:textId="77777777" w:rsidR="00000000" w:rsidRPr="00BE00C7" w:rsidRDefault="00000000" w:rsidP="00BE00C7">
            <w:pPr>
              <w:pStyle w:val="OutcomeDescription"/>
              <w:spacing w:before="120" w:after="120"/>
              <w:rPr>
                <w:rFonts w:cs="Arial"/>
                <w:lang w:eastAsia="en-NZ"/>
              </w:rPr>
            </w:pPr>
          </w:p>
        </w:tc>
        <w:tc>
          <w:tcPr>
            <w:tcW w:w="0" w:type="auto"/>
          </w:tcPr>
          <w:p w14:paraId="30B9FE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7206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The AMS programme is approved by management and is appropriate for the size, scope and complexity of the service. The service monitors compliance of antibiotic and antimicrobial use through evaluation and monitoring of medication prescribing charts and medical notes. Antibiotic use and prescribing follow the New Zealand antimicrobial stewardship guidelines. Infection rates are monitored monthly, reported in a monthly quality report, and presented at clinical advisory group meetings. The annual infection control and AMS review and the infection control audit include antibiotic usage, monitoring the quantity of antimicrobials prescribed, effectiveness, isolated pathogens, and adverse effects. Any areas for improvement are identified and reported on.</w:t>
            </w:r>
          </w:p>
          <w:p w14:paraId="3361BDD0" w14:textId="77777777" w:rsidR="00000000" w:rsidRPr="00BE00C7" w:rsidRDefault="00000000" w:rsidP="00BE00C7">
            <w:pPr>
              <w:pStyle w:val="OutcomeDescription"/>
              <w:spacing w:before="120" w:after="120"/>
              <w:rPr>
                <w:rFonts w:cs="Arial"/>
                <w:lang w:eastAsia="en-NZ"/>
              </w:rPr>
            </w:pPr>
          </w:p>
        </w:tc>
      </w:tr>
      <w:tr w:rsidR="004B376D" w14:paraId="5FCB1A00" w14:textId="77777777">
        <w:tc>
          <w:tcPr>
            <w:tcW w:w="0" w:type="auto"/>
          </w:tcPr>
          <w:p w14:paraId="020DE5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A39CA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613B236" w14:textId="77777777" w:rsidR="00000000" w:rsidRPr="00BE00C7" w:rsidRDefault="00000000" w:rsidP="00BE00C7">
            <w:pPr>
              <w:pStyle w:val="OutcomeDescription"/>
              <w:spacing w:before="120" w:after="120"/>
              <w:rPr>
                <w:rFonts w:cs="Arial"/>
                <w:lang w:eastAsia="en-NZ"/>
              </w:rPr>
            </w:pPr>
          </w:p>
        </w:tc>
        <w:tc>
          <w:tcPr>
            <w:tcW w:w="0" w:type="auto"/>
          </w:tcPr>
          <w:p w14:paraId="7CA8AD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09EA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in the electronic record management system, and action plans are implemented. The HAIs being monitored included infections of the skin, soft tissue eyes, and respiratory tract. Surveillance tools are used to collect infection data, and standardised surveillance definitions are used.</w:t>
            </w:r>
          </w:p>
          <w:p w14:paraId="0D7704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audits were completed, related to cleaning, laundry, use of personal protective equipment (PPE), and hand hygiene. Relevant corrective actions were implemented where required. </w:t>
            </w:r>
          </w:p>
          <w:p w14:paraId="2A03CC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they are informed of infection rates and regular audit outcomes at staff and quality meetings, and these were sighted in meeting minutes. Records of monthly data sighted confirmed infections are documented, comparison occurs with the previous month, a reason for increase or decrease, and action advised. Any </w:t>
            </w:r>
            <w:r w:rsidRPr="00BE00C7">
              <w:rPr>
                <w:rFonts w:cs="Arial"/>
                <w:lang w:eastAsia="en-NZ"/>
              </w:rPr>
              <w:lastRenderedPageBreak/>
              <w:t>new infections are discussed during shift handovers for the implementation of early interventions. There is an electronic dashboard that provides real time benchmarking. All infection data is reported monthly through various meetings and bimonthly to the clinical advisory group meetings.</w:t>
            </w:r>
          </w:p>
          <w:p w14:paraId="6ED7F86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residents and family/whānau.</w:t>
            </w:r>
          </w:p>
          <w:p w14:paraId="6E6277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a norovirus outbreak reported in January 2024 since the previous audit. The outbreak was managed in accordance with the pandemic plan, with appropriate notifications completed. Visitors are requested not to visit when unwell. There is flowing hand soap, hand sanitiser and paper towels located at point of care.</w:t>
            </w:r>
          </w:p>
          <w:p w14:paraId="528552EC" w14:textId="77777777" w:rsidR="00000000" w:rsidRPr="00BE00C7" w:rsidRDefault="00000000" w:rsidP="00BE00C7">
            <w:pPr>
              <w:pStyle w:val="OutcomeDescription"/>
              <w:spacing w:before="120" w:after="120"/>
              <w:rPr>
                <w:rFonts w:cs="Arial"/>
                <w:lang w:eastAsia="en-NZ"/>
              </w:rPr>
            </w:pPr>
          </w:p>
        </w:tc>
      </w:tr>
      <w:tr w:rsidR="004B376D" w14:paraId="21A4C470" w14:textId="77777777">
        <w:tc>
          <w:tcPr>
            <w:tcW w:w="0" w:type="auto"/>
          </w:tcPr>
          <w:p w14:paraId="0DB14B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5BA28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1B63D93" w14:textId="77777777" w:rsidR="00000000" w:rsidRPr="00BE00C7" w:rsidRDefault="00000000" w:rsidP="00BE00C7">
            <w:pPr>
              <w:pStyle w:val="OutcomeDescription"/>
              <w:spacing w:before="120" w:after="120"/>
              <w:rPr>
                <w:rFonts w:cs="Arial"/>
                <w:lang w:eastAsia="en-NZ"/>
              </w:rPr>
            </w:pPr>
          </w:p>
        </w:tc>
        <w:tc>
          <w:tcPr>
            <w:tcW w:w="0" w:type="auto"/>
          </w:tcPr>
          <w:p w14:paraId="3764FF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9791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a sluice room in the laundry and in Ivory wing (one with a with sanitiser) with separate handwashing facilities and personal protective equipment, including face visors. Staff have completed chemical safety training. A chemical provider monitors the effectiveness of chemicals. The facility was observed to be cleaned. There are cleaning staff allocated daily to complete cleaning tasks. The cleaner’s trolley is stored securely in a secure cleaner’s room. The cleaners (housekeepers) interviewed stated they work according to a cleaning task list, and they have completed chemical training. All chemicals on the trolley were clearly labelled.</w:t>
            </w:r>
          </w:p>
          <w:p w14:paraId="29B95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is allocated near the reception for linen and personal clothing. Linen and personal clothes are laundered on-site by </w:t>
            </w:r>
            <w:r w:rsidRPr="00BE00C7">
              <w:rPr>
                <w:rFonts w:cs="Arial"/>
                <w:lang w:eastAsia="en-NZ"/>
              </w:rPr>
              <w:lastRenderedPageBreak/>
              <w:t>laundry staff seven days a week. There are defined areas for clean and dirty laundry, and a dirty-to-clean flow is evident. Kitchen linen and mop heads are also done on-site and part of a separate laundry cycle. There are sufficient commercial washing machines and dryers. Material safety data sheets are available, and all chemicals are dispensed within closed systems. Linen was seen to be transported on covered trolleys. The numerous linen cupboards were well stocked with good-quality linen. The washing machines and dryers are checked and serviced regularly. The laundry staff (housekeepers) have also completed chemical safety training.</w:t>
            </w:r>
          </w:p>
          <w:p w14:paraId="4589E0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had good knowledge about cleaning processes, infection prevention and control requirements. There were kitchen, cleaning and laundry audits completed that evidenced compliance. The infection control coordinator provides support to maintain a safe environment during construction, renovation, and maintenance activities.</w:t>
            </w:r>
          </w:p>
          <w:p w14:paraId="55726BF7" w14:textId="77777777" w:rsidR="00000000" w:rsidRPr="00BE00C7" w:rsidRDefault="00000000" w:rsidP="00BE00C7">
            <w:pPr>
              <w:pStyle w:val="OutcomeDescription"/>
              <w:spacing w:before="120" w:after="120"/>
              <w:rPr>
                <w:rFonts w:cs="Arial"/>
                <w:lang w:eastAsia="en-NZ"/>
              </w:rPr>
            </w:pPr>
          </w:p>
        </w:tc>
      </w:tr>
      <w:tr w:rsidR="004B376D" w14:paraId="50A28CC2" w14:textId="77777777">
        <w:tc>
          <w:tcPr>
            <w:tcW w:w="0" w:type="auto"/>
          </w:tcPr>
          <w:p w14:paraId="4910D1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533D4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059DFBE" w14:textId="77777777" w:rsidR="00000000" w:rsidRPr="00BE00C7" w:rsidRDefault="00000000" w:rsidP="00BE00C7">
            <w:pPr>
              <w:pStyle w:val="OutcomeDescription"/>
              <w:spacing w:before="120" w:after="120"/>
              <w:rPr>
                <w:rFonts w:cs="Arial"/>
                <w:lang w:eastAsia="en-NZ"/>
              </w:rPr>
            </w:pPr>
          </w:p>
        </w:tc>
        <w:tc>
          <w:tcPr>
            <w:tcW w:w="0" w:type="auto"/>
          </w:tcPr>
          <w:p w14:paraId="22E955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8731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policy and business plan confirmed that Bainswood on Victoria is committed to maintaining a restraint-free environment. Strategies implemented include working in partnership with family/whānau to ensure the service maintains the dignity of the resident, while using the least restrictive practice. At all times when restraint is considered, the facility works in partnership with Māori, to promote and ensure services are mana enhancing. The board of directors are committed to providing services to residents without the use of restraint. The restraint coordinator is the clinical manager. The clinical manager described the organisation’s commitment to maintain a restraint free environment. There is a six-monthly group restraint approval committee meeting which was last conducted in November 2024.</w:t>
            </w:r>
          </w:p>
          <w:p w14:paraId="197CE2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reporting process includes data gathered and analysed monthly that supports the ongoing safety of residents and staff. At the time of the audit there were no restraints in use at Bainswood on Victoria. Restraint free strategies are discussed in all the facility meetings. Education is provided to staff around maintaining a restraint free environment and management of challenging behaviour. Bainswood </w:t>
            </w:r>
            <w:r w:rsidRPr="00BE00C7">
              <w:rPr>
                <w:rFonts w:cs="Arial"/>
                <w:lang w:eastAsia="en-NZ"/>
              </w:rPr>
              <w:lastRenderedPageBreak/>
              <w:t xml:space="preserve">on Victoria completes audits related to restraint use. There is a documented restraint policy that stated that in the event that all other alternatives have been unsuccessfully trailed, restraint may be used as a last resort to ensure the physical safety of an individual resident. The guidelines provide for restraint minimisation and elimination include assessment, authorisation and monitoring of the type of restraint. </w:t>
            </w:r>
          </w:p>
          <w:p w14:paraId="6712A075" w14:textId="77777777" w:rsidR="00000000" w:rsidRPr="00BE00C7" w:rsidRDefault="00000000" w:rsidP="00BE00C7">
            <w:pPr>
              <w:pStyle w:val="OutcomeDescription"/>
              <w:spacing w:before="120" w:after="120"/>
              <w:rPr>
                <w:rFonts w:cs="Arial"/>
                <w:lang w:eastAsia="en-NZ"/>
              </w:rPr>
            </w:pPr>
          </w:p>
        </w:tc>
      </w:tr>
    </w:tbl>
    <w:p w14:paraId="06FEC9A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78B5AC4" w14:textId="77777777" w:rsidR="00000000" w:rsidRDefault="00000000">
      <w:pPr>
        <w:pStyle w:val="Heading1"/>
        <w:rPr>
          <w:rFonts w:cs="Arial"/>
        </w:rPr>
      </w:pPr>
      <w:r>
        <w:rPr>
          <w:rFonts w:cs="Arial"/>
        </w:rPr>
        <w:lastRenderedPageBreak/>
        <w:t>Specific results for criterion where corrective actions are required</w:t>
      </w:r>
    </w:p>
    <w:p w14:paraId="3826138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7C710E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AE0745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1309"/>
        <w:gridCol w:w="3711"/>
        <w:gridCol w:w="3783"/>
        <w:gridCol w:w="2262"/>
      </w:tblGrid>
      <w:tr w:rsidR="004B376D" w14:paraId="771205D5" w14:textId="77777777">
        <w:tc>
          <w:tcPr>
            <w:tcW w:w="0" w:type="auto"/>
          </w:tcPr>
          <w:p w14:paraId="2FDC023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64D3B2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BE29B0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F6282A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13A5D1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B376D" w14:paraId="03DE669E" w14:textId="77777777">
        <w:tc>
          <w:tcPr>
            <w:tcW w:w="0" w:type="auto"/>
          </w:tcPr>
          <w:p w14:paraId="0976AB5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28984F9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6335BE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B58ADC4" w14:textId="77777777" w:rsidR="00000000" w:rsidRPr="00BE00C7" w:rsidRDefault="00000000" w:rsidP="00BE00C7">
            <w:pPr>
              <w:pStyle w:val="OutcomeDescription"/>
              <w:spacing w:before="120" w:after="120"/>
              <w:rPr>
                <w:rFonts w:cs="Arial"/>
                <w:lang w:eastAsia="en-NZ"/>
              </w:rPr>
            </w:pPr>
            <w:r w:rsidRPr="00BE00C7">
              <w:rPr>
                <w:rFonts w:cs="Arial"/>
                <w:lang w:eastAsia="en-NZ"/>
              </w:rPr>
              <w:t>Bainswood on Victoria has a documented quality and risk management programme that includes performance monitoring through internal audits, meetings and the collection of clinical indicator data. There is an annual internal audit schedule in place; however, the schedule has not been fully implemented and although the correction action requests (CAR) were identified they have not been fully imbedded in practice. A meeting schedule is implemented and evidence staff participation in the quality programme.</w:t>
            </w:r>
          </w:p>
          <w:p w14:paraId="040F08C1" w14:textId="77777777" w:rsidR="00000000" w:rsidRPr="00BE00C7" w:rsidRDefault="00000000" w:rsidP="00BE00C7">
            <w:pPr>
              <w:pStyle w:val="OutcomeDescription"/>
              <w:spacing w:before="120" w:after="120"/>
              <w:rPr>
                <w:rFonts w:cs="Arial"/>
                <w:lang w:eastAsia="en-NZ"/>
              </w:rPr>
            </w:pPr>
          </w:p>
        </w:tc>
        <w:tc>
          <w:tcPr>
            <w:tcW w:w="0" w:type="auto"/>
          </w:tcPr>
          <w:p w14:paraId="4FCF91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There was an internal audit schedule documented; however, the schedule has not been fully implemented and although the correction action requests (CAR) were identified they have not been fully imbedded in practice. </w:t>
            </w:r>
          </w:p>
          <w:p w14:paraId="69158C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Correction action requests from meetings were not consistently followed up and/or dated when completed. </w:t>
            </w:r>
          </w:p>
          <w:p w14:paraId="7AAB54AB" w14:textId="77777777" w:rsidR="00000000" w:rsidRPr="00BE00C7" w:rsidRDefault="00000000" w:rsidP="00BE00C7">
            <w:pPr>
              <w:pStyle w:val="OutcomeDescription"/>
              <w:spacing w:before="120" w:after="120"/>
              <w:rPr>
                <w:rFonts w:cs="Arial"/>
                <w:lang w:eastAsia="en-NZ"/>
              </w:rPr>
            </w:pPr>
          </w:p>
        </w:tc>
        <w:tc>
          <w:tcPr>
            <w:tcW w:w="0" w:type="auto"/>
          </w:tcPr>
          <w:p w14:paraId="19DC24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that the annual internal audit schedule is completed, and any identified CARs are followed up and completed. </w:t>
            </w:r>
          </w:p>
          <w:p w14:paraId="2D8154DE"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any correction action requests required from meetings are followed up and dated when completed.</w:t>
            </w:r>
          </w:p>
          <w:p w14:paraId="55A18809" w14:textId="77777777" w:rsidR="00000000" w:rsidRPr="00BE00C7" w:rsidRDefault="00000000" w:rsidP="00BE00C7">
            <w:pPr>
              <w:pStyle w:val="OutcomeDescription"/>
              <w:spacing w:before="120" w:after="120"/>
              <w:rPr>
                <w:rFonts w:cs="Arial"/>
                <w:lang w:eastAsia="en-NZ"/>
              </w:rPr>
            </w:pPr>
          </w:p>
          <w:p w14:paraId="30ECB4B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B376D" w14:paraId="7D17402E" w14:textId="77777777">
        <w:tc>
          <w:tcPr>
            <w:tcW w:w="0" w:type="auto"/>
          </w:tcPr>
          <w:p w14:paraId="061378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3.2.3</w:t>
            </w:r>
          </w:p>
          <w:p w14:paraId="3401487F"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r>
            <w:r w:rsidRPr="00BE00C7">
              <w:rPr>
                <w:rFonts w:cs="Arial"/>
                <w:lang w:eastAsia="en-NZ"/>
              </w:rPr>
              <w:lastRenderedPageBreak/>
              <w:t>(h) People’s care or support plan identifies wider service integration as required.</w:t>
            </w:r>
          </w:p>
          <w:p w14:paraId="3046ECC1" w14:textId="77777777" w:rsidR="00000000" w:rsidRPr="00BE00C7" w:rsidRDefault="00000000" w:rsidP="00BE00C7">
            <w:pPr>
              <w:pStyle w:val="OutcomeDescription"/>
              <w:spacing w:before="120" w:after="120"/>
              <w:rPr>
                <w:rFonts w:cs="Arial"/>
                <w:lang w:eastAsia="en-NZ"/>
              </w:rPr>
            </w:pPr>
          </w:p>
        </w:tc>
        <w:tc>
          <w:tcPr>
            <w:tcW w:w="0" w:type="auto"/>
          </w:tcPr>
          <w:p w14:paraId="2BF57F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439A2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moved to a new electronic resident management system since the last audit.</w:t>
            </w:r>
          </w:p>
          <w:p w14:paraId="32278E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include cultural assessments. Resident and family/whānau interviewed stated they were involved in the planning of their care. The triggers, scores and outcomes of the identified risks are used to develop the long-term care plan; however, not all the triggers, identified risks and early warning signs were identified in all the care plans. Therefore, not all the interventions were sufficiently and in detail documented to guide staff in the care needs of the residents. Residents are timely referred to speech and language therapists (SLT), dietitian services, diabetic nurse  and physiotherapy services. Their instructions were documented, and progress notes evidence instructions were implemented; however not all instructions were integrated as part of the care plan. Where health changes were identified, the care plan was evaluated; however, interventions are identified in the evaluation section but not in the body of the care plan. </w:t>
            </w:r>
          </w:p>
          <w:p w14:paraId="328EEF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short-term acute issues are identified such as wounds or infections, a short-term care plan is developed, implemented and sign off when resolved. </w:t>
            </w:r>
          </w:p>
          <w:p w14:paraId="3095DB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July 2024 and April 2025 the resident file audit outcome identified </w:t>
            </w:r>
            <w:r w:rsidRPr="00BE00C7">
              <w:rPr>
                <w:rFonts w:cs="Arial"/>
                <w:lang w:eastAsia="en-NZ"/>
              </w:rPr>
              <w:lastRenderedPageBreak/>
              <w:t>corrective actions were identified around similar findings, implemented and monitored; however, the corrective actions were not yet embedded in practice (link 2.2.2). It was notable in the progress notes and RN weekly reviews that the residents received the care they require and the findings are related to the implementation of the resident management system and relates to documentation only; therefore, the finding is rated as a low risk.</w:t>
            </w:r>
          </w:p>
          <w:p w14:paraId="002365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reviewed stated to have a good understanding of the care planning process and receive the appropriate training. The residents and family/whānau interviewed were complimentary of the care delivered. All identified care plans were updated on the days of the audit.</w:t>
            </w:r>
          </w:p>
          <w:p w14:paraId="68F6B4E7" w14:textId="77777777" w:rsidR="00000000" w:rsidRPr="00BE00C7" w:rsidRDefault="00000000" w:rsidP="00BE00C7">
            <w:pPr>
              <w:pStyle w:val="OutcomeDescription"/>
              <w:spacing w:before="120" w:after="120"/>
              <w:rPr>
                <w:rFonts w:cs="Arial"/>
                <w:lang w:eastAsia="en-NZ"/>
              </w:rPr>
            </w:pPr>
          </w:p>
        </w:tc>
        <w:tc>
          <w:tcPr>
            <w:tcW w:w="0" w:type="auto"/>
          </w:tcPr>
          <w:p w14:paraId="5B86E5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Early warning signs, interRAI triggers and risks that may adversely affect the resident were not always documented with appropriate interventions in two of five hospital level residents and include (a) one hospital level resident`s risk of tobacco use triggered but not addressed and recurrent skin infections contributed to skin breakdown not identified as a risk; (b) one hospital level resident`s early warning signs of recurrent UTIs and tooth ache contributed to swallowing /eating difficulty.</w:t>
            </w:r>
          </w:p>
          <w:p w14:paraId="611F30B8" w14:textId="77777777" w:rsidR="00000000" w:rsidRPr="00BE00C7" w:rsidRDefault="00000000" w:rsidP="00BE00C7">
            <w:pPr>
              <w:pStyle w:val="OutcomeDescription"/>
              <w:spacing w:before="120" w:after="120"/>
              <w:rPr>
                <w:rFonts w:cs="Arial"/>
                <w:lang w:eastAsia="en-NZ"/>
              </w:rPr>
            </w:pPr>
            <w:r w:rsidRPr="00BE00C7">
              <w:rPr>
                <w:rFonts w:cs="Arial"/>
                <w:lang w:eastAsia="en-NZ"/>
              </w:rPr>
              <w:t>(ii). Interventions were not always reflective of current health and therefore not appropriate interventions recorded for three of five hospital level residents:  (a) the continence plans of two residents were not reflective of their current needs including one that self-manage their bladder catheterisation and one with a uridome; (b) one resident`s mobility deteriorated and the interventions were not reflective of the change in mobility needs; (c) the dietary profile were not reflective of current nutritional needs</w:t>
            </w:r>
          </w:p>
          <w:p w14:paraId="049CFF27" w14:textId="77777777" w:rsidR="00000000" w:rsidRPr="00BE00C7" w:rsidRDefault="00000000" w:rsidP="00BE00C7">
            <w:pPr>
              <w:pStyle w:val="OutcomeDescription"/>
              <w:spacing w:before="120" w:after="120"/>
              <w:rPr>
                <w:rFonts w:cs="Arial"/>
                <w:lang w:eastAsia="en-NZ"/>
              </w:rPr>
            </w:pPr>
            <w:r w:rsidRPr="00BE00C7">
              <w:rPr>
                <w:rFonts w:cs="Arial"/>
                <w:lang w:eastAsia="en-NZ"/>
              </w:rPr>
              <w:t>(iii). Dietary instructions of dietitian/diabetic nurse were not part of the care plan of two hospital level residents including regular request for dental assessment and change in fluid requirements.</w:t>
            </w:r>
          </w:p>
          <w:p w14:paraId="15F53B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Although evaluations are taken place with the required progress and interventions noted, the body of the </w:t>
            </w:r>
            <w:r w:rsidRPr="00BE00C7">
              <w:rPr>
                <w:rFonts w:cs="Arial"/>
                <w:lang w:eastAsia="en-NZ"/>
              </w:rPr>
              <w:lastRenderedPageBreak/>
              <w:t>care plan has not always been updated for four hospital level residents.</w:t>
            </w:r>
          </w:p>
          <w:p w14:paraId="7C024AFA" w14:textId="77777777" w:rsidR="00000000" w:rsidRPr="00BE00C7" w:rsidRDefault="00000000" w:rsidP="00BE00C7">
            <w:pPr>
              <w:pStyle w:val="OutcomeDescription"/>
              <w:spacing w:before="120" w:after="120"/>
              <w:rPr>
                <w:rFonts w:cs="Arial"/>
                <w:lang w:eastAsia="en-NZ"/>
              </w:rPr>
            </w:pPr>
          </w:p>
        </w:tc>
        <w:tc>
          <w:tcPr>
            <w:tcW w:w="0" w:type="auto"/>
          </w:tcPr>
          <w:p w14:paraId="7F0360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early warning signs, interRAI triggers and scores are identified and addressed with the appropriate interventions.</w:t>
            </w:r>
          </w:p>
          <w:p w14:paraId="3F91E04F"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interventions are reflective of the residents` current health needs.</w:t>
            </w:r>
          </w:p>
          <w:p w14:paraId="5A57000E"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allied health instructions are integrated into the care documentation.</w:t>
            </w:r>
          </w:p>
          <w:p w14:paraId="56A9EC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(iv).Ensure to update the body of the care plan at the time evaluations occur. </w:t>
            </w:r>
          </w:p>
          <w:p w14:paraId="4FD96B47" w14:textId="77777777" w:rsidR="00000000" w:rsidRPr="00BE00C7" w:rsidRDefault="00000000" w:rsidP="00BE00C7">
            <w:pPr>
              <w:pStyle w:val="OutcomeDescription"/>
              <w:spacing w:before="120" w:after="120"/>
              <w:rPr>
                <w:rFonts w:cs="Arial"/>
                <w:lang w:eastAsia="en-NZ"/>
              </w:rPr>
            </w:pPr>
          </w:p>
          <w:p w14:paraId="62F571AF"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00061D5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5A0A3E5" w14:textId="77777777" w:rsidR="00000000" w:rsidRDefault="00000000">
      <w:pPr>
        <w:pStyle w:val="Heading1"/>
        <w:rPr>
          <w:rFonts w:cs="Arial"/>
        </w:rPr>
      </w:pPr>
      <w:r>
        <w:rPr>
          <w:rFonts w:cs="Arial"/>
        </w:rPr>
        <w:lastRenderedPageBreak/>
        <w:t>Specific results for criterion where a continuous improvement has been recorded</w:t>
      </w:r>
    </w:p>
    <w:p w14:paraId="7EBC436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772012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BA2207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B376D" w14:paraId="0BA8CB94" w14:textId="77777777">
        <w:tc>
          <w:tcPr>
            <w:tcW w:w="0" w:type="auto"/>
          </w:tcPr>
          <w:p w14:paraId="65C32D2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596910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C46B67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DE648" w14:textId="77777777" w:rsidR="000F562A" w:rsidRDefault="000F562A">
      <w:r>
        <w:separator/>
      </w:r>
    </w:p>
  </w:endnote>
  <w:endnote w:type="continuationSeparator" w:id="0">
    <w:p w14:paraId="56129F65" w14:textId="77777777" w:rsidR="000F562A" w:rsidRDefault="000F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9C5D" w14:textId="77777777" w:rsidR="00000000" w:rsidRDefault="00000000">
    <w:pPr>
      <w:pStyle w:val="Footer"/>
    </w:pPr>
  </w:p>
  <w:p w14:paraId="35966A50" w14:textId="77777777" w:rsidR="00000000" w:rsidRDefault="00000000"/>
  <w:p w14:paraId="6679405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391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Bainlea House (2013) Limited - Bainswood on Victoria</w:t>
    </w:r>
    <w:bookmarkEnd w:id="59"/>
    <w:r>
      <w:rPr>
        <w:rFonts w:cs="Arial"/>
        <w:sz w:val="16"/>
        <w:szCs w:val="20"/>
      </w:rPr>
      <w:tab/>
      <w:t xml:space="preserve">Date of Audit: </w:t>
    </w:r>
    <w:bookmarkStart w:id="60" w:name="AuditStartDate1"/>
    <w:r>
      <w:rPr>
        <w:rFonts w:cs="Arial"/>
        <w:sz w:val="16"/>
        <w:szCs w:val="20"/>
      </w:rPr>
      <w:t>22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49EAD9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329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59FC" w14:textId="77777777" w:rsidR="000F562A" w:rsidRDefault="000F562A">
      <w:r>
        <w:separator/>
      </w:r>
    </w:p>
  </w:footnote>
  <w:footnote w:type="continuationSeparator" w:id="0">
    <w:p w14:paraId="3C48AEB8" w14:textId="77777777" w:rsidR="000F562A" w:rsidRDefault="000F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4A05" w14:textId="77777777" w:rsidR="00000000" w:rsidRDefault="00000000">
    <w:pPr>
      <w:pStyle w:val="Header"/>
    </w:pPr>
  </w:p>
  <w:p w14:paraId="6D8A7AE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88DF" w14:textId="77777777" w:rsidR="00000000" w:rsidRDefault="00000000">
    <w:pPr>
      <w:pStyle w:val="Header"/>
    </w:pPr>
  </w:p>
  <w:p w14:paraId="54F9C3E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2D8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60C5D24">
      <w:start w:val="1"/>
      <w:numFmt w:val="decimal"/>
      <w:lvlText w:val="%1."/>
      <w:lvlJc w:val="left"/>
      <w:pPr>
        <w:ind w:left="360" w:hanging="360"/>
      </w:pPr>
    </w:lvl>
    <w:lvl w:ilvl="1" w:tplc="C88C4014" w:tentative="1">
      <w:start w:val="1"/>
      <w:numFmt w:val="lowerLetter"/>
      <w:lvlText w:val="%2."/>
      <w:lvlJc w:val="left"/>
      <w:pPr>
        <w:ind w:left="1080" w:hanging="360"/>
      </w:pPr>
    </w:lvl>
    <w:lvl w:ilvl="2" w:tplc="A9A226FC" w:tentative="1">
      <w:start w:val="1"/>
      <w:numFmt w:val="lowerRoman"/>
      <w:lvlText w:val="%3."/>
      <w:lvlJc w:val="right"/>
      <w:pPr>
        <w:ind w:left="1800" w:hanging="180"/>
      </w:pPr>
    </w:lvl>
    <w:lvl w:ilvl="3" w:tplc="1FF8BE88" w:tentative="1">
      <w:start w:val="1"/>
      <w:numFmt w:val="decimal"/>
      <w:lvlText w:val="%4."/>
      <w:lvlJc w:val="left"/>
      <w:pPr>
        <w:ind w:left="2520" w:hanging="360"/>
      </w:pPr>
    </w:lvl>
    <w:lvl w:ilvl="4" w:tplc="06AC468C" w:tentative="1">
      <w:start w:val="1"/>
      <w:numFmt w:val="lowerLetter"/>
      <w:lvlText w:val="%5."/>
      <w:lvlJc w:val="left"/>
      <w:pPr>
        <w:ind w:left="3240" w:hanging="360"/>
      </w:pPr>
    </w:lvl>
    <w:lvl w:ilvl="5" w:tplc="E100394C" w:tentative="1">
      <w:start w:val="1"/>
      <w:numFmt w:val="lowerRoman"/>
      <w:lvlText w:val="%6."/>
      <w:lvlJc w:val="right"/>
      <w:pPr>
        <w:ind w:left="3960" w:hanging="180"/>
      </w:pPr>
    </w:lvl>
    <w:lvl w:ilvl="6" w:tplc="70E0A972" w:tentative="1">
      <w:start w:val="1"/>
      <w:numFmt w:val="decimal"/>
      <w:lvlText w:val="%7."/>
      <w:lvlJc w:val="left"/>
      <w:pPr>
        <w:ind w:left="4680" w:hanging="360"/>
      </w:pPr>
    </w:lvl>
    <w:lvl w:ilvl="7" w:tplc="E7124A20" w:tentative="1">
      <w:start w:val="1"/>
      <w:numFmt w:val="lowerLetter"/>
      <w:lvlText w:val="%8."/>
      <w:lvlJc w:val="left"/>
      <w:pPr>
        <w:ind w:left="5400" w:hanging="360"/>
      </w:pPr>
    </w:lvl>
    <w:lvl w:ilvl="8" w:tplc="35FA230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8FC48E6">
      <w:start w:val="1"/>
      <w:numFmt w:val="bullet"/>
      <w:lvlText w:val=""/>
      <w:lvlJc w:val="left"/>
      <w:pPr>
        <w:ind w:left="720" w:hanging="360"/>
      </w:pPr>
      <w:rPr>
        <w:rFonts w:ascii="Symbol" w:hAnsi="Symbol" w:hint="default"/>
      </w:rPr>
    </w:lvl>
    <w:lvl w:ilvl="1" w:tplc="F79A5FD6" w:tentative="1">
      <w:start w:val="1"/>
      <w:numFmt w:val="bullet"/>
      <w:lvlText w:val="o"/>
      <w:lvlJc w:val="left"/>
      <w:pPr>
        <w:ind w:left="1440" w:hanging="360"/>
      </w:pPr>
      <w:rPr>
        <w:rFonts w:ascii="Courier New" w:hAnsi="Courier New" w:cs="Courier New" w:hint="default"/>
      </w:rPr>
    </w:lvl>
    <w:lvl w:ilvl="2" w:tplc="173EE384" w:tentative="1">
      <w:start w:val="1"/>
      <w:numFmt w:val="bullet"/>
      <w:lvlText w:val=""/>
      <w:lvlJc w:val="left"/>
      <w:pPr>
        <w:ind w:left="2160" w:hanging="360"/>
      </w:pPr>
      <w:rPr>
        <w:rFonts w:ascii="Wingdings" w:hAnsi="Wingdings" w:hint="default"/>
      </w:rPr>
    </w:lvl>
    <w:lvl w:ilvl="3" w:tplc="E288FFBC" w:tentative="1">
      <w:start w:val="1"/>
      <w:numFmt w:val="bullet"/>
      <w:lvlText w:val=""/>
      <w:lvlJc w:val="left"/>
      <w:pPr>
        <w:ind w:left="2880" w:hanging="360"/>
      </w:pPr>
      <w:rPr>
        <w:rFonts w:ascii="Symbol" w:hAnsi="Symbol" w:hint="default"/>
      </w:rPr>
    </w:lvl>
    <w:lvl w:ilvl="4" w:tplc="8A30D516" w:tentative="1">
      <w:start w:val="1"/>
      <w:numFmt w:val="bullet"/>
      <w:lvlText w:val="o"/>
      <w:lvlJc w:val="left"/>
      <w:pPr>
        <w:ind w:left="3600" w:hanging="360"/>
      </w:pPr>
      <w:rPr>
        <w:rFonts w:ascii="Courier New" w:hAnsi="Courier New" w:cs="Courier New" w:hint="default"/>
      </w:rPr>
    </w:lvl>
    <w:lvl w:ilvl="5" w:tplc="50203ACC" w:tentative="1">
      <w:start w:val="1"/>
      <w:numFmt w:val="bullet"/>
      <w:lvlText w:val=""/>
      <w:lvlJc w:val="left"/>
      <w:pPr>
        <w:ind w:left="4320" w:hanging="360"/>
      </w:pPr>
      <w:rPr>
        <w:rFonts w:ascii="Wingdings" w:hAnsi="Wingdings" w:hint="default"/>
      </w:rPr>
    </w:lvl>
    <w:lvl w:ilvl="6" w:tplc="2C8C62E8" w:tentative="1">
      <w:start w:val="1"/>
      <w:numFmt w:val="bullet"/>
      <w:lvlText w:val=""/>
      <w:lvlJc w:val="left"/>
      <w:pPr>
        <w:ind w:left="5040" w:hanging="360"/>
      </w:pPr>
      <w:rPr>
        <w:rFonts w:ascii="Symbol" w:hAnsi="Symbol" w:hint="default"/>
      </w:rPr>
    </w:lvl>
    <w:lvl w:ilvl="7" w:tplc="F5020598" w:tentative="1">
      <w:start w:val="1"/>
      <w:numFmt w:val="bullet"/>
      <w:lvlText w:val="o"/>
      <w:lvlJc w:val="left"/>
      <w:pPr>
        <w:ind w:left="5760" w:hanging="360"/>
      </w:pPr>
      <w:rPr>
        <w:rFonts w:ascii="Courier New" w:hAnsi="Courier New" w:cs="Courier New" w:hint="default"/>
      </w:rPr>
    </w:lvl>
    <w:lvl w:ilvl="8" w:tplc="F1804158" w:tentative="1">
      <w:start w:val="1"/>
      <w:numFmt w:val="bullet"/>
      <w:lvlText w:val=""/>
      <w:lvlJc w:val="left"/>
      <w:pPr>
        <w:ind w:left="6480" w:hanging="360"/>
      </w:pPr>
      <w:rPr>
        <w:rFonts w:ascii="Wingdings" w:hAnsi="Wingdings" w:hint="default"/>
      </w:rPr>
    </w:lvl>
  </w:abstractNum>
  <w:num w:numId="1" w16cid:durableId="475882338">
    <w:abstractNumId w:val="1"/>
  </w:num>
  <w:num w:numId="2" w16cid:durableId="5081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6D"/>
    <w:rsid w:val="000F562A"/>
    <w:rsid w:val="00445527"/>
    <w:rsid w:val="004B376D"/>
    <w:rsid w:val="00D2551F"/>
    <w:rsid w:val="00FB0D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7B70"/>
  <w15:docId w15:val="{ED2C443A-B62D-4A49-9A13-AD76B5E2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13804</Words>
  <Characters>78684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2025-06-11T04:19:00Z</dcterms:created>
  <dcterms:modified xsi:type="dcterms:W3CDTF">2025-06-11T04:24:00Z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