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C011" w14:textId="77777777" w:rsidR="00000000" w:rsidRDefault="00000000">
      <w:pPr>
        <w:pStyle w:val="Heading1"/>
        <w:rPr>
          <w:rFonts w:cs="Arial"/>
        </w:rPr>
      </w:pPr>
      <w:bookmarkStart w:id="0" w:name="PRMS_RIName"/>
      <w:r>
        <w:rPr>
          <w:rFonts w:cs="Arial"/>
        </w:rPr>
        <w:t>Bupa Care Services NZ Limited - Longwood Rest Home</w:t>
      </w:r>
      <w:bookmarkEnd w:id="0"/>
    </w:p>
    <w:p w14:paraId="7CD42018" w14:textId="77777777" w:rsidR="00000000" w:rsidRDefault="00000000">
      <w:pPr>
        <w:pStyle w:val="Heading2"/>
        <w:spacing w:after="0"/>
        <w:rPr>
          <w:rFonts w:cs="Arial"/>
        </w:rPr>
      </w:pPr>
      <w:r>
        <w:rPr>
          <w:rFonts w:cs="Arial"/>
        </w:rPr>
        <w:t>Introduction</w:t>
      </w:r>
    </w:p>
    <w:p w14:paraId="70E0235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1B8ACB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C7399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F9C79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6A2B32" w14:textId="77777777" w:rsidR="00000000" w:rsidRDefault="00000000">
      <w:pPr>
        <w:spacing w:before="240" w:after="240"/>
        <w:rPr>
          <w:rFonts w:cs="Arial"/>
          <w:lang w:eastAsia="en-NZ"/>
        </w:rPr>
      </w:pPr>
      <w:r>
        <w:rPr>
          <w:rFonts w:cs="Arial"/>
          <w:lang w:eastAsia="en-NZ"/>
        </w:rPr>
        <w:t>The specifics of this audit included:</w:t>
      </w:r>
    </w:p>
    <w:p w14:paraId="3A07DA0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43451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1BE25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Longwood Rest Home</w:t>
      </w:r>
      <w:bookmarkEnd w:id="5"/>
    </w:p>
    <w:p w14:paraId="56C3982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B0C9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March 2025</w:t>
      </w:r>
      <w:bookmarkEnd w:id="7"/>
      <w:r w:rsidRPr="009418D4">
        <w:rPr>
          <w:rFonts w:cs="Arial"/>
        </w:rPr>
        <w:tab/>
        <w:t xml:space="preserve">End date: </w:t>
      </w:r>
      <w:bookmarkStart w:id="8" w:name="AuditEndDate"/>
      <w:r>
        <w:rPr>
          <w:rFonts w:cs="Arial"/>
        </w:rPr>
        <w:t>28 March 2025</w:t>
      </w:r>
      <w:bookmarkEnd w:id="8"/>
    </w:p>
    <w:p w14:paraId="2137382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5E717B91" w14:textId="77777777" w:rsidR="005A532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429E563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5F904B" w14:textId="77777777" w:rsidR="00000000" w:rsidRDefault="00000000">
      <w:pPr>
        <w:pStyle w:val="Heading1"/>
        <w:rPr>
          <w:rFonts w:cs="Arial"/>
        </w:rPr>
      </w:pPr>
      <w:r>
        <w:rPr>
          <w:rFonts w:cs="Arial"/>
        </w:rPr>
        <w:lastRenderedPageBreak/>
        <w:t>Executive summary of the audit</w:t>
      </w:r>
    </w:p>
    <w:p w14:paraId="202F6C2F" w14:textId="77777777" w:rsidR="00000000" w:rsidRDefault="00000000">
      <w:pPr>
        <w:pStyle w:val="Heading2"/>
        <w:rPr>
          <w:rFonts w:cs="Arial"/>
        </w:rPr>
      </w:pPr>
      <w:r>
        <w:rPr>
          <w:rFonts w:cs="Arial"/>
        </w:rPr>
        <w:t>Introduction</w:t>
      </w:r>
    </w:p>
    <w:p w14:paraId="5655FFD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45DBB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0ABCD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FA86C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B10520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C2703E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CD5AF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28338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54D0AB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A5323" w14:paraId="54AAEE76" w14:textId="77777777">
        <w:trPr>
          <w:cantSplit/>
          <w:tblHeader/>
        </w:trPr>
        <w:tc>
          <w:tcPr>
            <w:tcW w:w="1260" w:type="dxa"/>
            <w:tcBorders>
              <w:bottom w:val="single" w:sz="4" w:space="0" w:color="000000"/>
            </w:tcBorders>
            <w:vAlign w:val="center"/>
          </w:tcPr>
          <w:p w14:paraId="67A2194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B0951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154FE42" w14:textId="77777777" w:rsidR="00000000" w:rsidRDefault="00000000">
            <w:pPr>
              <w:spacing w:before="60" w:after="60"/>
              <w:rPr>
                <w:rFonts w:eastAsia="Calibri"/>
                <w:b/>
                <w:szCs w:val="24"/>
              </w:rPr>
            </w:pPr>
            <w:r>
              <w:rPr>
                <w:rFonts w:eastAsia="Calibri"/>
                <w:b/>
                <w:szCs w:val="24"/>
              </w:rPr>
              <w:t>Definition</w:t>
            </w:r>
          </w:p>
        </w:tc>
      </w:tr>
      <w:tr w:rsidR="005A5323" w14:paraId="280BBF2A" w14:textId="77777777">
        <w:trPr>
          <w:cantSplit/>
          <w:trHeight w:val="964"/>
        </w:trPr>
        <w:tc>
          <w:tcPr>
            <w:tcW w:w="1260" w:type="dxa"/>
            <w:tcBorders>
              <w:bottom w:val="single" w:sz="4" w:space="0" w:color="000000"/>
            </w:tcBorders>
            <w:shd w:val="clear" w:color="0066FF" w:fill="0000FF"/>
            <w:vAlign w:val="center"/>
          </w:tcPr>
          <w:p w14:paraId="3C8AFF7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76F62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DCD4CE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A5323" w14:paraId="7C0DAE7B" w14:textId="77777777">
        <w:trPr>
          <w:cantSplit/>
          <w:trHeight w:val="964"/>
        </w:trPr>
        <w:tc>
          <w:tcPr>
            <w:tcW w:w="1260" w:type="dxa"/>
            <w:shd w:val="clear" w:color="33CC33" w:fill="00FF00"/>
            <w:vAlign w:val="center"/>
          </w:tcPr>
          <w:p w14:paraId="65B17D28" w14:textId="77777777" w:rsidR="00000000" w:rsidRDefault="00000000">
            <w:pPr>
              <w:spacing w:before="60" w:after="60"/>
              <w:rPr>
                <w:rFonts w:eastAsia="Calibri"/>
                <w:szCs w:val="24"/>
              </w:rPr>
            </w:pPr>
          </w:p>
        </w:tc>
        <w:tc>
          <w:tcPr>
            <w:tcW w:w="7095" w:type="dxa"/>
            <w:shd w:val="clear" w:color="auto" w:fill="auto"/>
            <w:vAlign w:val="center"/>
          </w:tcPr>
          <w:p w14:paraId="651B4BA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331797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A5323" w14:paraId="2755D993" w14:textId="77777777">
        <w:trPr>
          <w:cantSplit/>
          <w:trHeight w:val="964"/>
        </w:trPr>
        <w:tc>
          <w:tcPr>
            <w:tcW w:w="1260" w:type="dxa"/>
            <w:tcBorders>
              <w:bottom w:val="single" w:sz="4" w:space="0" w:color="000000"/>
            </w:tcBorders>
            <w:shd w:val="clear" w:color="auto" w:fill="FFFF00"/>
            <w:vAlign w:val="center"/>
          </w:tcPr>
          <w:p w14:paraId="33EBA63C" w14:textId="77777777" w:rsidR="00000000" w:rsidRDefault="00000000">
            <w:pPr>
              <w:spacing w:before="60" w:after="60"/>
              <w:rPr>
                <w:rFonts w:eastAsia="Calibri"/>
                <w:szCs w:val="24"/>
              </w:rPr>
            </w:pPr>
          </w:p>
        </w:tc>
        <w:tc>
          <w:tcPr>
            <w:tcW w:w="7095" w:type="dxa"/>
            <w:shd w:val="clear" w:color="auto" w:fill="auto"/>
            <w:vAlign w:val="center"/>
          </w:tcPr>
          <w:p w14:paraId="725527E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E7EC0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A5323" w14:paraId="62D5A9CC" w14:textId="77777777">
        <w:trPr>
          <w:cantSplit/>
          <w:trHeight w:val="964"/>
        </w:trPr>
        <w:tc>
          <w:tcPr>
            <w:tcW w:w="1260" w:type="dxa"/>
            <w:tcBorders>
              <w:bottom w:val="single" w:sz="4" w:space="0" w:color="000000"/>
            </w:tcBorders>
            <w:shd w:val="clear" w:color="auto" w:fill="FFC800"/>
            <w:vAlign w:val="center"/>
          </w:tcPr>
          <w:p w14:paraId="2388B5D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EB5DAD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199581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A5323" w14:paraId="0A15E1E1" w14:textId="77777777">
        <w:trPr>
          <w:cantSplit/>
          <w:trHeight w:val="964"/>
        </w:trPr>
        <w:tc>
          <w:tcPr>
            <w:tcW w:w="1260" w:type="dxa"/>
            <w:shd w:val="clear" w:color="auto" w:fill="FF0000"/>
            <w:vAlign w:val="center"/>
          </w:tcPr>
          <w:p w14:paraId="39DFD479" w14:textId="77777777" w:rsidR="00000000" w:rsidRDefault="00000000">
            <w:pPr>
              <w:spacing w:before="60" w:after="60"/>
              <w:rPr>
                <w:rFonts w:eastAsia="Calibri"/>
                <w:szCs w:val="24"/>
              </w:rPr>
            </w:pPr>
          </w:p>
        </w:tc>
        <w:tc>
          <w:tcPr>
            <w:tcW w:w="7095" w:type="dxa"/>
            <w:shd w:val="clear" w:color="auto" w:fill="auto"/>
            <w:vAlign w:val="center"/>
          </w:tcPr>
          <w:p w14:paraId="5AE6E5D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70D738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487346E" w14:textId="77777777" w:rsidR="00000000" w:rsidRDefault="00000000">
      <w:pPr>
        <w:pStyle w:val="Heading2"/>
        <w:spacing w:after="0"/>
        <w:rPr>
          <w:rFonts w:cs="Arial"/>
        </w:rPr>
      </w:pPr>
      <w:r>
        <w:rPr>
          <w:rFonts w:cs="Arial"/>
        </w:rPr>
        <w:t>General overview of the audit</w:t>
      </w:r>
    </w:p>
    <w:p w14:paraId="51F32292" w14:textId="77777777" w:rsidR="00000000" w:rsidRDefault="00000000">
      <w:pPr>
        <w:spacing w:before="240" w:line="276" w:lineRule="auto"/>
        <w:rPr>
          <w:rFonts w:eastAsia="Calibri"/>
        </w:rPr>
      </w:pPr>
      <w:bookmarkStart w:id="13" w:name="GeneralOverview"/>
      <w:r w:rsidRPr="00A4268A">
        <w:rPr>
          <w:rFonts w:eastAsia="Calibri"/>
        </w:rPr>
        <w:t xml:space="preserve">Bupa Longwood Care Home is certified to provide hospital (geriatric and medical) and rest home services for up to 52 residents. There were 48 residents on the days of audit. </w:t>
      </w:r>
    </w:p>
    <w:p w14:paraId="7782273C" w14:textId="77777777" w:rsidR="005A5323"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a general practitioner. </w:t>
      </w:r>
    </w:p>
    <w:p w14:paraId="57280DB9" w14:textId="77777777" w:rsidR="005A5323" w:rsidRPr="00A4268A" w:rsidRDefault="00000000">
      <w:pPr>
        <w:spacing w:before="240" w:line="276" w:lineRule="auto"/>
        <w:rPr>
          <w:rFonts w:eastAsia="Calibri"/>
        </w:rPr>
      </w:pPr>
      <w:r w:rsidRPr="00A4268A">
        <w:rPr>
          <w:rFonts w:eastAsia="Calibri"/>
        </w:rPr>
        <w:t xml:space="preserve">The care home manager is supported by an experienced clinical manager, registered and enrolled nurses and a team of experienced staff. </w:t>
      </w:r>
    </w:p>
    <w:p w14:paraId="36A365D3" w14:textId="77777777" w:rsidR="005A5323"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5860D8B" w14:textId="77777777" w:rsidR="005A5323" w:rsidRPr="00A4268A" w:rsidRDefault="00000000">
      <w:pPr>
        <w:spacing w:before="240" w:line="276" w:lineRule="auto"/>
        <w:rPr>
          <w:rFonts w:eastAsia="Calibri"/>
        </w:rPr>
      </w:pPr>
      <w:r w:rsidRPr="00A4268A">
        <w:rPr>
          <w:rFonts w:eastAsia="Calibri"/>
        </w:rPr>
        <w:t>The shortfall identified at the previous certification audit regarding registered nurse staffing has been addressed.</w:t>
      </w:r>
    </w:p>
    <w:p w14:paraId="72C268AE" w14:textId="77777777" w:rsidR="005A5323" w:rsidRPr="00A4268A" w:rsidRDefault="00000000">
      <w:pPr>
        <w:spacing w:before="240" w:line="276" w:lineRule="auto"/>
        <w:rPr>
          <w:rFonts w:eastAsia="Calibri"/>
        </w:rPr>
      </w:pPr>
      <w:r w:rsidRPr="00A4268A">
        <w:rPr>
          <w:rFonts w:eastAsia="Calibri"/>
        </w:rPr>
        <w:t xml:space="preserve">There were no shortfalls identified at this audit. </w:t>
      </w:r>
    </w:p>
    <w:bookmarkEnd w:id="13"/>
    <w:p w14:paraId="2736DD97" w14:textId="77777777" w:rsidR="005A5323" w:rsidRPr="00A4268A" w:rsidRDefault="005A5323">
      <w:pPr>
        <w:spacing w:before="240" w:line="276" w:lineRule="auto"/>
        <w:rPr>
          <w:rFonts w:eastAsia="Calibri"/>
        </w:rPr>
      </w:pPr>
    </w:p>
    <w:p w14:paraId="7EDF9F6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0078FA7C" w14:textId="77777777" w:rsidTr="00A4268A">
        <w:trPr>
          <w:cantSplit/>
        </w:trPr>
        <w:tc>
          <w:tcPr>
            <w:tcW w:w="10206" w:type="dxa"/>
            <w:vAlign w:val="center"/>
          </w:tcPr>
          <w:p w14:paraId="63F413E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AD6AB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E33BA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075563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C2E289C" w14:textId="77777777" w:rsidR="00000000" w:rsidRDefault="00000000">
      <w:pPr>
        <w:spacing w:before="240" w:line="276" w:lineRule="auto"/>
        <w:rPr>
          <w:rFonts w:eastAsia="Calibri"/>
        </w:rPr>
      </w:pPr>
      <w:bookmarkStart w:id="16" w:name="ConsumerRights"/>
      <w:r w:rsidRPr="00A4268A">
        <w:rPr>
          <w:rFonts w:eastAsia="Calibri"/>
        </w:rPr>
        <w:t xml:space="preserve">The Māori health plan is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Bupa Longwood Care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w:t>
      </w:r>
    </w:p>
    <w:bookmarkEnd w:id="16"/>
    <w:p w14:paraId="51D8C00A" w14:textId="77777777" w:rsidR="005A5323" w:rsidRPr="00A4268A" w:rsidRDefault="005A5323">
      <w:pPr>
        <w:spacing w:before="240" w:line="276" w:lineRule="auto"/>
        <w:rPr>
          <w:rFonts w:eastAsia="Calibri"/>
        </w:rPr>
      </w:pPr>
    </w:p>
    <w:p w14:paraId="034C1CF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6E4ECC1F" w14:textId="77777777" w:rsidTr="00A4268A">
        <w:trPr>
          <w:cantSplit/>
        </w:trPr>
        <w:tc>
          <w:tcPr>
            <w:tcW w:w="10206" w:type="dxa"/>
            <w:vAlign w:val="center"/>
          </w:tcPr>
          <w:p w14:paraId="1A0122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89752B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04E138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FF9AB0F" w14:textId="77777777" w:rsidR="00000000" w:rsidRDefault="00000000">
      <w:pPr>
        <w:spacing w:before="240" w:line="276" w:lineRule="auto"/>
        <w:rPr>
          <w:rFonts w:eastAsia="Calibri"/>
        </w:rPr>
      </w:pPr>
      <w:bookmarkStart w:id="19" w:name="OrganisationalManagement"/>
      <w:r w:rsidRPr="00A4268A">
        <w:rPr>
          <w:rFonts w:eastAsia="Calibri"/>
        </w:rPr>
        <w:t xml:space="preserve">Bupa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w:t>
      </w:r>
      <w:r w:rsidRPr="00A4268A">
        <w:rPr>
          <w:rFonts w:eastAsia="Calibri"/>
        </w:rPr>
        <w:lastRenderedPageBreak/>
        <w:t>and rostering policy. Human resources are managed in accordance with good employment practice. An orientation programme and staff training plan are in place to support staff in delivering safe quality care.</w:t>
      </w:r>
    </w:p>
    <w:bookmarkEnd w:id="19"/>
    <w:p w14:paraId="08244A93" w14:textId="77777777" w:rsidR="005A5323" w:rsidRPr="00A4268A" w:rsidRDefault="005A5323">
      <w:pPr>
        <w:spacing w:before="240" w:line="276" w:lineRule="auto"/>
        <w:rPr>
          <w:rFonts w:eastAsia="Calibri"/>
        </w:rPr>
      </w:pPr>
    </w:p>
    <w:p w14:paraId="734DA0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7C449892" w14:textId="77777777" w:rsidTr="00A4268A">
        <w:trPr>
          <w:cantSplit/>
        </w:trPr>
        <w:tc>
          <w:tcPr>
            <w:tcW w:w="10206" w:type="dxa"/>
            <w:vAlign w:val="center"/>
          </w:tcPr>
          <w:p w14:paraId="04264E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C96969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81C2F0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E9E1D5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manager and registered nurses assess,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42D94A3B" w14:textId="77777777" w:rsidR="005A5323"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2501A45C" w14:textId="77777777" w:rsidR="005A5323" w:rsidRPr="00A4268A" w:rsidRDefault="00000000" w:rsidP="00621629">
      <w:pPr>
        <w:spacing w:before="240" w:line="276" w:lineRule="auto"/>
        <w:rPr>
          <w:rFonts w:eastAsia="Calibri"/>
        </w:rPr>
      </w:pPr>
      <w:r w:rsidRPr="00A4268A">
        <w:rPr>
          <w:rFonts w:eastAsia="Calibri"/>
        </w:rPr>
        <w:t>All residents’ transfers and referrals occurs in a coordinated manner.</w:t>
      </w:r>
    </w:p>
    <w:bookmarkEnd w:id="22"/>
    <w:p w14:paraId="4B0B189D" w14:textId="77777777" w:rsidR="005A5323" w:rsidRPr="00A4268A" w:rsidRDefault="005A5323" w:rsidP="00621629">
      <w:pPr>
        <w:spacing w:before="240" w:line="276" w:lineRule="auto"/>
        <w:rPr>
          <w:rFonts w:eastAsia="Calibri"/>
        </w:rPr>
      </w:pPr>
    </w:p>
    <w:p w14:paraId="03BC2BE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7A7C6D72" w14:textId="77777777" w:rsidTr="00A4268A">
        <w:trPr>
          <w:cantSplit/>
        </w:trPr>
        <w:tc>
          <w:tcPr>
            <w:tcW w:w="10206" w:type="dxa"/>
            <w:vAlign w:val="center"/>
          </w:tcPr>
          <w:p w14:paraId="64ED3A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DE84F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A04B7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27F9E5C"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building holds a current building warrant of fitness. Electrical equipment has been tested and tagged. All medical equipment has been serviced and calibrated.</w:t>
      </w:r>
    </w:p>
    <w:bookmarkEnd w:id="25"/>
    <w:p w14:paraId="44EAF149" w14:textId="77777777" w:rsidR="005A5323" w:rsidRPr="00A4268A" w:rsidRDefault="005A5323">
      <w:pPr>
        <w:spacing w:before="240" w:line="276" w:lineRule="auto"/>
        <w:rPr>
          <w:rFonts w:eastAsia="Calibri"/>
        </w:rPr>
      </w:pPr>
    </w:p>
    <w:p w14:paraId="04374A6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14771A0D" w14:textId="77777777" w:rsidTr="00A4268A">
        <w:trPr>
          <w:cantSplit/>
        </w:trPr>
        <w:tc>
          <w:tcPr>
            <w:tcW w:w="10206" w:type="dxa"/>
            <w:vAlign w:val="center"/>
          </w:tcPr>
          <w:p w14:paraId="582DEC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D5810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C39D5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82F0E3C"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prevention and control programme have been developed and approved at Board level. Infection prevention and control education is provided to staff at the start of their employment, and as part of the annual education plan.</w:t>
      </w:r>
    </w:p>
    <w:p w14:paraId="0041DF67" w14:textId="77777777" w:rsidR="005A532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7A243075" w14:textId="77777777" w:rsidR="005A5323" w:rsidRPr="00A4268A" w:rsidRDefault="005A5323">
      <w:pPr>
        <w:spacing w:before="240" w:line="276" w:lineRule="auto"/>
        <w:rPr>
          <w:rFonts w:eastAsia="Calibri"/>
        </w:rPr>
      </w:pPr>
    </w:p>
    <w:p w14:paraId="5963E1A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5323" w14:paraId="402886F3" w14:textId="77777777" w:rsidTr="00A4268A">
        <w:trPr>
          <w:cantSplit/>
        </w:trPr>
        <w:tc>
          <w:tcPr>
            <w:tcW w:w="10206" w:type="dxa"/>
            <w:vAlign w:val="center"/>
          </w:tcPr>
          <w:p w14:paraId="67D3BF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6ED4B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E2D59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DCDFF9A"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manager. The facility has no residents using restraint. Elimination of restraint use is included as part of the education and training plan. The service considers least restrictive practices, implementing de-escalation techniques and alternative interventions, and would only use approved restraint as the last resort.</w:t>
      </w:r>
    </w:p>
    <w:bookmarkEnd w:id="31"/>
    <w:p w14:paraId="12D3A34B" w14:textId="77777777" w:rsidR="005A5323" w:rsidRPr="00A4268A" w:rsidRDefault="005A5323">
      <w:pPr>
        <w:spacing w:before="240" w:line="276" w:lineRule="auto"/>
        <w:rPr>
          <w:rFonts w:eastAsia="Calibri"/>
        </w:rPr>
      </w:pPr>
    </w:p>
    <w:p w14:paraId="5C2C40E5" w14:textId="77777777" w:rsidR="00000000" w:rsidRDefault="00000000" w:rsidP="000E6E02">
      <w:pPr>
        <w:pStyle w:val="Heading2"/>
        <w:spacing w:before="0"/>
        <w:rPr>
          <w:rFonts w:cs="Arial"/>
        </w:rPr>
      </w:pPr>
      <w:r>
        <w:rPr>
          <w:rFonts w:cs="Arial"/>
        </w:rPr>
        <w:t>Summary of attainment</w:t>
      </w:r>
    </w:p>
    <w:p w14:paraId="28C28A6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A5323" w14:paraId="054322C5" w14:textId="77777777">
        <w:tc>
          <w:tcPr>
            <w:tcW w:w="1384" w:type="dxa"/>
            <w:vAlign w:val="center"/>
          </w:tcPr>
          <w:p w14:paraId="4A454D6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B6CE57" w14:textId="77777777" w:rsidR="00000000" w:rsidRDefault="00000000">
            <w:pPr>
              <w:keepNext/>
              <w:spacing w:before="60" w:after="60"/>
              <w:jc w:val="center"/>
              <w:rPr>
                <w:rFonts w:cs="Arial"/>
                <w:b/>
                <w:sz w:val="20"/>
                <w:szCs w:val="20"/>
              </w:rPr>
            </w:pPr>
            <w:r>
              <w:rPr>
                <w:rFonts w:cs="Arial"/>
                <w:b/>
                <w:sz w:val="20"/>
                <w:szCs w:val="20"/>
              </w:rPr>
              <w:t>Continuous Improvement</w:t>
            </w:r>
          </w:p>
          <w:p w14:paraId="0316D7B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5E67D7" w14:textId="77777777" w:rsidR="00000000" w:rsidRDefault="00000000">
            <w:pPr>
              <w:keepNext/>
              <w:spacing w:before="60" w:after="60"/>
              <w:jc w:val="center"/>
              <w:rPr>
                <w:rFonts w:cs="Arial"/>
                <w:b/>
                <w:sz w:val="20"/>
                <w:szCs w:val="20"/>
              </w:rPr>
            </w:pPr>
            <w:r>
              <w:rPr>
                <w:rFonts w:cs="Arial"/>
                <w:b/>
                <w:sz w:val="20"/>
                <w:szCs w:val="20"/>
              </w:rPr>
              <w:t>Fully Attained</w:t>
            </w:r>
          </w:p>
          <w:p w14:paraId="26C26D3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BE493C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04EC2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6E3EE2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35310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0A6BCF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7AC77B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E79B0D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D8171F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9FE1B0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460810B" w14:textId="77777777" w:rsidR="00000000" w:rsidRDefault="00000000">
            <w:pPr>
              <w:keepNext/>
              <w:spacing w:before="60" w:after="60"/>
              <w:jc w:val="center"/>
              <w:rPr>
                <w:rFonts w:cs="Arial"/>
                <w:b/>
                <w:sz w:val="20"/>
                <w:szCs w:val="20"/>
              </w:rPr>
            </w:pPr>
            <w:r>
              <w:rPr>
                <w:rFonts w:cs="Arial"/>
                <w:b/>
                <w:sz w:val="20"/>
                <w:szCs w:val="20"/>
              </w:rPr>
              <w:t>(PA Critical)</w:t>
            </w:r>
          </w:p>
        </w:tc>
      </w:tr>
      <w:tr w:rsidR="005A5323" w14:paraId="6A953508" w14:textId="77777777">
        <w:tc>
          <w:tcPr>
            <w:tcW w:w="1384" w:type="dxa"/>
            <w:vAlign w:val="center"/>
          </w:tcPr>
          <w:p w14:paraId="7B9993A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C1DDA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606EC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B86F42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352566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8C9E1D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EA044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B38F8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A5323" w14:paraId="004E96A8" w14:textId="77777777">
        <w:tc>
          <w:tcPr>
            <w:tcW w:w="1384" w:type="dxa"/>
            <w:vAlign w:val="center"/>
          </w:tcPr>
          <w:p w14:paraId="792066B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B109EF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7B0588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3402BC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DD105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EC8D4A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99254C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CBD8F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1F65D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A5323" w14:paraId="23B921DD" w14:textId="77777777">
        <w:tc>
          <w:tcPr>
            <w:tcW w:w="1384" w:type="dxa"/>
            <w:vAlign w:val="center"/>
          </w:tcPr>
          <w:p w14:paraId="4363951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5BC13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10F37D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FDEE291" w14:textId="77777777" w:rsidR="00000000" w:rsidRDefault="00000000">
            <w:pPr>
              <w:keepNext/>
              <w:spacing w:before="60" w:after="60"/>
              <w:jc w:val="center"/>
              <w:rPr>
                <w:rFonts w:cs="Arial"/>
                <w:b/>
                <w:sz w:val="20"/>
                <w:szCs w:val="20"/>
              </w:rPr>
            </w:pPr>
            <w:r>
              <w:rPr>
                <w:rFonts w:cs="Arial"/>
                <w:b/>
                <w:sz w:val="20"/>
                <w:szCs w:val="20"/>
              </w:rPr>
              <w:t>Unattained Low Risk</w:t>
            </w:r>
          </w:p>
          <w:p w14:paraId="64A6A0E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76B2A0" w14:textId="77777777" w:rsidR="00000000" w:rsidRDefault="00000000">
            <w:pPr>
              <w:keepNext/>
              <w:spacing w:before="60" w:after="60"/>
              <w:jc w:val="center"/>
              <w:rPr>
                <w:rFonts w:cs="Arial"/>
                <w:b/>
                <w:sz w:val="20"/>
                <w:szCs w:val="20"/>
              </w:rPr>
            </w:pPr>
            <w:r>
              <w:rPr>
                <w:rFonts w:cs="Arial"/>
                <w:b/>
                <w:sz w:val="20"/>
                <w:szCs w:val="20"/>
              </w:rPr>
              <w:t>Unattained Moderate Risk</w:t>
            </w:r>
          </w:p>
          <w:p w14:paraId="4FAF8AA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C66088C" w14:textId="77777777" w:rsidR="00000000" w:rsidRDefault="00000000">
            <w:pPr>
              <w:keepNext/>
              <w:spacing w:before="60" w:after="60"/>
              <w:jc w:val="center"/>
              <w:rPr>
                <w:rFonts w:cs="Arial"/>
                <w:b/>
                <w:sz w:val="20"/>
                <w:szCs w:val="20"/>
              </w:rPr>
            </w:pPr>
            <w:r>
              <w:rPr>
                <w:rFonts w:cs="Arial"/>
                <w:b/>
                <w:sz w:val="20"/>
                <w:szCs w:val="20"/>
              </w:rPr>
              <w:t>Unattained High Risk</w:t>
            </w:r>
          </w:p>
          <w:p w14:paraId="1162B65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2F99BB2" w14:textId="77777777" w:rsidR="00000000" w:rsidRDefault="00000000">
            <w:pPr>
              <w:keepNext/>
              <w:spacing w:before="60" w:after="60"/>
              <w:jc w:val="center"/>
              <w:rPr>
                <w:rFonts w:cs="Arial"/>
                <w:b/>
                <w:sz w:val="20"/>
                <w:szCs w:val="20"/>
              </w:rPr>
            </w:pPr>
            <w:r>
              <w:rPr>
                <w:rFonts w:cs="Arial"/>
                <w:b/>
                <w:sz w:val="20"/>
                <w:szCs w:val="20"/>
              </w:rPr>
              <w:t>Unattained Critical Risk</w:t>
            </w:r>
          </w:p>
          <w:p w14:paraId="0CD6B3B7" w14:textId="77777777" w:rsidR="00000000" w:rsidRDefault="00000000">
            <w:pPr>
              <w:keepNext/>
              <w:spacing w:before="60" w:after="60"/>
              <w:jc w:val="center"/>
              <w:rPr>
                <w:rFonts w:cs="Arial"/>
                <w:b/>
                <w:sz w:val="20"/>
                <w:szCs w:val="20"/>
              </w:rPr>
            </w:pPr>
            <w:r>
              <w:rPr>
                <w:rFonts w:cs="Arial"/>
                <w:b/>
                <w:sz w:val="20"/>
                <w:szCs w:val="20"/>
              </w:rPr>
              <w:t>(UA Critical)</w:t>
            </w:r>
          </w:p>
        </w:tc>
      </w:tr>
      <w:tr w:rsidR="005A5323" w14:paraId="327C0BBC" w14:textId="77777777">
        <w:tc>
          <w:tcPr>
            <w:tcW w:w="1384" w:type="dxa"/>
            <w:vAlign w:val="center"/>
          </w:tcPr>
          <w:p w14:paraId="1054DF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0DE3A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E4189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7907AA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CBD2C2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054DBA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A5323" w14:paraId="027121F2" w14:textId="77777777">
        <w:tc>
          <w:tcPr>
            <w:tcW w:w="1384" w:type="dxa"/>
            <w:vAlign w:val="center"/>
          </w:tcPr>
          <w:p w14:paraId="5BDAF24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98C81F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632FE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31BA4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C3742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94BF7E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930050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3D954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F952E1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1726D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375"/>
        <w:gridCol w:w="6943"/>
      </w:tblGrid>
      <w:tr w:rsidR="005A5323" w14:paraId="478446D1" w14:textId="77777777">
        <w:tc>
          <w:tcPr>
            <w:tcW w:w="0" w:type="auto"/>
          </w:tcPr>
          <w:p w14:paraId="483AD0B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64D91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E80E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A5323" w14:paraId="6116F3D3" w14:textId="77777777">
        <w:tc>
          <w:tcPr>
            <w:tcW w:w="0" w:type="auto"/>
          </w:tcPr>
          <w:p w14:paraId="389D8D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F57BA7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983726" w14:textId="77777777" w:rsidR="00000000" w:rsidRPr="00BE00C7" w:rsidRDefault="00000000" w:rsidP="00BE00C7">
            <w:pPr>
              <w:pStyle w:val="OutcomeDescription"/>
              <w:spacing w:before="120" w:after="120"/>
              <w:rPr>
                <w:rFonts w:cs="Arial"/>
                <w:lang w:eastAsia="en-NZ"/>
              </w:rPr>
            </w:pPr>
          </w:p>
        </w:tc>
        <w:tc>
          <w:tcPr>
            <w:tcW w:w="0" w:type="auto"/>
          </w:tcPr>
          <w:p w14:paraId="71888C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76F0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documented for the service, which Longwood Care Home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w:t>
            </w:r>
          </w:p>
          <w:p w14:paraId="53E3B155" w14:textId="77777777" w:rsidR="00000000" w:rsidRPr="00BE00C7" w:rsidRDefault="00000000" w:rsidP="00BE00C7">
            <w:pPr>
              <w:pStyle w:val="OutcomeDescription"/>
              <w:spacing w:before="120" w:after="120"/>
              <w:rPr>
                <w:rFonts w:cs="Arial"/>
                <w:lang w:eastAsia="en-NZ"/>
              </w:rPr>
            </w:pPr>
          </w:p>
        </w:tc>
      </w:tr>
      <w:tr w:rsidR="005A5323" w14:paraId="3F40DDF8" w14:textId="77777777">
        <w:tc>
          <w:tcPr>
            <w:tcW w:w="0" w:type="auto"/>
          </w:tcPr>
          <w:p w14:paraId="4894DF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2571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46C9CA" w14:textId="77777777" w:rsidR="00000000" w:rsidRPr="00BE00C7" w:rsidRDefault="00000000" w:rsidP="00BE00C7">
            <w:pPr>
              <w:pStyle w:val="OutcomeDescription"/>
              <w:spacing w:before="120" w:after="120"/>
              <w:rPr>
                <w:rFonts w:cs="Arial"/>
                <w:lang w:eastAsia="en-NZ"/>
              </w:rPr>
            </w:pPr>
          </w:p>
        </w:tc>
        <w:tc>
          <w:tcPr>
            <w:tcW w:w="0" w:type="auto"/>
          </w:tcPr>
          <w:p w14:paraId="3DB820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BA17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no residents who identified as Pasifika. There were no Pasifika staff; however, the clinical manager confirmed that cultural safety for Pacific peoples, their worldviews, cultural, and spiritual beliefs are embraced at Longwood Care Home.</w:t>
            </w:r>
          </w:p>
          <w:p w14:paraId="0D1A266D" w14:textId="77777777" w:rsidR="00000000" w:rsidRPr="00BE00C7" w:rsidRDefault="00000000" w:rsidP="00BE00C7">
            <w:pPr>
              <w:pStyle w:val="OutcomeDescription"/>
              <w:spacing w:before="120" w:after="120"/>
              <w:rPr>
                <w:rFonts w:cs="Arial"/>
                <w:lang w:eastAsia="en-NZ"/>
              </w:rPr>
            </w:pPr>
          </w:p>
        </w:tc>
      </w:tr>
      <w:tr w:rsidR="005A5323" w14:paraId="1AC893A2" w14:textId="77777777">
        <w:tc>
          <w:tcPr>
            <w:tcW w:w="0" w:type="auto"/>
          </w:tcPr>
          <w:p w14:paraId="369039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6017F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8E19A1" w14:textId="77777777" w:rsidR="00000000" w:rsidRPr="00BE00C7" w:rsidRDefault="00000000" w:rsidP="00BE00C7">
            <w:pPr>
              <w:pStyle w:val="OutcomeDescription"/>
              <w:spacing w:before="120" w:after="120"/>
              <w:rPr>
                <w:rFonts w:cs="Arial"/>
                <w:lang w:eastAsia="en-NZ"/>
              </w:rPr>
            </w:pPr>
          </w:p>
        </w:tc>
        <w:tc>
          <w:tcPr>
            <w:tcW w:w="0" w:type="auto"/>
          </w:tcPr>
          <w:p w14:paraId="7079F0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FF10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care home manager and clinical manager interviewed demonstrated how the Code is also provided in welcome packs in the language most appropriate for the resident, to ensure they are fully informed of their rights. Interviews with six family/whānau (four hospital and two rest home), and six residents (three hospital level, and three rest home level) confirmed they are informed of their rights and their choices are respected.</w:t>
            </w:r>
          </w:p>
          <w:p w14:paraId="243B8777" w14:textId="77777777" w:rsidR="00000000" w:rsidRPr="00BE00C7" w:rsidRDefault="00000000" w:rsidP="00BE00C7">
            <w:pPr>
              <w:pStyle w:val="OutcomeDescription"/>
              <w:spacing w:before="120" w:after="120"/>
              <w:rPr>
                <w:rFonts w:cs="Arial"/>
                <w:lang w:eastAsia="en-NZ"/>
              </w:rPr>
            </w:pPr>
          </w:p>
        </w:tc>
      </w:tr>
      <w:tr w:rsidR="005A5323" w14:paraId="7E6C5933" w14:textId="77777777">
        <w:tc>
          <w:tcPr>
            <w:tcW w:w="0" w:type="auto"/>
          </w:tcPr>
          <w:p w14:paraId="1BD478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121BD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6035EF" w14:textId="77777777" w:rsidR="00000000" w:rsidRPr="00BE00C7" w:rsidRDefault="00000000" w:rsidP="00BE00C7">
            <w:pPr>
              <w:pStyle w:val="OutcomeDescription"/>
              <w:spacing w:before="120" w:after="120"/>
              <w:rPr>
                <w:rFonts w:cs="Arial"/>
                <w:lang w:eastAsia="en-NZ"/>
              </w:rPr>
            </w:pPr>
          </w:p>
        </w:tc>
        <w:tc>
          <w:tcPr>
            <w:tcW w:w="0" w:type="auto"/>
          </w:tcPr>
          <w:p w14:paraId="7401E1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255C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Longwood Care Home are trained in and aware of professional boundaries, as evidenced in orientation documents and ongoing education records. Eleven staff were interviewed; six caregivers, two registered nurses, one enrolled nurse, one cook and one housekeeper) and management demonstrated an understanding of professional boundaries when interviewed.</w:t>
            </w:r>
          </w:p>
          <w:p w14:paraId="3F60C4D8" w14:textId="77777777" w:rsidR="00000000" w:rsidRPr="00BE00C7" w:rsidRDefault="00000000" w:rsidP="00BE00C7">
            <w:pPr>
              <w:pStyle w:val="OutcomeDescription"/>
              <w:spacing w:before="120" w:after="120"/>
              <w:rPr>
                <w:rFonts w:cs="Arial"/>
                <w:lang w:eastAsia="en-NZ"/>
              </w:rPr>
            </w:pPr>
          </w:p>
        </w:tc>
      </w:tr>
      <w:tr w:rsidR="005A5323" w14:paraId="008A7468" w14:textId="77777777">
        <w:tc>
          <w:tcPr>
            <w:tcW w:w="0" w:type="auto"/>
          </w:tcPr>
          <w:p w14:paraId="1DA6E5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6B96F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33050D4F" w14:textId="77777777" w:rsidR="00000000" w:rsidRPr="00BE00C7" w:rsidRDefault="00000000" w:rsidP="00BE00C7">
            <w:pPr>
              <w:pStyle w:val="OutcomeDescription"/>
              <w:spacing w:before="120" w:after="120"/>
              <w:rPr>
                <w:rFonts w:cs="Arial"/>
                <w:lang w:eastAsia="en-NZ"/>
              </w:rPr>
            </w:pPr>
          </w:p>
        </w:tc>
        <w:tc>
          <w:tcPr>
            <w:tcW w:w="0" w:type="auto"/>
          </w:tcPr>
          <w:p w14:paraId="63DC66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67E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426A3BF1" w14:textId="77777777" w:rsidR="00000000" w:rsidRPr="00BE00C7" w:rsidRDefault="00000000" w:rsidP="00BE00C7">
            <w:pPr>
              <w:pStyle w:val="OutcomeDescription"/>
              <w:spacing w:before="120" w:after="120"/>
              <w:rPr>
                <w:rFonts w:cs="Arial"/>
                <w:lang w:eastAsia="en-NZ"/>
              </w:rPr>
            </w:pPr>
          </w:p>
        </w:tc>
      </w:tr>
      <w:tr w:rsidR="005A5323" w14:paraId="42CA1C70" w14:textId="77777777">
        <w:tc>
          <w:tcPr>
            <w:tcW w:w="0" w:type="auto"/>
          </w:tcPr>
          <w:p w14:paraId="5AA063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6221E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09FCEE" w14:textId="77777777" w:rsidR="00000000" w:rsidRPr="00BE00C7" w:rsidRDefault="00000000" w:rsidP="00BE00C7">
            <w:pPr>
              <w:pStyle w:val="OutcomeDescription"/>
              <w:spacing w:before="120" w:after="120"/>
              <w:rPr>
                <w:rFonts w:cs="Arial"/>
                <w:lang w:eastAsia="en-NZ"/>
              </w:rPr>
            </w:pPr>
          </w:p>
        </w:tc>
        <w:tc>
          <w:tcPr>
            <w:tcW w:w="0" w:type="auto"/>
          </w:tcPr>
          <w:p w14:paraId="783940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6E58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No internal and external complaints have been made since the previous audit. </w:t>
            </w:r>
          </w:p>
          <w:p w14:paraId="6F4373DC"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All complaints are visible to the complaints team at Bupa head office who support care home managers in the management of complaints. Residents or family/whānau making a complaint can involve an independent support person in the process if they choose. The complaints process is linked to advocacy services. Discussions with residents and family/whanau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home manager acknowledged their understanding that for Māori, there is a preference for face-to-face communication and to include family/whānau participation.</w:t>
            </w:r>
          </w:p>
          <w:p w14:paraId="09C0C173" w14:textId="77777777" w:rsidR="00000000" w:rsidRPr="00BE00C7" w:rsidRDefault="00000000" w:rsidP="00BE00C7">
            <w:pPr>
              <w:pStyle w:val="OutcomeDescription"/>
              <w:spacing w:before="120" w:after="120"/>
              <w:rPr>
                <w:rFonts w:cs="Arial"/>
                <w:lang w:eastAsia="en-NZ"/>
              </w:rPr>
            </w:pPr>
          </w:p>
        </w:tc>
      </w:tr>
      <w:tr w:rsidR="005A5323" w14:paraId="2FDB3AF3" w14:textId="77777777">
        <w:tc>
          <w:tcPr>
            <w:tcW w:w="0" w:type="auto"/>
          </w:tcPr>
          <w:p w14:paraId="5EB1CF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66C81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6BA8ECAA" w14:textId="77777777" w:rsidR="00000000" w:rsidRPr="00BE00C7" w:rsidRDefault="00000000" w:rsidP="00BE00C7">
            <w:pPr>
              <w:pStyle w:val="OutcomeDescription"/>
              <w:spacing w:before="120" w:after="120"/>
              <w:rPr>
                <w:rFonts w:cs="Arial"/>
                <w:lang w:eastAsia="en-NZ"/>
              </w:rPr>
            </w:pPr>
          </w:p>
        </w:tc>
        <w:tc>
          <w:tcPr>
            <w:tcW w:w="0" w:type="auto"/>
          </w:tcPr>
          <w:p w14:paraId="4A8C2E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DF7D0B" w14:textId="4EBF9C8E" w:rsidR="00000000" w:rsidRPr="00BE00C7" w:rsidRDefault="00000000" w:rsidP="00BE00C7">
            <w:pPr>
              <w:pStyle w:val="OutcomeDescription"/>
              <w:spacing w:before="120" w:after="120"/>
              <w:rPr>
                <w:rFonts w:cs="Arial"/>
                <w:lang w:eastAsia="en-NZ"/>
              </w:rPr>
            </w:pPr>
            <w:r w:rsidRPr="00BE00C7">
              <w:rPr>
                <w:rFonts w:cs="Arial"/>
                <w:lang w:eastAsia="en-NZ"/>
              </w:rPr>
              <w:t>Longwood Care Home is part of the Bupa group of aged care facilities. The service is currently certified for rest home and hospital (geriatric and medical) for up to 52 residents. There</w:t>
            </w:r>
            <w:r w:rsidR="0064594B">
              <w:rPr>
                <w:rFonts w:cs="Arial"/>
                <w:lang w:eastAsia="en-NZ"/>
              </w:rPr>
              <w:t xml:space="preserve"> are</w:t>
            </w:r>
            <w:r w:rsidRPr="00BE00C7">
              <w:rPr>
                <w:rFonts w:cs="Arial"/>
                <w:lang w:eastAsia="en-NZ"/>
              </w:rPr>
              <w:t xml:space="preserve"> 18 dual purpose beds. </w:t>
            </w:r>
          </w:p>
          <w:p w14:paraId="5ECD0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48 residents in total: 14 rest home residents (including three residents on respite contracts) and one hospital level resident was in the dedicated rest home area. Health New Zealand had been notified as the application notification for one hospital - level resident in a rest home service area (NOHRRA), the approval letter was </w:t>
            </w:r>
            <w:r w:rsidRPr="00BE00C7">
              <w:rPr>
                <w:rFonts w:cs="Arial"/>
                <w:lang w:eastAsia="en-NZ"/>
              </w:rPr>
              <w:lastRenderedPageBreak/>
              <w:t xml:space="preserve">sighted. There were 34 hospital level residents including one resident funded by Accident Compensation Corporation (ACC) and four residents had younger person with a disability (YPD) contracts. </w:t>
            </w:r>
          </w:p>
          <w:p w14:paraId="7B4B8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support improvement (CSI) team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1CC04595" w14:textId="10442BB3" w:rsidR="00000000" w:rsidRPr="00BE00C7" w:rsidRDefault="00000000" w:rsidP="00BE00C7">
            <w:pPr>
              <w:pStyle w:val="OutcomeDescription"/>
              <w:spacing w:before="120" w:after="120"/>
              <w:rPr>
                <w:rFonts w:cs="Arial"/>
                <w:lang w:eastAsia="en-NZ"/>
              </w:rPr>
            </w:pPr>
            <w:r w:rsidRPr="00BE00C7">
              <w:rPr>
                <w:rFonts w:cs="Arial"/>
                <w:lang w:eastAsia="en-NZ"/>
              </w:rPr>
              <w:t>Bupa is committed to supporting outcomes for Māori and address</w:t>
            </w:r>
            <w:r w:rsidR="0064594B">
              <w:rPr>
                <w:rFonts w:cs="Arial"/>
                <w:lang w:eastAsia="en-NZ"/>
              </w:rPr>
              <w:t>ing</w:t>
            </w:r>
            <w:r w:rsidRPr="00BE00C7">
              <w:rPr>
                <w:rFonts w:cs="Arial"/>
                <w:lang w:eastAsia="en-NZ"/>
              </w:rPr>
              <w:t xml:space="preserve"> barriers to provide equitable service delivery. Goals of the Māori strategy permeate through service delivery and</w:t>
            </w:r>
            <w:r w:rsidR="0064594B">
              <w:rPr>
                <w:rFonts w:cs="Arial"/>
                <w:lang w:eastAsia="en-NZ"/>
              </w:rPr>
              <w:t xml:space="preserve"> are</w:t>
            </w:r>
            <w:r w:rsidRPr="00BE00C7">
              <w:rPr>
                <w:rFonts w:cs="Arial"/>
                <w:lang w:eastAsia="en-NZ"/>
              </w:rPr>
              <w:t xml:space="preserve">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Longwood Care Home have been determined, which link to the overarching Bupa strategic plan. Goals are regularly reviewed in each quarterly quality meeting. Bupa has a clinical governance committee (CGC), risk and governance committee (RGC), a learning and development governance committee and a work health safety governance committee where analysis and reporting of relevant clinical and quality indicators is discussed in order to improve. </w:t>
            </w:r>
          </w:p>
          <w:p w14:paraId="173A1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has been in the role for eight years. The care home manager is supported by a clinical manager, who has been in the role for eight years. The care home manager and clinical manager are supported by a general manager and wider Bupa management team, which includes a regional operations manager and quality partner. The care home manager has completed the required eight hours of training related to </w:t>
            </w:r>
            <w:r w:rsidRPr="00BE00C7">
              <w:rPr>
                <w:rFonts w:cs="Arial"/>
                <w:lang w:eastAsia="en-NZ"/>
              </w:rPr>
              <w:lastRenderedPageBreak/>
              <w:t>managing an aged care facility.</w:t>
            </w:r>
          </w:p>
          <w:p w14:paraId="2B13C0E1" w14:textId="77777777" w:rsidR="00000000" w:rsidRPr="00BE00C7" w:rsidRDefault="00000000" w:rsidP="00BE00C7">
            <w:pPr>
              <w:pStyle w:val="OutcomeDescription"/>
              <w:spacing w:before="120" w:after="120"/>
              <w:rPr>
                <w:rFonts w:cs="Arial"/>
                <w:lang w:eastAsia="en-NZ"/>
              </w:rPr>
            </w:pPr>
          </w:p>
        </w:tc>
      </w:tr>
      <w:tr w:rsidR="005A5323" w14:paraId="2CC24B9B" w14:textId="77777777">
        <w:tc>
          <w:tcPr>
            <w:tcW w:w="0" w:type="auto"/>
          </w:tcPr>
          <w:p w14:paraId="087153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E9CF3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626D641" w14:textId="77777777" w:rsidR="00000000" w:rsidRPr="00BE00C7" w:rsidRDefault="00000000" w:rsidP="00BE00C7">
            <w:pPr>
              <w:pStyle w:val="OutcomeDescription"/>
              <w:spacing w:before="120" w:after="120"/>
              <w:rPr>
                <w:rFonts w:cs="Arial"/>
                <w:lang w:eastAsia="en-NZ"/>
              </w:rPr>
            </w:pPr>
          </w:p>
        </w:tc>
        <w:tc>
          <w:tcPr>
            <w:tcW w:w="0" w:type="auto"/>
          </w:tcPr>
          <w:p w14:paraId="7AF663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49F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Longwood Care Home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prevention control/pandemic strategies; complaints; staffing; and education. Internal audits, meetings and collation of data were documented as taking place with corrective actions documented where indicated to address service improvements and evidence of progress and sign off when achieved. Quality data, health and safety goals and progress towards attainment are discussed at quality and general staff meetings. Quality data and trends are added to meeting minutes and held in folders in the staffroom. </w:t>
            </w:r>
          </w:p>
          <w:p w14:paraId="067C6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at quality meetings to ensure any outstanding matters are addressed with sign off when completed. Quality improvement projects include minimising the incidence of pressure injuries, resident falls, and a food uplift programme to improve the dining experience. Benchmarking occurs on a national level against other Bupa facilities. Resident and family/whānau satisfaction surveys are managed by head office. The most recent resident and family/whānau satisfaction survey (March  2025) had been correlated and analysed at head office and indicate that residents have reported higher levels of satisfaction in most areas of service in 2025 from 2024. Corrective actions were implemented related to the food service. Results have been communicated to residents in the four monthly resident and family/whānau meetings and on the noticeboard at the main entrance. </w:t>
            </w:r>
          </w:p>
          <w:p w14:paraId="6D3AE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Staff are kept informed on health and safety issues in handovers, meetings and via toolbox talks. Electronic entries are completed for each incident/accident, and immediate action is documented with any follow-up action(s) required, evidenced in a sample of twelve accident/incident records reviewed. This included timely notification to the residents’ next of kin or primary contact. Incident and accident data is collated monthly and </w:t>
            </w:r>
            <w:r w:rsidRPr="00BE00C7">
              <w:rPr>
                <w:rFonts w:cs="Arial"/>
                <w:lang w:eastAsia="en-NZ"/>
              </w:rPr>
              <w:lastRenderedPageBreak/>
              <w:t>analysed. A report goes to each operational team/governance team and generates alerts depending on the risk level. Results are discussed in the quality and general staff meetings and at handover. Each event involving a resident reflected a clinical assessment and a timely follow up by a registered or enrolled nurse.</w:t>
            </w:r>
          </w:p>
          <w:p w14:paraId="08795E1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home manager and clinical manager evidenced awareness of their requirement to notify relevant authorities in relation to essential notifications. There have been nine Section 31 notifications completed since the last audit in August 2023 to notify HealthCERT of registered nurse shortages, a resident accident, a resident leaving the facility. Two resident falls resulting in fractures and one stage three pressure injury were notified with severity assessment score (SAC) reporting forms to the Health Safety and Quality Commission. Part B information has been provided for the SAC forms as required. There have been three outbreaks since the previous audit. All have been appropriately notified to Health New Zealand and Public Health.</w:t>
            </w:r>
          </w:p>
          <w:p w14:paraId="331AF8A9" w14:textId="77777777" w:rsidR="00000000" w:rsidRPr="00BE00C7" w:rsidRDefault="00000000" w:rsidP="00BE00C7">
            <w:pPr>
              <w:pStyle w:val="OutcomeDescription"/>
              <w:spacing w:before="120" w:after="120"/>
              <w:rPr>
                <w:rFonts w:cs="Arial"/>
                <w:lang w:eastAsia="en-NZ"/>
              </w:rPr>
            </w:pPr>
          </w:p>
        </w:tc>
      </w:tr>
      <w:tr w:rsidR="005A5323" w14:paraId="0FF0F797" w14:textId="77777777">
        <w:tc>
          <w:tcPr>
            <w:tcW w:w="0" w:type="auto"/>
          </w:tcPr>
          <w:p w14:paraId="34DB35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89F5D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4DA1701" w14:textId="77777777" w:rsidR="00000000" w:rsidRPr="00BE00C7" w:rsidRDefault="00000000" w:rsidP="00BE00C7">
            <w:pPr>
              <w:pStyle w:val="OutcomeDescription"/>
              <w:spacing w:before="120" w:after="120"/>
              <w:rPr>
                <w:rFonts w:cs="Arial"/>
                <w:lang w:eastAsia="en-NZ"/>
              </w:rPr>
            </w:pPr>
          </w:p>
        </w:tc>
        <w:tc>
          <w:tcPr>
            <w:tcW w:w="0" w:type="auto"/>
          </w:tcPr>
          <w:p w14:paraId="6DB17B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CA54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care home manager, clinical manager are available full time from Monday to Friday. On-call cover for all Bupa facilities in the South Island region is covered by an eight-week rotation of one care home manager and one clinical manager each week. The registered nurses, activities staff and a selection of caregivers hold current first aid certificates. A first aid trained staff member is on duty 24/7. Staff and residents are informed when there are changes to staffing levels, evidenced in staff interviews. Longwood is fully staffed, the last section 31 completed regarding registered nurse staffing was in July 2024. The previous shortfall 2.3.1 has been addressed. </w:t>
            </w:r>
          </w:p>
          <w:p w14:paraId="091C5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schedule was completed for 2024 with 100% of all staff completing mandatory training and competencies. The 2025 annual education and training schedule is being implemented for 2025. The education and training schedule lists compulsory training, which includes Māori health, tikanga, and Te Tiriti o Waitangi. Cultural awareness training is part of orientation and provided annually to all staff. External training opportunities for care staff include training through Health New Zealand and hospice. Caregivers are encouraged to attain Careerforce New </w:t>
            </w:r>
            <w:r w:rsidRPr="00BE00C7">
              <w:rPr>
                <w:rFonts w:cs="Arial"/>
                <w:lang w:eastAsia="en-NZ"/>
              </w:rPr>
              <w:lastRenderedPageBreak/>
              <w:t xml:space="preserve">Zealand Qualifications Authority training (NZQA) levels in Health and Wellbeing, 32 of 34 caregivers have attained a level two NZQA qualification or higher with nine staff currently working on increasing their level of training eg from level two to level three. Impromptu toolbox talks have been completed on topics including (but not limited to) skin tear/bruising, Covid-19/outbreak management, nutrition and weight management, pressure injury and falls prevention, and resident behavioural concerns. </w:t>
            </w:r>
          </w:p>
          <w:p w14:paraId="1F74A9A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Registered nurses are encouraged to attend the Bupa qualified staff forum each year and to commence and complete a professional development recognition programme (PDRP). A record of completion is maintained on an electronic register. Annual competencies include (but are not limited to) hand hygiene, moving and handling, and correct use of personal protective equipment. Caregivers who have completed NZQA level four undertake many of the same competencies as the registered staff (e.g., medication administration, controlled drug administration, nebuliser, blood sugar levels and insulin administration and oxygen administration). Additional registered nurse specific competencies include syringe driver, and interRAI assessment competency. There are eleven registered nurses and one enrolled nurse (including the clinical manager) with three registered nurses being interRAI trained.</w:t>
            </w:r>
          </w:p>
          <w:p w14:paraId="599DA5DD" w14:textId="77777777" w:rsidR="00000000" w:rsidRPr="00BE00C7" w:rsidRDefault="00000000" w:rsidP="00BE00C7">
            <w:pPr>
              <w:pStyle w:val="OutcomeDescription"/>
              <w:spacing w:before="120" w:after="120"/>
              <w:rPr>
                <w:rFonts w:cs="Arial"/>
                <w:lang w:eastAsia="en-NZ"/>
              </w:rPr>
            </w:pPr>
          </w:p>
        </w:tc>
      </w:tr>
      <w:tr w:rsidR="005A5323" w14:paraId="0369A089" w14:textId="77777777">
        <w:tc>
          <w:tcPr>
            <w:tcW w:w="0" w:type="auto"/>
          </w:tcPr>
          <w:p w14:paraId="2A5709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0E0B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EB405B" w14:textId="77777777" w:rsidR="00000000" w:rsidRPr="00BE00C7" w:rsidRDefault="00000000" w:rsidP="00BE00C7">
            <w:pPr>
              <w:pStyle w:val="OutcomeDescription"/>
              <w:spacing w:before="120" w:after="120"/>
              <w:rPr>
                <w:rFonts w:cs="Arial"/>
                <w:lang w:eastAsia="en-NZ"/>
              </w:rPr>
            </w:pPr>
          </w:p>
        </w:tc>
        <w:tc>
          <w:tcPr>
            <w:tcW w:w="0" w:type="auto"/>
          </w:tcPr>
          <w:p w14:paraId="4510E0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6FB8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(one clinical manager, one registered nurse, two caregivers, one cook and one housekeeper)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6008AA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and enrolled nurses and caregivers to provide a culturally safe environment for Māori. All staff who have been employed for a year or more </w:t>
            </w:r>
            <w:r w:rsidRPr="00BE00C7">
              <w:rPr>
                <w:rFonts w:cs="Arial"/>
                <w:lang w:eastAsia="en-NZ"/>
              </w:rPr>
              <w:lastRenderedPageBreak/>
              <w:t>have a current performance appraisal on file.</w:t>
            </w:r>
          </w:p>
          <w:p w14:paraId="47758B31" w14:textId="77777777" w:rsidR="00000000" w:rsidRPr="00BE00C7" w:rsidRDefault="00000000" w:rsidP="00BE00C7">
            <w:pPr>
              <w:pStyle w:val="OutcomeDescription"/>
              <w:spacing w:before="120" w:after="120"/>
              <w:rPr>
                <w:rFonts w:cs="Arial"/>
                <w:lang w:eastAsia="en-NZ"/>
              </w:rPr>
            </w:pPr>
          </w:p>
        </w:tc>
      </w:tr>
      <w:tr w:rsidR="005A5323" w14:paraId="55AA1672" w14:textId="77777777">
        <w:tc>
          <w:tcPr>
            <w:tcW w:w="0" w:type="auto"/>
          </w:tcPr>
          <w:p w14:paraId="064051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C726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527335" w14:textId="77777777" w:rsidR="00000000" w:rsidRPr="00BE00C7" w:rsidRDefault="00000000" w:rsidP="00BE00C7">
            <w:pPr>
              <w:pStyle w:val="OutcomeDescription"/>
              <w:spacing w:before="120" w:after="120"/>
              <w:rPr>
                <w:rFonts w:cs="Arial"/>
                <w:lang w:eastAsia="en-NZ"/>
              </w:rPr>
            </w:pPr>
          </w:p>
        </w:tc>
        <w:tc>
          <w:tcPr>
            <w:tcW w:w="0" w:type="auto"/>
          </w:tcPr>
          <w:p w14:paraId="251AA0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859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hospital (including four people with YPD contracts, one resident was funded ACC) and two rest home residents’ files (including a person on respite care). The registered nurses and enrolled nurses are responsible for all residents’ assessments, care planning and evaluation of care. Care plans are based on data collected during the initial nursing assessments and information from pre-entry assessments. </w:t>
            </w:r>
          </w:p>
          <w:p w14:paraId="65BA70D0" w14:textId="32E6E154"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One respite (YPD) resident had a short stay nursing assessment and care plan completed within 24hours. The individualised long-term care plans are developed with information gathered during the initial assessments and the interRAI assessment. All long-term care plans and interRAI assessments (including YPD sampled</w:t>
            </w:r>
            <w:r w:rsidR="0064594B">
              <w:rPr>
                <w:rFonts w:cs="Arial"/>
                <w:lang w:eastAsia="en-NZ"/>
              </w:rPr>
              <w:t xml:space="preserve">) </w:t>
            </w:r>
            <w:r w:rsidRPr="00BE00C7">
              <w:rPr>
                <w:rFonts w:cs="Arial"/>
                <w:lang w:eastAsia="en-NZ"/>
              </w:rPr>
              <w:t xml:space="preserve">had been completed within three weeks of the residents’ admission to the facility. Documented interventions and early warning signs meet all of the residents’ assessed physical, medical, social, and cultural needs. </w:t>
            </w:r>
          </w:p>
          <w:p w14:paraId="3C86C6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1979649B"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nurses and enrolled nurses. Long-term care plans are formally evaluated every six months in conjunction with the interRAI re-assessments and when there is a change in the resident’s condition. Evaluations are documented by a registered nurse or enrolled nurse and include the degree of achievement towards meeting desired goals and outcomes. Residents interviewed confirmed assessments are completed according to their needs and in the privacy of their bedrooms.</w:t>
            </w:r>
          </w:p>
          <w:p w14:paraId="611554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w:t>
            </w:r>
            <w:r w:rsidRPr="00BE00C7">
              <w:rPr>
                <w:rFonts w:cs="Arial"/>
                <w:lang w:eastAsia="en-NZ"/>
              </w:rPr>
              <w:lastRenderedPageBreak/>
              <w:t xml:space="preserve">family/whānau are informed where there is a change in health status. </w:t>
            </w:r>
          </w:p>
          <w:p w14:paraId="0A63AC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within the required timeframe following admission. In the absence of the nurse practitioner or on call the general practitioners who work at the medical centre provide cover. Residents have ongoing reviews by the nurse practitioner within required timeframes and when their health status changes. Medical documentation and records reviewed were current. The general practitioner interviewed stated there was good communication with the service and that they were informed of concerns in a timely manner. The local medical centres are available on call after hours for the facility. A physiotherapist visits the facility weekly and on request, to review residents referred by the clinical manager/registered nurses. A podiatrist visits regularly and a dietitian, speech language therapist continence advisor, hospice and medical specialists are available as required through Health New Zealand. </w:t>
            </w:r>
          </w:p>
          <w:p w14:paraId="2CEAA8EC"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Photographs were taken when this was required. Where wounds required additional specialist input, this was initiated, and a wound nurse specialist was consulted. At the time of the audit there were three active wounds, including two grazes and a skin tear. Appropriate notifications were sighted.</w:t>
            </w:r>
          </w:p>
          <w:p w14:paraId="415F20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are not limited to) monthly blood pressure; weight monitoring; bowel records; repositioning chart; blood glucose levels; intentional rounding, food intake charts, fluid balance monitoring, stress, and distress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2C79BF3B" w14:textId="0EA76A44" w:rsidR="00000000" w:rsidRPr="00BE00C7" w:rsidRDefault="00000000" w:rsidP="0064594B">
            <w:pPr>
              <w:pStyle w:val="OutcomeDescription"/>
              <w:spacing w:before="120" w:after="120"/>
              <w:rPr>
                <w:rFonts w:cs="Arial"/>
                <w:lang w:eastAsia="en-NZ"/>
              </w:rPr>
            </w:pPr>
          </w:p>
        </w:tc>
      </w:tr>
      <w:tr w:rsidR="005A5323" w14:paraId="18A3149B" w14:textId="77777777">
        <w:tc>
          <w:tcPr>
            <w:tcW w:w="0" w:type="auto"/>
          </w:tcPr>
          <w:p w14:paraId="792BE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58A24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AD66FF" w14:textId="77777777" w:rsidR="00000000" w:rsidRPr="00BE00C7" w:rsidRDefault="00000000" w:rsidP="00BE00C7">
            <w:pPr>
              <w:pStyle w:val="OutcomeDescription"/>
              <w:spacing w:before="120" w:after="120"/>
              <w:rPr>
                <w:rFonts w:cs="Arial"/>
                <w:lang w:eastAsia="en-NZ"/>
              </w:rPr>
            </w:pPr>
          </w:p>
        </w:tc>
        <w:tc>
          <w:tcPr>
            <w:tcW w:w="0" w:type="auto"/>
          </w:tcPr>
          <w:p w14:paraId="7A552B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6A8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for safe medicine management that meet legislative </w:t>
            </w:r>
            <w:r w:rsidRPr="00BE00C7">
              <w:rPr>
                <w:rFonts w:cs="Arial"/>
                <w:lang w:eastAsia="en-NZ"/>
              </w:rPr>
              <w:lastRenderedPageBreak/>
              <w:t>requirements. Staff who administer medications on the days of the audit have been assessed for competency on an annual basis. Education around safe medication administration has been provided as part of the competency process. Registered nurses are required to complete syringe driver training. The annual medication competency schedule was fully completed.</w:t>
            </w:r>
          </w:p>
          <w:p w14:paraId="02384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rolls for regular medication, blister packs for controlled drugs and short course, and bottles for as required medications. All medications are checked on delivery against the medication chart and any discrepancies are fed back to the supplying pharmacy. </w:t>
            </w:r>
          </w:p>
          <w:p w14:paraId="44309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and all were within accepted ranges. All stored medications are checked weekly. Eyedrops have been dated on opening. </w:t>
            </w:r>
          </w:p>
          <w:p w14:paraId="170B8C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electronic medication charts and one paper chart were reviewed. The medication charts reviewed identified that the nurse practitioner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was one resident self-administering medication, this resident was at Longwood on respite. Where the resident is self-administering their medications, the care plans reflected required interventions and safe storage to align with the Bupa Types of Medication Administration policy. Competency assessments to self-administrate medications are completed for all residents and reviewed every six months. No vaccines are kept on site and no standing orders are used. </w:t>
            </w:r>
          </w:p>
          <w:p w14:paraId="3111D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1537CC3E" w14:textId="77777777" w:rsidR="00000000" w:rsidRPr="00BE00C7" w:rsidRDefault="00000000" w:rsidP="00BE00C7">
            <w:pPr>
              <w:pStyle w:val="OutcomeDescription"/>
              <w:spacing w:before="120" w:after="120"/>
              <w:rPr>
                <w:rFonts w:cs="Arial"/>
                <w:lang w:eastAsia="en-NZ"/>
              </w:rPr>
            </w:pPr>
          </w:p>
        </w:tc>
      </w:tr>
      <w:tr w:rsidR="005A5323" w14:paraId="3A6D7CFB" w14:textId="77777777">
        <w:tc>
          <w:tcPr>
            <w:tcW w:w="0" w:type="auto"/>
          </w:tcPr>
          <w:p w14:paraId="435A4C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A482E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E362F00" w14:textId="77777777" w:rsidR="00000000" w:rsidRPr="00BE00C7" w:rsidRDefault="00000000" w:rsidP="00BE00C7">
            <w:pPr>
              <w:pStyle w:val="OutcomeDescription"/>
              <w:spacing w:before="120" w:after="120"/>
              <w:rPr>
                <w:rFonts w:cs="Arial"/>
                <w:lang w:eastAsia="en-NZ"/>
              </w:rPr>
            </w:pPr>
          </w:p>
        </w:tc>
        <w:tc>
          <w:tcPr>
            <w:tcW w:w="0" w:type="auto"/>
          </w:tcPr>
          <w:p w14:paraId="3FB5F6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03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7D0A87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had expired 22 September 2025. The residents and family/whānau interviewed were complimentary regarding the standard of food provided.</w:t>
            </w:r>
          </w:p>
          <w:p w14:paraId="17EEACF2" w14:textId="77777777" w:rsidR="00000000" w:rsidRPr="00BE00C7" w:rsidRDefault="00000000" w:rsidP="00BE00C7">
            <w:pPr>
              <w:pStyle w:val="OutcomeDescription"/>
              <w:spacing w:before="120" w:after="120"/>
              <w:rPr>
                <w:rFonts w:cs="Arial"/>
                <w:lang w:eastAsia="en-NZ"/>
              </w:rPr>
            </w:pPr>
          </w:p>
        </w:tc>
      </w:tr>
      <w:tr w:rsidR="005A5323" w14:paraId="17A360A9" w14:textId="77777777">
        <w:tc>
          <w:tcPr>
            <w:tcW w:w="0" w:type="auto"/>
          </w:tcPr>
          <w:p w14:paraId="15608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2C5E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E0AB681" w14:textId="77777777" w:rsidR="00000000" w:rsidRPr="00BE00C7" w:rsidRDefault="00000000" w:rsidP="00BE00C7">
            <w:pPr>
              <w:pStyle w:val="OutcomeDescription"/>
              <w:spacing w:before="120" w:after="120"/>
              <w:rPr>
                <w:rFonts w:cs="Arial"/>
                <w:lang w:eastAsia="en-NZ"/>
              </w:rPr>
            </w:pPr>
          </w:p>
        </w:tc>
        <w:tc>
          <w:tcPr>
            <w:tcW w:w="0" w:type="auto"/>
          </w:tcPr>
          <w:p w14:paraId="2C086E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6A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to ensure residents have a documented discharge or transfer, transition plan, which includes their current needs and risk mitigation. Planned discharges or transfers were coordinated in collaboration with the resident (where appropriate), family/whānau and other service providers to ensure continuity of care. </w:t>
            </w:r>
          </w:p>
          <w:p w14:paraId="7B9B80A6" w14:textId="77777777" w:rsidR="00000000" w:rsidRPr="00BE00C7" w:rsidRDefault="00000000" w:rsidP="00BE00C7">
            <w:pPr>
              <w:pStyle w:val="OutcomeDescription"/>
              <w:spacing w:before="120" w:after="120"/>
              <w:rPr>
                <w:rFonts w:cs="Arial"/>
                <w:lang w:eastAsia="en-NZ"/>
              </w:rPr>
            </w:pPr>
          </w:p>
        </w:tc>
      </w:tr>
      <w:tr w:rsidR="005A5323" w14:paraId="5C9FA059" w14:textId="77777777">
        <w:tc>
          <w:tcPr>
            <w:tcW w:w="0" w:type="auto"/>
          </w:tcPr>
          <w:p w14:paraId="71BFEC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AE90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07C8B870" w14:textId="77777777" w:rsidR="00000000" w:rsidRPr="00BE00C7" w:rsidRDefault="00000000" w:rsidP="00BE00C7">
            <w:pPr>
              <w:pStyle w:val="OutcomeDescription"/>
              <w:spacing w:before="120" w:after="120"/>
              <w:rPr>
                <w:rFonts w:cs="Arial"/>
                <w:lang w:eastAsia="en-NZ"/>
              </w:rPr>
            </w:pPr>
          </w:p>
        </w:tc>
        <w:tc>
          <w:tcPr>
            <w:tcW w:w="0" w:type="auto"/>
          </w:tcPr>
          <w:p w14:paraId="3A5865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29B588" w14:textId="77777777" w:rsidR="00000000"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Longwood Care Home and comply with legislation relevant to the health and disability services being provided. The environment is inclusive of people’s cultures and supports cultural practices as residents are able to bring personal items. There is a permanent maintenance person Monday to Fridays. A 52-week maintenance plan is documented, implemented, and include annual calibration of medical equipment (last done in January 2025) and testing and tagging of electrical equipment. Weekly hot water temperatures are completed across the facility and evidence to be within the appropriate </w:t>
            </w:r>
            <w:r w:rsidRPr="00BE00C7">
              <w:rPr>
                <w:rFonts w:cs="Arial"/>
                <w:lang w:eastAsia="en-NZ"/>
              </w:rPr>
              <w:lastRenderedPageBreak/>
              <w:t xml:space="preserve">parameters. A building warrant of fitness expires 1 October 2025. </w:t>
            </w:r>
          </w:p>
          <w:p w14:paraId="2191420D" w14:textId="014975F9" w:rsidR="00752106" w:rsidRPr="00BE00C7" w:rsidRDefault="00752106" w:rsidP="00BE00C7">
            <w:pPr>
              <w:pStyle w:val="OutcomeDescription"/>
              <w:spacing w:before="120" w:after="120"/>
              <w:rPr>
                <w:rFonts w:cs="Arial"/>
                <w:lang w:eastAsia="en-NZ"/>
              </w:rPr>
            </w:pPr>
          </w:p>
        </w:tc>
      </w:tr>
      <w:tr w:rsidR="005A5323" w14:paraId="23BB04E5" w14:textId="77777777">
        <w:tc>
          <w:tcPr>
            <w:tcW w:w="0" w:type="auto"/>
          </w:tcPr>
          <w:p w14:paraId="72D755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A08CF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F14D513" w14:textId="77777777" w:rsidR="00000000" w:rsidRPr="00BE00C7" w:rsidRDefault="00000000" w:rsidP="00BE00C7">
            <w:pPr>
              <w:pStyle w:val="OutcomeDescription"/>
              <w:spacing w:before="120" w:after="120"/>
              <w:rPr>
                <w:rFonts w:cs="Arial"/>
                <w:lang w:eastAsia="en-NZ"/>
              </w:rPr>
            </w:pPr>
          </w:p>
        </w:tc>
        <w:tc>
          <w:tcPr>
            <w:tcW w:w="0" w:type="auto"/>
          </w:tcPr>
          <w:p w14:paraId="6D3F2B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85A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programme has been developed by Bupa and their in-house infection control specialists, including the pandemic plan. The infection prevention and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This links to the overarching quality programme and the infection control programme is reviewed, evaluated, and reported on annually. </w:t>
            </w:r>
          </w:p>
          <w:p w14:paraId="4187ED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16BB1FAE" w14:textId="77777777" w:rsidR="00000000" w:rsidRPr="00BE00C7" w:rsidRDefault="00000000" w:rsidP="00BE00C7">
            <w:pPr>
              <w:pStyle w:val="OutcomeDescription"/>
              <w:spacing w:before="120" w:after="120"/>
              <w:rPr>
                <w:rFonts w:cs="Arial"/>
                <w:lang w:eastAsia="en-NZ"/>
              </w:rPr>
            </w:pPr>
          </w:p>
        </w:tc>
      </w:tr>
      <w:tr w:rsidR="005A5323" w14:paraId="2A5E9CB4" w14:textId="77777777">
        <w:tc>
          <w:tcPr>
            <w:tcW w:w="0" w:type="auto"/>
          </w:tcPr>
          <w:p w14:paraId="58B77E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8B9F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161DF10" w14:textId="77777777" w:rsidR="00000000" w:rsidRPr="00BE00C7" w:rsidRDefault="00000000" w:rsidP="00BE00C7">
            <w:pPr>
              <w:pStyle w:val="OutcomeDescription"/>
              <w:spacing w:before="120" w:after="120"/>
              <w:rPr>
                <w:rFonts w:cs="Arial"/>
                <w:lang w:eastAsia="en-NZ"/>
              </w:rPr>
            </w:pPr>
          </w:p>
        </w:tc>
        <w:tc>
          <w:tcPr>
            <w:tcW w:w="0" w:type="auto"/>
          </w:tcPr>
          <w:p w14:paraId="72B72F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B072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Bupa infection prevention and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prevention and control audits are completed with corrective actions for areas of improvement. The service receives regular notifications and alerts from Health New Zealand. </w:t>
            </w:r>
          </w:p>
          <w:p w14:paraId="2435F0B3" w14:textId="438B79D6"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have been two Covid-19 outbreaks (April/May 2024 and January 2025), </w:t>
            </w:r>
            <w:r w:rsidR="00752106">
              <w:rPr>
                <w:rFonts w:cs="Arial"/>
                <w:lang w:eastAsia="en-NZ"/>
              </w:rPr>
              <w:t xml:space="preserve">and </w:t>
            </w:r>
            <w:r w:rsidRPr="00BE00C7">
              <w:rPr>
                <w:rFonts w:cs="Arial"/>
                <w:lang w:eastAsia="en-NZ"/>
              </w:rPr>
              <w:t xml:space="preserve">an influenza outbreak (July 2024). All have been appropriately notified to Health New Zealand and Public Health. There was evidence of regular communication with the Bupa infection control lead. Toolbox meetings (sighted) were held, and staff were debriefed with `lessons learned` captured and discussed to prevent, prepare for, and respond to future infectious disease outbreaks. Outbreak logs were completed. Residents and family/whānau were updated regularly through the outbreaks. </w:t>
            </w:r>
          </w:p>
          <w:p w14:paraId="445FCD95" w14:textId="77777777" w:rsidR="00000000" w:rsidRPr="00BE00C7" w:rsidRDefault="00000000" w:rsidP="00BE00C7">
            <w:pPr>
              <w:pStyle w:val="OutcomeDescription"/>
              <w:spacing w:before="120" w:after="120"/>
              <w:rPr>
                <w:rFonts w:cs="Arial"/>
                <w:lang w:eastAsia="en-NZ"/>
              </w:rPr>
            </w:pPr>
          </w:p>
        </w:tc>
      </w:tr>
      <w:tr w:rsidR="005A5323" w14:paraId="7AF40C16" w14:textId="77777777">
        <w:tc>
          <w:tcPr>
            <w:tcW w:w="0" w:type="auto"/>
          </w:tcPr>
          <w:p w14:paraId="0AAE7B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2C412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0952AB" w14:textId="77777777" w:rsidR="00000000" w:rsidRPr="00BE00C7" w:rsidRDefault="00000000" w:rsidP="00BE00C7">
            <w:pPr>
              <w:pStyle w:val="OutcomeDescription"/>
              <w:spacing w:before="120" w:after="120"/>
              <w:rPr>
                <w:rFonts w:cs="Arial"/>
                <w:lang w:eastAsia="en-NZ"/>
              </w:rPr>
            </w:pPr>
          </w:p>
        </w:tc>
        <w:tc>
          <w:tcPr>
            <w:tcW w:w="0" w:type="auto"/>
          </w:tcPr>
          <w:p w14:paraId="5BB525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70DA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demonstrate a commitment to eliminating restraint. The facility maintains a focus on ensuring care is provided in the least restrictive way possible. The clinical manager undertakes the restraint portfolio and drives the ongoing Bupa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mana-enhancing. There were no residents using restraints. </w:t>
            </w:r>
          </w:p>
          <w:p w14:paraId="377801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at orientation and annually. </w:t>
            </w:r>
          </w:p>
          <w:p w14:paraId="11D6DD4A" w14:textId="77777777" w:rsidR="00000000" w:rsidRPr="00BE00C7" w:rsidRDefault="00000000" w:rsidP="00BE00C7">
            <w:pPr>
              <w:pStyle w:val="OutcomeDescription"/>
              <w:spacing w:before="120" w:after="120"/>
              <w:rPr>
                <w:rFonts w:cs="Arial"/>
                <w:lang w:eastAsia="en-NZ"/>
              </w:rPr>
            </w:pPr>
          </w:p>
        </w:tc>
      </w:tr>
    </w:tbl>
    <w:p w14:paraId="7F80AEA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B88CCB" w14:textId="77777777" w:rsidR="00000000" w:rsidRDefault="00000000">
      <w:pPr>
        <w:pStyle w:val="Heading1"/>
        <w:rPr>
          <w:rFonts w:cs="Arial"/>
        </w:rPr>
      </w:pPr>
      <w:r>
        <w:rPr>
          <w:rFonts w:cs="Arial"/>
        </w:rPr>
        <w:lastRenderedPageBreak/>
        <w:t>Specific results for criterion where corrective actions are required</w:t>
      </w:r>
    </w:p>
    <w:p w14:paraId="70FDF8A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A39CFC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E4D15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A5323" w14:paraId="0A05BCD7" w14:textId="77777777">
        <w:tc>
          <w:tcPr>
            <w:tcW w:w="0" w:type="auto"/>
          </w:tcPr>
          <w:p w14:paraId="434004D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92A41B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272F58" w14:textId="77777777" w:rsidR="00000000" w:rsidRDefault="00000000">
      <w:pPr>
        <w:pStyle w:val="Heading1"/>
        <w:rPr>
          <w:rFonts w:cs="Arial"/>
        </w:rPr>
      </w:pPr>
      <w:r>
        <w:rPr>
          <w:rFonts w:cs="Arial"/>
        </w:rPr>
        <w:lastRenderedPageBreak/>
        <w:t>Specific results for criterion where a continuous improvement has been recorded</w:t>
      </w:r>
    </w:p>
    <w:p w14:paraId="4B50091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7A04E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1A352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A5323" w14:paraId="7275DAA5" w14:textId="77777777">
        <w:tc>
          <w:tcPr>
            <w:tcW w:w="0" w:type="auto"/>
          </w:tcPr>
          <w:p w14:paraId="74761E5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E51E84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7479FE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59A4" w14:textId="77777777" w:rsidR="007414B7" w:rsidRDefault="007414B7">
      <w:r>
        <w:separator/>
      </w:r>
    </w:p>
  </w:endnote>
  <w:endnote w:type="continuationSeparator" w:id="0">
    <w:p w14:paraId="3D998FD1" w14:textId="77777777" w:rsidR="007414B7" w:rsidRDefault="0074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16F1" w14:textId="77777777" w:rsidR="00000000" w:rsidRDefault="00000000">
    <w:pPr>
      <w:pStyle w:val="Footer"/>
    </w:pPr>
  </w:p>
  <w:p w14:paraId="0B6BD267" w14:textId="77777777" w:rsidR="00000000" w:rsidRDefault="00000000"/>
  <w:p w14:paraId="42736B6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D7D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Longwood Rest Home</w:t>
    </w:r>
    <w:bookmarkEnd w:id="59"/>
    <w:r>
      <w:rPr>
        <w:rFonts w:cs="Arial"/>
        <w:sz w:val="16"/>
        <w:szCs w:val="20"/>
      </w:rPr>
      <w:tab/>
      <w:t xml:space="preserve">Date of Audit: </w:t>
    </w:r>
    <w:bookmarkStart w:id="60" w:name="AuditStartDate1"/>
    <w:r>
      <w:rPr>
        <w:rFonts w:cs="Arial"/>
        <w:sz w:val="16"/>
        <w:szCs w:val="20"/>
      </w:rPr>
      <w:t>27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A4A000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44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7B02" w14:textId="77777777" w:rsidR="007414B7" w:rsidRDefault="007414B7">
      <w:r>
        <w:separator/>
      </w:r>
    </w:p>
  </w:footnote>
  <w:footnote w:type="continuationSeparator" w:id="0">
    <w:p w14:paraId="48E3FE04" w14:textId="77777777" w:rsidR="007414B7" w:rsidRDefault="0074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D2A" w14:textId="77777777" w:rsidR="00000000" w:rsidRDefault="00000000">
    <w:pPr>
      <w:pStyle w:val="Header"/>
    </w:pPr>
  </w:p>
  <w:p w14:paraId="6102383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69EE" w14:textId="77777777" w:rsidR="00000000" w:rsidRDefault="00000000">
    <w:pPr>
      <w:pStyle w:val="Header"/>
    </w:pPr>
  </w:p>
  <w:p w14:paraId="4CA485E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B6E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D207184">
      <w:start w:val="1"/>
      <w:numFmt w:val="decimal"/>
      <w:lvlText w:val="%1."/>
      <w:lvlJc w:val="left"/>
      <w:pPr>
        <w:ind w:left="360" w:hanging="360"/>
      </w:pPr>
    </w:lvl>
    <w:lvl w:ilvl="1" w:tplc="322A00DC" w:tentative="1">
      <w:start w:val="1"/>
      <w:numFmt w:val="lowerLetter"/>
      <w:lvlText w:val="%2."/>
      <w:lvlJc w:val="left"/>
      <w:pPr>
        <w:ind w:left="1080" w:hanging="360"/>
      </w:pPr>
    </w:lvl>
    <w:lvl w:ilvl="2" w:tplc="363AAC56" w:tentative="1">
      <w:start w:val="1"/>
      <w:numFmt w:val="lowerRoman"/>
      <w:lvlText w:val="%3."/>
      <w:lvlJc w:val="right"/>
      <w:pPr>
        <w:ind w:left="1800" w:hanging="180"/>
      </w:pPr>
    </w:lvl>
    <w:lvl w:ilvl="3" w:tplc="DD3283A8" w:tentative="1">
      <w:start w:val="1"/>
      <w:numFmt w:val="decimal"/>
      <w:lvlText w:val="%4."/>
      <w:lvlJc w:val="left"/>
      <w:pPr>
        <w:ind w:left="2520" w:hanging="360"/>
      </w:pPr>
    </w:lvl>
    <w:lvl w:ilvl="4" w:tplc="542689EE" w:tentative="1">
      <w:start w:val="1"/>
      <w:numFmt w:val="lowerLetter"/>
      <w:lvlText w:val="%5."/>
      <w:lvlJc w:val="left"/>
      <w:pPr>
        <w:ind w:left="3240" w:hanging="360"/>
      </w:pPr>
    </w:lvl>
    <w:lvl w:ilvl="5" w:tplc="1A207C9A" w:tentative="1">
      <w:start w:val="1"/>
      <w:numFmt w:val="lowerRoman"/>
      <w:lvlText w:val="%6."/>
      <w:lvlJc w:val="right"/>
      <w:pPr>
        <w:ind w:left="3960" w:hanging="180"/>
      </w:pPr>
    </w:lvl>
    <w:lvl w:ilvl="6" w:tplc="946A447E" w:tentative="1">
      <w:start w:val="1"/>
      <w:numFmt w:val="decimal"/>
      <w:lvlText w:val="%7."/>
      <w:lvlJc w:val="left"/>
      <w:pPr>
        <w:ind w:left="4680" w:hanging="360"/>
      </w:pPr>
    </w:lvl>
    <w:lvl w:ilvl="7" w:tplc="FE2457E2" w:tentative="1">
      <w:start w:val="1"/>
      <w:numFmt w:val="lowerLetter"/>
      <w:lvlText w:val="%8."/>
      <w:lvlJc w:val="left"/>
      <w:pPr>
        <w:ind w:left="5400" w:hanging="360"/>
      </w:pPr>
    </w:lvl>
    <w:lvl w:ilvl="8" w:tplc="E03269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40AE188">
      <w:start w:val="1"/>
      <w:numFmt w:val="bullet"/>
      <w:lvlText w:val=""/>
      <w:lvlJc w:val="left"/>
      <w:pPr>
        <w:ind w:left="720" w:hanging="360"/>
      </w:pPr>
      <w:rPr>
        <w:rFonts w:ascii="Symbol" w:hAnsi="Symbol" w:hint="default"/>
      </w:rPr>
    </w:lvl>
    <w:lvl w:ilvl="1" w:tplc="A2F65DF2" w:tentative="1">
      <w:start w:val="1"/>
      <w:numFmt w:val="bullet"/>
      <w:lvlText w:val="o"/>
      <w:lvlJc w:val="left"/>
      <w:pPr>
        <w:ind w:left="1440" w:hanging="360"/>
      </w:pPr>
      <w:rPr>
        <w:rFonts w:ascii="Courier New" w:hAnsi="Courier New" w:cs="Courier New" w:hint="default"/>
      </w:rPr>
    </w:lvl>
    <w:lvl w:ilvl="2" w:tplc="A3EC068C" w:tentative="1">
      <w:start w:val="1"/>
      <w:numFmt w:val="bullet"/>
      <w:lvlText w:val=""/>
      <w:lvlJc w:val="left"/>
      <w:pPr>
        <w:ind w:left="2160" w:hanging="360"/>
      </w:pPr>
      <w:rPr>
        <w:rFonts w:ascii="Wingdings" w:hAnsi="Wingdings" w:hint="default"/>
      </w:rPr>
    </w:lvl>
    <w:lvl w:ilvl="3" w:tplc="6A5E0D78" w:tentative="1">
      <w:start w:val="1"/>
      <w:numFmt w:val="bullet"/>
      <w:lvlText w:val=""/>
      <w:lvlJc w:val="left"/>
      <w:pPr>
        <w:ind w:left="2880" w:hanging="360"/>
      </w:pPr>
      <w:rPr>
        <w:rFonts w:ascii="Symbol" w:hAnsi="Symbol" w:hint="default"/>
      </w:rPr>
    </w:lvl>
    <w:lvl w:ilvl="4" w:tplc="F3524D7E" w:tentative="1">
      <w:start w:val="1"/>
      <w:numFmt w:val="bullet"/>
      <w:lvlText w:val="o"/>
      <w:lvlJc w:val="left"/>
      <w:pPr>
        <w:ind w:left="3600" w:hanging="360"/>
      </w:pPr>
      <w:rPr>
        <w:rFonts w:ascii="Courier New" w:hAnsi="Courier New" w:cs="Courier New" w:hint="default"/>
      </w:rPr>
    </w:lvl>
    <w:lvl w:ilvl="5" w:tplc="2AA8DD7A" w:tentative="1">
      <w:start w:val="1"/>
      <w:numFmt w:val="bullet"/>
      <w:lvlText w:val=""/>
      <w:lvlJc w:val="left"/>
      <w:pPr>
        <w:ind w:left="4320" w:hanging="360"/>
      </w:pPr>
      <w:rPr>
        <w:rFonts w:ascii="Wingdings" w:hAnsi="Wingdings" w:hint="default"/>
      </w:rPr>
    </w:lvl>
    <w:lvl w:ilvl="6" w:tplc="3F284ABC" w:tentative="1">
      <w:start w:val="1"/>
      <w:numFmt w:val="bullet"/>
      <w:lvlText w:val=""/>
      <w:lvlJc w:val="left"/>
      <w:pPr>
        <w:ind w:left="5040" w:hanging="360"/>
      </w:pPr>
      <w:rPr>
        <w:rFonts w:ascii="Symbol" w:hAnsi="Symbol" w:hint="default"/>
      </w:rPr>
    </w:lvl>
    <w:lvl w:ilvl="7" w:tplc="7324B4B8" w:tentative="1">
      <w:start w:val="1"/>
      <w:numFmt w:val="bullet"/>
      <w:lvlText w:val="o"/>
      <w:lvlJc w:val="left"/>
      <w:pPr>
        <w:ind w:left="5760" w:hanging="360"/>
      </w:pPr>
      <w:rPr>
        <w:rFonts w:ascii="Courier New" w:hAnsi="Courier New" w:cs="Courier New" w:hint="default"/>
      </w:rPr>
    </w:lvl>
    <w:lvl w:ilvl="8" w:tplc="79BEDD40" w:tentative="1">
      <w:start w:val="1"/>
      <w:numFmt w:val="bullet"/>
      <w:lvlText w:val=""/>
      <w:lvlJc w:val="left"/>
      <w:pPr>
        <w:ind w:left="6480" w:hanging="360"/>
      </w:pPr>
      <w:rPr>
        <w:rFonts w:ascii="Wingdings" w:hAnsi="Wingdings" w:hint="default"/>
      </w:rPr>
    </w:lvl>
  </w:abstractNum>
  <w:num w:numId="1" w16cid:durableId="1541749078">
    <w:abstractNumId w:val="1"/>
  </w:num>
  <w:num w:numId="2" w16cid:durableId="146901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323"/>
    <w:rsid w:val="005A5323"/>
    <w:rsid w:val="0064594B"/>
    <w:rsid w:val="007414B7"/>
    <w:rsid w:val="00752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E51B"/>
  <w15:docId w15:val="{14C5F88F-6320-41C0-A823-9294AB3F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7373</Words>
  <Characters>42029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2025-05-22T02:17:00Z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