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CA9C1" w14:textId="77777777" w:rsidR="00000000" w:rsidRDefault="00000000">
      <w:pPr>
        <w:pStyle w:val="Heading1"/>
        <w:rPr>
          <w:rFonts w:cs="Arial"/>
        </w:rPr>
      </w:pPr>
      <w:bookmarkStart w:id="0" w:name="PRMS_RIName"/>
      <w:r>
        <w:rPr>
          <w:rFonts w:cs="Arial"/>
        </w:rPr>
        <w:t>Knox Home Trust - Elizabeth Knox Home and Hospital</w:t>
      </w:r>
      <w:bookmarkEnd w:id="0"/>
    </w:p>
    <w:p w14:paraId="3C692269" w14:textId="77777777" w:rsidR="00000000" w:rsidRDefault="00000000">
      <w:pPr>
        <w:pStyle w:val="Heading2"/>
        <w:spacing w:after="0"/>
        <w:rPr>
          <w:rFonts w:cs="Arial"/>
        </w:rPr>
      </w:pPr>
      <w:r>
        <w:rPr>
          <w:rFonts w:cs="Arial"/>
        </w:rPr>
        <w:t>Introduction</w:t>
      </w:r>
    </w:p>
    <w:p w14:paraId="2859F30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DCE42E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CE9FB4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58A3D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E921D8F" w14:textId="77777777" w:rsidR="00000000" w:rsidRDefault="00000000">
      <w:pPr>
        <w:spacing w:before="240" w:after="240"/>
        <w:rPr>
          <w:rFonts w:cs="Arial"/>
          <w:lang w:eastAsia="en-NZ"/>
        </w:rPr>
      </w:pPr>
      <w:r>
        <w:rPr>
          <w:rFonts w:cs="Arial"/>
          <w:lang w:eastAsia="en-NZ"/>
        </w:rPr>
        <w:t>The specifics of this audit included:</w:t>
      </w:r>
    </w:p>
    <w:p w14:paraId="7684E87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3D6FE4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Knox Home Trust</w:t>
      </w:r>
      <w:bookmarkEnd w:id="4"/>
    </w:p>
    <w:p w14:paraId="49E532D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Elizabeth Knox Home and Hospital</w:t>
      </w:r>
      <w:bookmarkEnd w:id="5"/>
    </w:p>
    <w:p w14:paraId="78DD696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61209C4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31 March 2025</w:t>
      </w:r>
      <w:bookmarkEnd w:id="7"/>
      <w:r w:rsidRPr="009418D4">
        <w:rPr>
          <w:rFonts w:cs="Arial"/>
        </w:rPr>
        <w:tab/>
        <w:t xml:space="preserve">End date: </w:t>
      </w:r>
      <w:bookmarkStart w:id="8" w:name="AuditEndDate"/>
      <w:r>
        <w:rPr>
          <w:rFonts w:cs="Arial"/>
        </w:rPr>
        <w:t>1 April 2025</w:t>
      </w:r>
      <w:bookmarkEnd w:id="8"/>
    </w:p>
    <w:p w14:paraId="3B19561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608B6ED" w14:textId="77777777" w:rsidR="00D603F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246</w:t>
      </w:r>
      <w:bookmarkEnd w:id="10"/>
    </w:p>
    <w:p w14:paraId="275E84A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012E8DB" w14:textId="77777777" w:rsidR="00000000" w:rsidRDefault="00000000">
      <w:pPr>
        <w:pStyle w:val="Heading1"/>
        <w:rPr>
          <w:rFonts w:cs="Arial"/>
        </w:rPr>
      </w:pPr>
      <w:r>
        <w:rPr>
          <w:rFonts w:cs="Arial"/>
        </w:rPr>
        <w:lastRenderedPageBreak/>
        <w:t>Executive summary of the audit</w:t>
      </w:r>
    </w:p>
    <w:p w14:paraId="207C07A1" w14:textId="77777777" w:rsidR="00000000" w:rsidRDefault="00000000">
      <w:pPr>
        <w:pStyle w:val="Heading2"/>
        <w:rPr>
          <w:rFonts w:cs="Arial"/>
        </w:rPr>
      </w:pPr>
      <w:r>
        <w:rPr>
          <w:rFonts w:cs="Arial"/>
        </w:rPr>
        <w:t>Introduction</w:t>
      </w:r>
    </w:p>
    <w:p w14:paraId="513D7EE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F39844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C95AD3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52384C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EAA9A8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1F799D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2D4C02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6DCF1E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5394BC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D603FE" w14:paraId="49A8C8E3" w14:textId="77777777">
        <w:trPr>
          <w:cantSplit/>
          <w:tblHeader/>
        </w:trPr>
        <w:tc>
          <w:tcPr>
            <w:tcW w:w="1260" w:type="dxa"/>
            <w:tcBorders>
              <w:bottom w:val="single" w:sz="4" w:space="0" w:color="000000"/>
            </w:tcBorders>
            <w:vAlign w:val="center"/>
          </w:tcPr>
          <w:p w14:paraId="421D5D8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B9AA38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680E39C" w14:textId="77777777" w:rsidR="00000000" w:rsidRDefault="00000000">
            <w:pPr>
              <w:spacing w:before="60" w:after="60"/>
              <w:rPr>
                <w:rFonts w:eastAsia="Calibri"/>
                <w:b/>
                <w:szCs w:val="24"/>
              </w:rPr>
            </w:pPr>
            <w:r>
              <w:rPr>
                <w:rFonts w:eastAsia="Calibri"/>
                <w:b/>
                <w:szCs w:val="24"/>
              </w:rPr>
              <w:t>Definition</w:t>
            </w:r>
          </w:p>
        </w:tc>
      </w:tr>
      <w:tr w:rsidR="00D603FE" w14:paraId="73B17AB7" w14:textId="77777777">
        <w:trPr>
          <w:cantSplit/>
          <w:trHeight w:val="964"/>
        </w:trPr>
        <w:tc>
          <w:tcPr>
            <w:tcW w:w="1260" w:type="dxa"/>
            <w:tcBorders>
              <w:bottom w:val="single" w:sz="4" w:space="0" w:color="000000"/>
            </w:tcBorders>
            <w:shd w:val="clear" w:color="0066FF" w:fill="0000FF"/>
            <w:vAlign w:val="center"/>
          </w:tcPr>
          <w:p w14:paraId="6B2F97F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E6917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768347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603FE" w14:paraId="2C6A1DA3" w14:textId="77777777">
        <w:trPr>
          <w:cantSplit/>
          <w:trHeight w:val="964"/>
        </w:trPr>
        <w:tc>
          <w:tcPr>
            <w:tcW w:w="1260" w:type="dxa"/>
            <w:shd w:val="clear" w:color="33CC33" w:fill="00FF00"/>
            <w:vAlign w:val="center"/>
          </w:tcPr>
          <w:p w14:paraId="7ABDB563" w14:textId="77777777" w:rsidR="00000000" w:rsidRDefault="00000000">
            <w:pPr>
              <w:spacing w:before="60" w:after="60"/>
              <w:rPr>
                <w:rFonts w:eastAsia="Calibri"/>
                <w:szCs w:val="24"/>
              </w:rPr>
            </w:pPr>
          </w:p>
        </w:tc>
        <w:tc>
          <w:tcPr>
            <w:tcW w:w="7095" w:type="dxa"/>
            <w:shd w:val="clear" w:color="auto" w:fill="auto"/>
            <w:vAlign w:val="center"/>
          </w:tcPr>
          <w:p w14:paraId="5AE4A15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00F0CC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603FE" w14:paraId="3FBC135C" w14:textId="77777777">
        <w:trPr>
          <w:cantSplit/>
          <w:trHeight w:val="964"/>
        </w:trPr>
        <w:tc>
          <w:tcPr>
            <w:tcW w:w="1260" w:type="dxa"/>
            <w:tcBorders>
              <w:bottom w:val="single" w:sz="4" w:space="0" w:color="000000"/>
            </w:tcBorders>
            <w:shd w:val="clear" w:color="auto" w:fill="FFFF00"/>
            <w:vAlign w:val="center"/>
          </w:tcPr>
          <w:p w14:paraId="7DFFCCE7" w14:textId="77777777" w:rsidR="00000000" w:rsidRDefault="00000000">
            <w:pPr>
              <w:spacing w:before="60" w:after="60"/>
              <w:rPr>
                <w:rFonts w:eastAsia="Calibri"/>
                <w:szCs w:val="24"/>
              </w:rPr>
            </w:pPr>
          </w:p>
        </w:tc>
        <w:tc>
          <w:tcPr>
            <w:tcW w:w="7095" w:type="dxa"/>
            <w:shd w:val="clear" w:color="auto" w:fill="auto"/>
            <w:vAlign w:val="center"/>
          </w:tcPr>
          <w:p w14:paraId="5964C03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92DDE7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603FE" w14:paraId="158E31DD" w14:textId="77777777">
        <w:trPr>
          <w:cantSplit/>
          <w:trHeight w:val="964"/>
        </w:trPr>
        <w:tc>
          <w:tcPr>
            <w:tcW w:w="1260" w:type="dxa"/>
            <w:tcBorders>
              <w:bottom w:val="single" w:sz="4" w:space="0" w:color="000000"/>
            </w:tcBorders>
            <w:shd w:val="clear" w:color="auto" w:fill="FFC800"/>
            <w:vAlign w:val="center"/>
          </w:tcPr>
          <w:p w14:paraId="2D3F76A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6B6DFE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0B8332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603FE" w14:paraId="3CE70F6B" w14:textId="77777777">
        <w:trPr>
          <w:cantSplit/>
          <w:trHeight w:val="964"/>
        </w:trPr>
        <w:tc>
          <w:tcPr>
            <w:tcW w:w="1260" w:type="dxa"/>
            <w:shd w:val="clear" w:color="auto" w:fill="FF0000"/>
            <w:vAlign w:val="center"/>
          </w:tcPr>
          <w:p w14:paraId="0B1B9998" w14:textId="77777777" w:rsidR="00000000" w:rsidRDefault="00000000">
            <w:pPr>
              <w:spacing w:before="60" w:after="60"/>
              <w:rPr>
                <w:rFonts w:eastAsia="Calibri"/>
                <w:szCs w:val="24"/>
              </w:rPr>
            </w:pPr>
          </w:p>
        </w:tc>
        <w:tc>
          <w:tcPr>
            <w:tcW w:w="7095" w:type="dxa"/>
            <w:shd w:val="clear" w:color="auto" w:fill="auto"/>
            <w:vAlign w:val="center"/>
          </w:tcPr>
          <w:p w14:paraId="3CE0197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C3CA08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7475484" w14:textId="77777777" w:rsidR="00000000" w:rsidRDefault="00000000">
      <w:pPr>
        <w:pStyle w:val="Heading2"/>
        <w:spacing w:after="0"/>
        <w:rPr>
          <w:rFonts w:cs="Arial"/>
        </w:rPr>
      </w:pPr>
      <w:r>
        <w:rPr>
          <w:rFonts w:cs="Arial"/>
        </w:rPr>
        <w:t>General overview of the audit</w:t>
      </w:r>
    </w:p>
    <w:p w14:paraId="5681FADB" w14:textId="77777777" w:rsidR="00000000" w:rsidRDefault="00000000">
      <w:pPr>
        <w:spacing w:before="240" w:line="276" w:lineRule="auto"/>
        <w:rPr>
          <w:rFonts w:eastAsia="Calibri"/>
        </w:rPr>
      </w:pPr>
      <w:bookmarkStart w:id="13" w:name="GeneralOverview"/>
      <w:r w:rsidRPr="00A4268A">
        <w:rPr>
          <w:rFonts w:eastAsia="Calibri"/>
        </w:rPr>
        <w:t>Elizabeth Knox Home and Hospital (EKHH) is a charitable trust with over 110 years history of caring for the Auckland community. EKHH is owned and operated by the Elizabeth Knox Trust. The service currently is certified to provide rest home, young people with disabilities (YPD) and age-related hospital care for 283 residents. On the first day of the audit, 246 residents were in the facility.</w:t>
      </w:r>
    </w:p>
    <w:p w14:paraId="53819885" w14:textId="77777777" w:rsidR="00D603FE" w:rsidRPr="00A4268A" w:rsidRDefault="00000000">
      <w:pPr>
        <w:spacing w:before="240" w:line="276" w:lineRule="auto"/>
        <w:rPr>
          <w:rFonts w:eastAsia="Calibri"/>
        </w:rPr>
      </w:pPr>
      <w:r w:rsidRPr="00A4268A">
        <w:rPr>
          <w:rFonts w:eastAsia="Calibri"/>
        </w:rPr>
        <w:t>Since the previous audit, the management structure has undergone some significant changes, notably the appointment of a chief executive officer (CEO) and clinical educator.</w:t>
      </w:r>
    </w:p>
    <w:p w14:paraId="2DC514E9" w14:textId="77777777" w:rsidR="00D603FE"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NZS 8134:2021 and the contract held with Health New Zealand – Te Whatu Ora. The audit process included a review of policies and procedures, a review of residents’ and staff files, observations, and interviews with relatives, staff, management, members of the board, and the general practitioner. Residents and whānau were complimentary about the care provided.</w:t>
      </w:r>
    </w:p>
    <w:p w14:paraId="7CC00C60" w14:textId="77777777" w:rsidR="00D603FE" w:rsidRPr="00A4268A" w:rsidRDefault="00000000">
      <w:pPr>
        <w:spacing w:before="240" w:line="276" w:lineRule="auto"/>
        <w:rPr>
          <w:rFonts w:eastAsia="Calibri"/>
        </w:rPr>
      </w:pPr>
      <w:r w:rsidRPr="00A4268A">
        <w:rPr>
          <w:rFonts w:eastAsia="Calibri"/>
        </w:rPr>
        <w:t>Strengths of the service, resulting in continuous improvement ratings, included, environment, medication management, and infection prevention and control.</w:t>
      </w:r>
    </w:p>
    <w:p w14:paraId="6EA7C7FE" w14:textId="77777777" w:rsidR="00D603FE" w:rsidRPr="00A4268A" w:rsidRDefault="00000000">
      <w:pPr>
        <w:spacing w:before="240" w:line="276" w:lineRule="auto"/>
        <w:rPr>
          <w:rFonts w:eastAsia="Calibri"/>
        </w:rPr>
      </w:pPr>
      <w:r w:rsidRPr="00A4268A">
        <w:rPr>
          <w:rFonts w:eastAsia="Calibri"/>
        </w:rPr>
        <w:t>There were no areas requiring improvement as a result of this audit.</w:t>
      </w:r>
    </w:p>
    <w:bookmarkEnd w:id="13"/>
    <w:p w14:paraId="35B044B3" w14:textId="77777777" w:rsidR="00D603FE" w:rsidRPr="00A4268A" w:rsidRDefault="00D603FE">
      <w:pPr>
        <w:spacing w:before="240" w:line="276" w:lineRule="auto"/>
        <w:rPr>
          <w:rFonts w:eastAsia="Calibri"/>
        </w:rPr>
      </w:pPr>
    </w:p>
    <w:p w14:paraId="4648506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03FE" w14:paraId="12832B1D" w14:textId="77777777" w:rsidTr="00A4268A">
        <w:trPr>
          <w:cantSplit/>
        </w:trPr>
        <w:tc>
          <w:tcPr>
            <w:tcW w:w="10206" w:type="dxa"/>
            <w:vAlign w:val="center"/>
          </w:tcPr>
          <w:p w14:paraId="5F4092C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B4B813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AA9A35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8EBA0C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D19BBF2" w14:textId="77777777" w:rsidR="00000000" w:rsidRDefault="00000000">
      <w:pPr>
        <w:spacing w:before="240" w:line="276" w:lineRule="auto"/>
        <w:rPr>
          <w:rFonts w:eastAsia="Calibri"/>
        </w:rPr>
      </w:pPr>
      <w:bookmarkStart w:id="16" w:name="ConsumerRights"/>
      <w:r w:rsidRPr="00A4268A">
        <w:rPr>
          <w:rFonts w:eastAsia="Calibri"/>
        </w:rPr>
        <w:t xml:space="preserve">Elizabeth Knox Home and Hospital works collaboratively to support and encourage a Māori world view of health in service delivery. Māori were provided with equitable and effective services based on Te Tiriti o Waitangi and the principles of mana motuhake. </w:t>
      </w:r>
    </w:p>
    <w:p w14:paraId="6F4C0688" w14:textId="77777777" w:rsidR="00D603FE" w:rsidRPr="00A4268A" w:rsidRDefault="00000000">
      <w:pPr>
        <w:spacing w:before="240" w:line="276" w:lineRule="auto"/>
        <w:rPr>
          <w:rFonts w:eastAsia="Calibri"/>
        </w:rPr>
      </w:pPr>
      <w:r w:rsidRPr="00A4268A">
        <w:rPr>
          <w:rFonts w:eastAsia="Calibri"/>
        </w:rPr>
        <w:t xml:space="preserve">Pacific peoples were provided with services that recognised their worldviews and were culturally safe.  </w:t>
      </w:r>
    </w:p>
    <w:p w14:paraId="52A38485" w14:textId="77777777" w:rsidR="00D603FE"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661FB88F" w14:textId="77777777" w:rsidR="00D603FE"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wherever possible. </w:t>
      </w:r>
    </w:p>
    <w:p w14:paraId="69F82269" w14:textId="77777777" w:rsidR="00D603FE"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6F4CF587" w14:textId="77777777" w:rsidR="00D603FE" w:rsidRPr="00A4268A" w:rsidRDefault="00D603FE">
      <w:pPr>
        <w:spacing w:before="240" w:line="276" w:lineRule="auto"/>
        <w:rPr>
          <w:rFonts w:eastAsia="Calibri"/>
        </w:rPr>
      </w:pPr>
    </w:p>
    <w:p w14:paraId="76741EA5"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03FE" w14:paraId="5CF0F244" w14:textId="77777777" w:rsidTr="00A4268A">
        <w:trPr>
          <w:cantSplit/>
        </w:trPr>
        <w:tc>
          <w:tcPr>
            <w:tcW w:w="10206" w:type="dxa"/>
            <w:vAlign w:val="center"/>
          </w:tcPr>
          <w:p w14:paraId="5FC8A1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EEDFA9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AB3C09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28B1391" w14:textId="77777777" w:rsidR="00000000" w:rsidRDefault="00000000">
      <w:pPr>
        <w:spacing w:before="240" w:line="276" w:lineRule="auto"/>
        <w:rPr>
          <w:rFonts w:eastAsia="Calibri"/>
        </w:rPr>
      </w:pPr>
      <w:bookmarkStart w:id="19" w:name="OrganisationalManagement"/>
      <w:r w:rsidRPr="00A4268A">
        <w:rPr>
          <w:rFonts w:eastAsia="Calibri"/>
        </w:rPr>
        <w:t>Elizabeth Knox Trust assumes accountability for delivering a high-quality service. This includes supporting meaningful inclusion of Māori in governance groups, honouring Te Tiriti, and reducing barriers to improve outcomes for Māori and people with disabilities.</w:t>
      </w:r>
    </w:p>
    <w:p w14:paraId="4C7A54A0" w14:textId="77777777" w:rsidR="00D603FE"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C0D6BC0" w14:textId="77777777" w:rsidR="00D603FE"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were involved in quality activities. An integrated approach included the collection and analysis of quality improvement data, identified trends, and led to improvements. Actual and potential risks were identified and mitigated. </w:t>
      </w:r>
    </w:p>
    <w:p w14:paraId="79EB4E42" w14:textId="77777777" w:rsidR="00D603FE"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53262BF1" w14:textId="77777777" w:rsidR="00D603FE"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supports safe, equitable service delivery. </w:t>
      </w:r>
    </w:p>
    <w:p w14:paraId="7A70A107" w14:textId="77777777" w:rsidR="00D603FE"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4DDE79A3" w14:textId="77777777" w:rsidR="00D603FE" w:rsidRPr="00A4268A" w:rsidRDefault="00D603FE">
      <w:pPr>
        <w:spacing w:before="240" w:line="276" w:lineRule="auto"/>
        <w:rPr>
          <w:rFonts w:eastAsia="Calibri"/>
        </w:rPr>
      </w:pPr>
    </w:p>
    <w:p w14:paraId="6AED31DC"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03FE" w14:paraId="0F0661E1" w14:textId="77777777" w:rsidTr="00A4268A">
        <w:trPr>
          <w:cantSplit/>
        </w:trPr>
        <w:tc>
          <w:tcPr>
            <w:tcW w:w="10206" w:type="dxa"/>
            <w:vAlign w:val="center"/>
          </w:tcPr>
          <w:p w14:paraId="289EC85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E78C8E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ABF7C0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2E5AAD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entered the Elizabeth Knox Home and Hospital (EKHH) a person-centred and whānau-centred approach was adopted. Relevant information was provided to the potential resident and whānau.  </w:t>
      </w:r>
    </w:p>
    <w:p w14:paraId="3FD7B320" w14:textId="77777777" w:rsidR="00D603FE" w:rsidRPr="00A4268A" w:rsidRDefault="00000000" w:rsidP="00621629">
      <w:pPr>
        <w:spacing w:before="240" w:line="276" w:lineRule="auto"/>
        <w:rPr>
          <w:rFonts w:eastAsia="Calibri"/>
        </w:rPr>
      </w:pPr>
      <w:r w:rsidRPr="00A4268A">
        <w:rPr>
          <w:rFonts w:eastAsia="Calibri"/>
        </w:rPr>
        <w:t xml:space="preserve">EKHH worked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50FFB53B" w14:textId="77777777" w:rsidR="00D603FE"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7CD88AC5" w14:textId="77777777" w:rsidR="00D603FE"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1A50AED1" w14:textId="77777777" w:rsidR="00D603FE"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244F3629" w14:textId="77777777" w:rsidR="00D603FE"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0DDD7925" w14:textId="77777777" w:rsidR="00D603FE" w:rsidRPr="00A4268A" w:rsidRDefault="00D603FE" w:rsidP="00621629">
      <w:pPr>
        <w:spacing w:before="240" w:line="276" w:lineRule="auto"/>
        <w:rPr>
          <w:rFonts w:eastAsia="Calibri"/>
        </w:rPr>
      </w:pPr>
    </w:p>
    <w:p w14:paraId="047D476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03FE" w14:paraId="60A9FA7E" w14:textId="77777777" w:rsidTr="00A4268A">
        <w:trPr>
          <w:cantSplit/>
        </w:trPr>
        <w:tc>
          <w:tcPr>
            <w:tcW w:w="10206" w:type="dxa"/>
            <w:vAlign w:val="center"/>
          </w:tcPr>
          <w:p w14:paraId="5528EE6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E4F5AF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5614BE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3FB8D3C"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met the needs of residents and was clean and well maintained. A preventative maintenance programme was being implemented. Buildings onsite had a current Building Warrant of Fitness and a Code of Compliance in place. Clinical equipment had been tested as required. External areas are accessible, safe, provide shade and seating, and meet the needs of people with disabilities. The facility vehicle has a current registration and warrant of fitness.</w:t>
      </w:r>
    </w:p>
    <w:p w14:paraId="1466325B" w14:textId="77777777" w:rsidR="00D603FE" w:rsidRPr="00A4268A" w:rsidRDefault="00000000">
      <w:pPr>
        <w:spacing w:before="240" w:line="276" w:lineRule="auto"/>
        <w:rPr>
          <w:rFonts w:eastAsia="Calibri"/>
        </w:rPr>
      </w:pPr>
      <w:r w:rsidRPr="00A4268A">
        <w:rPr>
          <w:rFonts w:eastAsia="Calibri"/>
        </w:rPr>
        <w:t>Appropriate emergency equipment and supplies were available. All buildings onsite have an approved evacuation scheme, and fire drills were conducted six-monthly. Most staff members on duty on each shift held a current first aid certificate. Staff, residents, and family/whānau understood emergency and security arrangements. Hazards were identified, with appropriate interventions implemented. Residents reported a timely staff response to call bells. Security was maintained.</w:t>
      </w:r>
    </w:p>
    <w:bookmarkEnd w:id="25"/>
    <w:p w14:paraId="2FA694C4" w14:textId="77777777" w:rsidR="00D603FE" w:rsidRPr="00A4268A" w:rsidRDefault="00D603FE">
      <w:pPr>
        <w:spacing w:before="240" w:line="276" w:lineRule="auto"/>
        <w:rPr>
          <w:rFonts w:eastAsia="Calibri"/>
        </w:rPr>
      </w:pPr>
    </w:p>
    <w:p w14:paraId="24A5F68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03FE" w14:paraId="42DE2093" w14:textId="77777777" w:rsidTr="00A4268A">
        <w:trPr>
          <w:cantSplit/>
        </w:trPr>
        <w:tc>
          <w:tcPr>
            <w:tcW w:w="10206" w:type="dxa"/>
            <w:vAlign w:val="center"/>
          </w:tcPr>
          <w:p w14:paraId="0DEF4BE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0405D0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03D832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E948F54"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of EKHH ensured the safety of residents and staff through planned infection prevention (IP) and antimicrobial stewardship (AMS) programmes that are appropriate to the size and complexity of the service.  An experienced and trained infection control coordinator leads the programme.</w:t>
      </w:r>
    </w:p>
    <w:p w14:paraId="044B60E3" w14:textId="77777777" w:rsidR="00D603FE"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5AD08FFF" w14:textId="77777777" w:rsidR="00D603FE" w:rsidRPr="00A4268A" w:rsidRDefault="00000000">
      <w:pPr>
        <w:spacing w:before="240" w:line="276" w:lineRule="auto"/>
        <w:rPr>
          <w:rFonts w:eastAsia="Calibri"/>
        </w:rPr>
      </w:pPr>
      <w:r w:rsidRPr="00A4268A">
        <w:rPr>
          <w:rFonts w:eastAsia="Calibri"/>
        </w:rPr>
        <w:lastRenderedPageBreak/>
        <w:t>Staff demonstrated good principles and practice around infection control. Staff, residents and whānau were familiar with the pandemic/infectious diseases response plan.</w:t>
      </w:r>
    </w:p>
    <w:p w14:paraId="0E3117EF" w14:textId="77777777" w:rsidR="00D603FE" w:rsidRPr="00A4268A" w:rsidRDefault="00000000">
      <w:pPr>
        <w:spacing w:before="240" w:line="276" w:lineRule="auto"/>
        <w:rPr>
          <w:rFonts w:eastAsia="Calibri"/>
        </w:rPr>
      </w:pPr>
      <w:r w:rsidRPr="00A4268A">
        <w:rPr>
          <w:rFonts w:eastAsia="Calibri"/>
        </w:rPr>
        <w:t>EKHH promotes responsible prescribing of antimicrobials. Infection surveillance is undertaken, with follow-up action taken as required.</w:t>
      </w:r>
    </w:p>
    <w:p w14:paraId="0C6FEDB1" w14:textId="77777777" w:rsidR="00D603FE"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3CFE45D0" w14:textId="77777777" w:rsidR="00D603FE" w:rsidRPr="00A4268A" w:rsidRDefault="00D603FE">
      <w:pPr>
        <w:spacing w:before="240" w:line="276" w:lineRule="auto"/>
        <w:rPr>
          <w:rFonts w:eastAsia="Calibri"/>
        </w:rPr>
      </w:pPr>
    </w:p>
    <w:p w14:paraId="01C9245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03FE" w14:paraId="7A31FCB7" w14:textId="77777777" w:rsidTr="00A4268A">
        <w:trPr>
          <w:cantSplit/>
        </w:trPr>
        <w:tc>
          <w:tcPr>
            <w:tcW w:w="10206" w:type="dxa"/>
            <w:vAlign w:val="center"/>
          </w:tcPr>
          <w:p w14:paraId="1C83E70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B431E6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8F2805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AB8EF64"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restraints at the time of the audit.</w:t>
      </w:r>
    </w:p>
    <w:p w14:paraId="53C4B35B" w14:textId="77777777" w:rsidR="00D603FE" w:rsidRPr="00A4268A" w:rsidRDefault="00000000">
      <w:pPr>
        <w:spacing w:before="240" w:line="276" w:lineRule="auto"/>
        <w:rPr>
          <w:rFonts w:eastAsia="Calibri"/>
        </w:rPr>
      </w:pPr>
      <w:r w:rsidRPr="00A4268A">
        <w:rPr>
          <w:rFonts w:eastAsia="Calibri"/>
        </w:rPr>
        <w:t>A comprehensive assessment, approval and monitoring process, with regular reviews, occurs for any restraint used. Staff demonstrated a sound knowledge and understanding of providing the least restrictive practice, de-escalation techniques, and alternative interventions.</w:t>
      </w:r>
    </w:p>
    <w:bookmarkEnd w:id="31"/>
    <w:p w14:paraId="3C2196B5" w14:textId="77777777" w:rsidR="00D603FE" w:rsidRPr="00A4268A" w:rsidRDefault="00D603FE">
      <w:pPr>
        <w:spacing w:before="240" w:line="276" w:lineRule="auto"/>
        <w:rPr>
          <w:rFonts w:eastAsia="Calibri"/>
        </w:rPr>
      </w:pPr>
    </w:p>
    <w:p w14:paraId="6F9F5FC3" w14:textId="77777777" w:rsidR="00000000" w:rsidRDefault="00000000" w:rsidP="000E6E02">
      <w:pPr>
        <w:pStyle w:val="Heading2"/>
        <w:spacing w:before="0"/>
        <w:rPr>
          <w:rFonts w:cs="Arial"/>
        </w:rPr>
      </w:pPr>
      <w:r>
        <w:rPr>
          <w:rFonts w:cs="Arial"/>
        </w:rPr>
        <w:lastRenderedPageBreak/>
        <w:t>Summary of attainment</w:t>
      </w:r>
    </w:p>
    <w:p w14:paraId="5029BD0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603FE" w14:paraId="5744BB60" w14:textId="77777777">
        <w:tc>
          <w:tcPr>
            <w:tcW w:w="1384" w:type="dxa"/>
            <w:vAlign w:val="center"/>
          </w:tcPr>
          <w:p w14:paraId="6C4521F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335B117" w14:textId="77777777" w:rsidR="00000000" w:rsidRDefault="00000000">
            <w:pPr>
              <w:keepNext/>
              <w:spacing w:before="60" w:after="60"/>
              <w:jc w:val="center"/>
              <w:rPr>
                <w:rFonts w:cs="Arial"/>
                <w:b/>
                <w:sz w:val="20"/>
                <w:szCs w:val="20"/>
              </w:rPr>
            </w:pPr>
            <w:r>
              <w:rPr>
                <w:rFonts w:cs="Arial"/>
                <w:b/>
                <w:sz w:val="20"/>
                <w:szCs w:val="20"/>
              </w:rPr>
              <w:t>Continuous Improvement</w:t>
            </w:r>
          </w:p>
          <w:p w14:paraId="2DD7929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21FF037" w14:textId="77777777" w:rsidR="00000000" w:rsidRDefault="00000000">
            <w:pPr>
              <w:keepNext/>
              <w:spacing w:before="60" w:after="60"/>
              <w:jc w:val="center"/>
              <w:rPr>
                <w:rFonts w:cs="Arial"/>
                <w:b/>
                <w:sz w:val="20"/>
                <w:szCs w:val="20"/>
              </w:rPr>
            </w:pPr>
            <w:r>
              <w:rPr>
                <w:rFonts w:cs="Arial"/>
                <w:b/>
                <w:sz w:val="20"/>
                <w:szCs w:val="20"/>
              </w:rPr>
              <w:t>Fully Attained</w:t>
            </w:r>
          </w:p>
          <w:p w14:paraId="5E4F58C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50CB7B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3F1760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14A808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23190A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2887B0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8E4229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30FE87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456604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0B809A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F5692A6" w14:textId="77777777" w:rsidR="00000000" w:rsidRDefault="00000000">
            <w:pPr>
              <w:keepNext/>
              <w:spacing w:before="60" w:after="60"/>
              <w:jc w:val="center"/>
              <w:rPr>
                <w:rFonts w:cs="Arial"/>
                <w:b/>
                <w:sz w:val="20"/>
                <w:szCs w:val="20"/>
              </w:rPr>
            </w:pPr>
            <w:r>
              <w:rPr>
                <w:rFonts w:cs="Arial"/>
                <w:b/>
                <w:sz w:val="20"/>
                <w:szCs w:val="20"/>
              </w:rPr>
              <w:t>(PA Critical)</w:t>
            </w:r>
          </w:p>
        </w:tc>
      </w:tr>
      <w:tr w:rsidR="00D603FE" w14:paraId="54B29B23" w14:textId="77777777">
        <w:tc>
          <w:tcPr>
            <w:tcW w:w="1384" w:type="dxa"/>
            <w:vAlign w:val="center"/>
          </w:tcPr>
          <w:p w14:paraId="02D5404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A0E79B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860509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200FCB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AEC9B8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2166A3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0F5D5A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21397C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603FE" w14:paraId="29BAC337" w14:textId="77777777">
        <w:tc>
          <w:tcPr>
            <w:tcW w:w="1384" w:type="dxa"/>
            <w:vAlign w:val="center"/>
          </w:tcPr>
          <w:p w14:paraId="62F6727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393316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3</w:t>
            </w:r>
            <w:bookmarkEnd w:id="39"/>
          </w:p>
        </w:tc>
        <w:tc>
          <w:tcPr>
            <w:tcW w:w="1843" w:type="dxa"/>
            <w:vAlign w:val="center"/>
          </w:tcPr>
          <w:p w14:paraId="60DA156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2973EEF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FA3CF8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A5C43C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0A21BA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60C1CD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CDFD26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603FE" w14:paraId="47A86217" w14:textId="77777777">
        <w:tc>
          <w:tcPr>
            <w:tcW w:w="1384" w:type="dxa"/>
            <w:vAlign w:val="center"/>
          </w:tcPr>
          <w:p w14:paraId="319850F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B67554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63F18B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DA4572F" w14:textId="77777777" w:rsidR="00000000" w:rsidRDefault="00000000">
            <w:pPr>
              <w:keepNext/>
              <w:spacing w:before="60" w:after="60"/>
              <w:jc w:val="center"/>
              <w:rPr>
                <w:rFonts w:cs="Arial"/>
                <w:b/>
                <w:sz w:val="20"/>
                <w:szCs w:val="20"/>
              </w:rPr>
            </w:pPr>
            <w:r>
              <w:rPr>
                <w:rFonts w:cs="Arial"/>
                <w:b/>
                <w:sz w:val="20"/>
                <w:szCs w:val="20"/>
              </w:rPr>
              <w:t>Unattained Low Risk</w:t>
            </w:r>
          </w:p>
          <w:p w14:paraId="64B1881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9BE5796" w14:textId="77777777" w:rsidR="00000000" w:rsidRDefault="00000000">
            <w:pPr>
              <w:keepNext/>
              <w:spacing w:before="60" w:after="60"/>
              <w:jc w:val="center"/>
              <w:rPr>
                <w:rFonts w:cs="Arial"/>
                <w:b/>
                <w:sz w:val="20"/>
                <w:szCs w:val="20"/>
              </w:rPr>
            </w:pPr>
            <w:r>
              <w:rPr>
                <w:rFonts w:cs="Arial"/>
                <w:b/>
                <w:sz w:val="20"/>
                <w:szCs w:val="20"/>
              </w:rPr>
              <w:t>Unattained Moderate Risk</w:t>
            </w:r>
          </w:p>
          <w:p w14:paraId="6632D3A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6EFB146" w14:textId="77777777" w:rsidR="00000000" w:rsidRDefault="00000000">
            <w:pPr>
              <w:keepNext/>
              <w:spacing w:before="60" w:after="60"/>
              <w:jc w:val="center"/>
              <w:rPr>
                <w:rFonts w:cs="Arial"/>
                <w:b/>
                <w:sz w:val="20"/>
                <w:szCs w:val="20"/>
              </w:rPr>
            </w:pPr>
            <w:r>
              <w:rPr>
                <w:rFonts w:cs="Arial"/>
                <w:b/>
                <w:sz w:val="20"/>
                <w:szCs w:val="20"/>
              </w:rPr>
              <w:t>Unattained High Risk</w:t>
            </w:r>
          </w:p>
          <w:p w14:paraId="747095F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E35B571" w14:textId="77777777" w:rsidR="00000000" w:rsidRDefault="00000000">
            <w:pPr>
              <w:keepNext/>
              <w:spacing w:before="60" w:after="60"/>
              <w:jc w:val="center"/>
              <w:rPr>
                <w:rFonts w:cs="Arial"/>
                <w:b/>
                <w:sz w:val="20"/>
                <w:szCs w:val="20"/>
              </w:rPr>
            </w:pPr>
            <w:r>
              <w:rPr>
                <w:rFonts w:cs="Arial"/>
                <w:b/>
                <w:sz w:val="20"/>
                <w:szCs w:val="20"/>
              </w:rPr>
              <w:t>Unattained Critical Risk</w:t>
            </w:r>
          </w:p>
          <w:p w14:paraId="0D7E7703" w14:textId="77777777" w:rsidR="00000000" w:rsidRDefault="00000000">
            <w:pPr>
              <w:keepNext/>
              <w:spacing w:before="60" w:after="60"/>
              <w:jc w:val="center"/>
              <w:rPr>
                <w:rFonts w:cs="Arial"/>
                <w:b/>
                <w:sz w:val="20"/>
                <w:szCs w:val="20"/>
              </w:rPr>
            </w:pPr>
            <w:r>
              <w:rPr>
                <w:rFonts w:cs="Arial"/>
                <w:b/>
                <w:sz w:val="20"/>
                <w:szCs w:val="20"/>
              </w:rPr>
              <w:t>(UA Critical)</w:t>
            </w:r>
          </w:p>
        </w:tc>
      </w:tr>
      <w:tr w:rsidR="00D603FE" w14:paraId="3FC9A7C3" w14:textId="77777777">
        <w:tc>
          <w:tcPr>
            <w:tcW w:w="1384" w:type="dxa"/>
            <w:vAlign w:val="center"/>
          </w:tcPr>
          <w:p w14:paraId="21C7E87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D2D19F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6499CD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11330A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83E989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470A07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603FE" w14:paraId="6D6AF53C" w14:textId="77777777">
        <w:tc>
          <w:tcPr>
            <w:tcW w:w="1384" w:type="dxa"/>
            <w:vAlign w:val="center"/>
          </w:tcPr>
          <w:p w14:paraId="3635C13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741A7C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CCF615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AD6998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5CCB61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9729FD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B4F01D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106AFD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8945B9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E8A883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4"/>
        <w:gridCol w:w="1361"/>
        <w:gridCol w:w="6359"/>
      </w:tblGrid>
      <w:tr w:rsidR="00D603FE" w14:paraId="378483A4" w14:textId="77777777">
        <w:tc>
          <w:tcPr>
            <w:tcW w:w="0" w:type="auto"/>
          </w:tcPr>
          <w:p w14:paraId="3397C5E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090CDD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34B80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603FE" w14:paraId="78CB7F23" w14:textId="77777777">
        <w:tc>
          <w:tcPr>
            <w:tcW w:w="0" w:type="auto"/>
          </w:tcPr>
          <w:p w14:paraId="71BAEC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B16178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991E4A0" w14:textId="77777777" w:rsidR="00000000" w:rsidRPr="00BE00C7" w:rsidRDefault="00000000" w:rsidP="00BE00C7">
            <w:pPr>
              <w:pStyle w:val="OutcomeDescription"/>
              <w:spacing w:before="120" w:after="120"/>
              <w:rPr>
                <w:rFonts w:cs="Arial"/>
                <w:lang w:eastAsia="en-NZ"/>
              </w:rPr>
            </w:pPr>
          </w:p>
        </w:tc>
        <w:tc>
          <w:tcPr>
            <w:tcW w:w="0" w:type="auto"/>
          </w:tcPr>
          <w:p w14:paraId="3CFC79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C5B0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EKHH has developed policies, procedures and processes to embed and enact Te Tiriti o Waitangi in all aspects of its work. Mana motuhake was respected. Partnerships have been established with Ngāti Whatua Orakei, a Māori organisation, to support service integration, planning, equity approaches and support for Māori. A Māori health plan has been developed with input from an employed kaiāwhina and is used for residents who identify as Māori. </w:t>
            </w:r>
          </w:p>
          <w:p w14:paraId="072316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Eden Alternative philosophy is perpetually central to the development of the EKHH care model and impacts all facets of the site, including the redevelopment of service plans.  Templates for cultural assessments and Māori health plans were available. Clinical records reviewed contained completed Māori health care plans.</w:t>
            </w:r>
          </w:p>
          <w:p w14:paraId="68334D1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who identified as Māori interviewed reported that staff respected their right to Māori self-determination, and they felt culturally safe.</w:t>
            </w:r>
          </w:p>
          <w:p w14:paraId="1321B178"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was documented on recruitment and trended.</w:t>
            </w:r>
          </w:p>
          <w:p w14:paraId="0EA205F7" w14:textId="77777777" w:rsidR="00000000" w:rsidRPr="00BE00C7" w:rsidRDefault="00000000" w:rsidP="00BE00C7">
            <w:pPr>
              <w:pStyle w:val="OutcomeDescription"/>
              <w:spacing w:before="120" w:after="120"/>
              <w:rPr>
                <w:rFonts w:cs="Arial"/>
                <w:lang w:eastAsia="en-NZ"/>
              </w:rPr>
            </w:pPr>
          </w:p>
        </w:tc>
      </w:tr>
      <w:tr w:rsidR="00D603FE" w14:paraId="17D8BFD9" w14:textId="77777777">
        <w:tc>
          <w:tcPr>
            <w:tcW w:w="0" w:type="auto"/>
          </w:tcPr>
          <w:p w14:paraId="31D95A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A7492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53043F8" w14:textId="77777777" w:rsidR="00000000" w:rsidRPr="00BE00C7" w:rsidRDefault="00000000" w:rsidP="00BE00C7">
            <w:pPr>
              <w:pStyle w:val="OutcomeDescription"/>
              <w:spacing w:before="120" w:after="120"/>
              <w:rPr>
                <w:rFonts w:cs="Arial"/>
                <w:lang w:eastAsia="en-NZ"/>
              </w:rPr>
            </w:pPr>
          </w:p>
        </w:tc>
        <w:tc>
          <w:tcPr>
            <w:tcW w:w="0" w:type="auto"/>
          </w:tcPr>
          <w:p w14:paraId="07AC73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CCAA97" w14:textId="0379A25B" w:rsidR="00000000" w:rsidRPr="00BE00C7" w:rsidRDefault="00000000" w:rsidP="00BE00C7">
            <w:pPr>
              <w:pStyle w:val="OutcomeDescription"/>
              <w:spacing w:before="120" w:after="120"/>
              <w:rPr>
                <w:rFonts w:cs="Arial"/>
                <w:lang w:eastAsia="en-NZ"/>
              </w:rPr>
            </w:pPr>
            <w:r w:rsidRPr="00BE00C7">
              <w:rPr>
                <w:rFonts w:cs="Arial"/>
                <w:lang w:eastAsia="en-NZ"/>
              </w:rPr>
              <w:t>EKHH identified and worked in partnership with Pacific communities and organisations to provide a Pacific plan that supports culturally safe practices for Pacific peoples using the service and achieving equity. Partnerships enabled ongoing planning and evaluation of services and outcomes. The adopting of the Eden Alternative has resulted in a higher level of wellbeing for all residents, including Pacific peoples. There is continuing evidence of increased care and family engagement at EKHH.</w:t>
            </w:r>
          </w:p>
          <w:p w14:paraId="2FB96A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in the resident records reviewed that Pasifika residents were well supported in ways that met their cultural needs. Pacific residents interviewed felt their worldview and cultural and spiritual beliefs were embraced.</w:t>
            </w:r>
          </w:p>
          <w:p w14:paraId="77283C0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identified as Pacific people were encouraged to participate in cultural activities in the community, and community groups were invited to share their culture and knowledge with the care home. Residents have the opportunity to identify individual spiritual, cultural and other needs as part of the care planning process. The whānau of any resident who identified as Pacific people are consulted to ensure any individual needs and supports for the resident are identified and met.</w:t>
            </w:r>
          </w:p>
          <w:p w14:paraId="5D94283E" w14:textId="77777777" w:rsidR="00000000" w:rsidRPr="00BE00C7" w:rsidRDefault="00000000" w:rsidP="00BE00C7">
            <w:pPr>
              <w:pStyle w:val="OutcomeDescription"/>
              <w:spacing w:before="120" w:after="120"/>
              <w:rPr>
                <w:rFonts w:cs="Arial"/>
                <w:lang w:eastAsia="en-NZ"/>
              </w:rPr>
            </w:pPr>
          </w:p>
        </w:tc>
      </w:tr>
      <w:tr w:rsidR="00D603FE" w14:paraId="0AB764C2" w14:textId="77777777">
        <w:tc>
          <w:tcPr>
            <w:tcW w:w="0" w:type="auto"/>
          </w:tcPr>
          <w:p w14:paraId="71449B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01B16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A39B636" w14:textId="77777777" w:rsidR="00000000" w:rsidRPr="00BE00C7" w:rsidRDefault="00000000" w:rsidP="00BE00C7">
            <w:pPr>
              <w:pStyle w:val="OutcomeDescription"/>
              <w:spacing w:before="120" w:after="120"/>
              <w:rPr>
                <w:rFonts w:cs="Arial"/>
                <w:lang w:eastAsia="en-NZ"/>
              </w:rPr>
            </w:pPr>
          </w:p>
        </w:tc>
        <w:tc>
          <w:tcPr>
            <w:tcW w:w="0" w:type="auto"/>
          </w:tcPr>
          <w:p w14:paraId="73100D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E310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and tāngata whaikaha in accordance with their wishes. </w:t>
            </w:r>
          </w:p>
          <w:p w14:paraId="26FE4F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consumer auditor interviewed five tāngata whaikaha who were residents under young people with disabilities (YPD) contracts, and one relative. All were very satisfied that their rights were upheld by all staff during any interactions, and they all were very clear they were supported to have as much control over their lives as was appropriate for each individual.</w:t>
            </w:r>
          </w:p>
          <w:p w14:paraId="053FCB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tāngata whaikaha and whānau interviewed reported being made aware of the Code and the Nationwide Health and Disability </w:t>
            </w:r>
            <w:r w:rsidRPr="00BE00C7">
              <w:rPr>
                <w:rFonts w:cs="Arial"/>
                <w:lang w:eastAsia="en-NZ"/>
              </w:rPr>
              <w:lastRenderedPageBreak/>
              <w:t>Advocacy Service (Advocacy Service) and were provided with opportunities to discuss and clarify their rights. Copies of the Code were sighted throughout the facility.</w:t>
            </w:r>
          </w:p>
          <w:p w14:paraId="7B73209F" w14:textId="77777777" w:rsidR="00000000" w:rsidRPr="00BE00C7" w:rsidRDefault="00000000" w:rsidP="00BE00C7">
            <w:pPr>
              <w:pStyle w:val="OutcomeDescription"/>
              <w:spacing w:before="120" w:after="120"/>
              <w:rPr>
                <w:rFonts w:cs="Arial"/>
                <w:lang w:eastAsia="en-NZ"/>
              </w:rPr>
            </w:pPr>
          </w:p>
        </w:tc>
      </w:tr>
      <w:tr w:rsidR="00D603FE" w14:paraId="1A663FA6" w14:textId="77777777">
        <w:tc>
          <w:tcPr>
            <w:tcW w:w="0" w:type="auto"/>
          </w:tcPr>
          <w:p w14:paraId="38A116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6EEFD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96CDE43" w14:textId="77777777" w:rsidR="00000000" w:rsidRPr="00BE00C7" w:rsidRDefault="00000000" w:rsidP="00BE00C7">
            <w:pPr>
              <w:pStyle w:val="OutcomeDescription"/>
              <w:spacing w:before="120" w:after="120"/>
              <w:rPr>
                <w:rFonts w:cs="Arial"/>
                <w:lang w:eastAsia="en-NZ"/>
              </w:rPr>
            </w:pPr>
          </w:p>
        </w:tc>
        <w:tc>
          <w:tcPr>
            <w:tcW w:w="0" w:type="auto"/>
          </w:tcPr>
          <w:p w14:paraId="109794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26A6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supported residents and tāngata whaikaha in a way that was inclusive and respected their identity and experiences. Residents and whānau, including tāngata whaikaha, confirmed they received services in a manner that had regard for their dignity, gender, privacy, sexual orientation, spirituality and choices. </w:t>
            </w:r>
          </w:p>
          <w:p w14:paraId="3FD4AC0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and tāngata whaikaha have a private room.  Personal lockboxes were available for residents who request them.</w:t>
            </w:r>
          </w:p>
          <w:p w14:paraId="5CD7CA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adoption of the principals of the Eden Alternative fully supports residents' dignity and respect as it seeks to create a human habitat where life revolves around close and continuing contact with plants, animals and children believing that it is these relationships that provide the young and old alike with a pathway to a life worthwhile.</w:t>
            </w:r>
          </w:p>
          <w:p w14:paraId="5D77E1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their kaiāwhina, who is a part-time member of staff. Staff have undertaken training in Te Tiriti o Waitangi and understood the principles and how to apply these in their daily work. </w:t>
            </w:r>
          </w:p>
          <w:p w14:paraId="5B1E77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specific needs of tāngata whaikaha were responded to, including their participation in te ao Māori.</w:t>
            </w:r>
          </w:p>
          <w:p w14:paraId="3AE5BBE6" w14:textId="77777777" w:rsidR="00000000" w:rsidRPr="00BE00C7" w:rsidRDefault="00000000" w:rsidP="00BE00C7">
            <w:pPr>
              <w:pStyle w:val="OutcomeDescription"/>
              <w:spacing w:before="120" w:after="120"/>
              <w:rPr>
                <w:rFonts w:cs="Arial"/>
                <w:lang w:eastAsia="en-NZ"/>
              </w:rPr>
            </w:pPr>
          </w:p>
        </w:tc>
      </w:tr>
      <w:tr w:rsidR="00D603FE" w14:paraId="5D120B00" w14:textId="77777777">
        <w:tc>
          <w:tcPr>
            <w:tcW w:w="0" w:type="auto"/>
          </w:tcPr>
          <w:p w14:paraId="5FA475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3428A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ABF438B" w14:textId="77777777" w:rsidR="00000000" w:rsidRPr="00BE00C7" w:rsidRDefault="00000000" w:rsidP="00BE00C7">
            <w:pPr>
              <w:pStyle w:val="OutcomeDescription"/>
              <w:spacing w:before="120" w:after="120"/>
              <w:rPr>
                <w:rFonts w:cs="Arial"/>
                <w:lang w:eastAsia="en-NZ"/>
              </w:rPr>
            </w:pPr>
          </w:p>
        </w:tc>
        <w:tc>
          <w:tcPr>
            <w:tcW w:w="0" w:type="auto"/>
          </w:tcPr>
          <w:p w14:paraId="468F1A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F721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practices.  There were no examples of discrimination, coercion or harassment identified during the audit through staff and/or resident or whānau interviews, including tāngata whaikaha, or in documentation reviewed. </w:t>
            </w:r>
          </w:p>
          <w:p w14:paraId="75CAE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was labelled on admission, and they reported that their property was respected.  </w:t>
            </w:r>
          </w:p>
          <w:p w14:paraId="0315DF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w:t>
            </w:r>
            <w:r w:rsidRPr="00BE00C7">
              <w:rPr>
                <w:rFonts w:cs="Arial"/>
                <w:lang w:eastAsia="en-NZ"/>
              </w:rPr>
              <w:lastRenderedPageBreak/>
              <w:t>felt comfortable in raising any concerns in relation to institutional and systemic racism and that any concerns would be acted upon. A strengths-based and holistic model of care was evident and included use of Te Whare Tapa Whā model and the Eden Alternative, which is the organisational philosophical and practice basis that underpins all the organisation does.</w:t>
            </w:r>
          </w:p>
          <w:p w14:paraId="792D61E8" w14:textId="77777777" w:rsidR="00000000" w:rsidRPr="00BE00C7" w:rsidRDefault="00000000" w:rsidP="00BE00C7">
            <w:pPr>
              <w:pStyle w:val="OutcomeDescription"/>
              <w:spacing w:before="120" w:after="120"/>
              <w:rPr>
                <w:rFonts w:cs="Arial"/>
                <w:lang w:eastAsia="en-NZ"/>
              </w:rPr>
            </w:pPr>
          </w:p>
        </w:tc>
      </w:tr>
      <w:tr w:rsidR="00D603FE" w14:paraId="7C53DB4F" w14:textId="77777777">
        <w:tc>
          <w:tcPr>
            <w:tcW w:w="0" w:type="auto"/>
          </w:tcPr>
          <w:p w14:paraId="183CEA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3F823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177531A" w14:textId="77777777" w:rsidR="00000000" w:rsidRPr="00BE00C7" w:rsidRDefault="00000000" w:rsidP="00BE00C7">
            <w:pPr>
              <w:pStyle w:val="OutcomeDescription"/>
              <w:spacing w:before="120" w:after="120"/>
              <w:rPr>
                <w:rFonts w:cs="Arial"/>
                <w:lang w:eastAsia="en-NZ"/>
              </w:rPr>
            </w:pPr>
          </w:p>
        </w:tc>
        <w:tc>
          <w:tcPr>
            <w:tcW w:w="0" w:type="auto"/>
          </w:tcPr>
          <w:p w14:paraId="29BBBF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A7937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This was also confirmed in all discussions with tāngata whaikaha and whānau who were residents under the YPD contracts. This was supported by a review of the documentation and interviews with health professionals.</w:t>
            </w:r>
          </w:p>
          <w:p w14:paraId="11D02A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79E9D99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1B4D376C" w14:textId="77777777" w:rsidR="00000000" w:rsidRPr="00BE00C7" w:rsidRDefault="00000000" w:rsidP="00BE00C7">
            <w:pPr>
              <w:pStyle w:val="OutcomeDescription"/>
              <w:spacing w:before="120" w:after="120"/>
              <w:rPr>
                <w:rFonts w:cs="Arial"/>
                <w:lang w:eastAsia="en-NZ"/>
              </w:rPr>
            </w:pPr>
          </w:p>
        </w:tc>
      </w:tr>
      <w:tr w:rsidR="00D603FE" w14:paraId="0227F817" w14:textId="77777777">
        <w:tc>
          <w:tcPr>
            <w:tcW w:w="0" w:type="auto"/>
          </w:tcPr>
          <w:p w14:paraId="381164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E59C2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4847969" w14:textId="77777777" w:rsidR="00000000" w:rsidRPr="00BE00C7" w:rsidRDefault="00000000" w:rsidP="00BE00C7">
            <w:pPr>
              <w:pStyle w:val="OutcomeDescription"/>
              <w:spacing w:before="120" w:after="120"/>
              <w:rPr>
                <w:rFonts w:cs="Arial"/>
                <w:lang w:eastAsia="en-NZ"/>
              </w:rPr>
            </w:pPr>
          </w:p>
        </w:tc>
        <w:tc>
          <w:tcPr>
            <w:tcW w:w="0" w:type="auto"/>
          </w:tcPr>
          <w:p w14:paraId="093272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5621E5" w14:textId="6C56272A"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empowered to actively participate in decision-making.  With the consent of the resident, whānau were included in decision-making. Discussions with tāngata </w:t>
            </w:r>
            <w:proofErr w:type="spellStart"/>
            <w:r w:rsidRPr="00BE00C7">
              <w:rPr>
                <w:rFonts w:cs="Arial"/>
                <w:lang w:eastAsia="en-NZ"/>
              </w:rPr>
              <w:t>whaikaha</w:t>
            </w:r>
            <w:proofErr w:type="spellEnd"/>
            <w:r w:rsidRPr="00BE00C7">
              <w:rPr>
                <w:rFonts w:cs="Arial"/>
                <w:lang w:eastAsia="en-NZ"/>
              </w:rPr>
              <w:t xml:space="preserve"> and reviews of service plans confirmed they were actively involved in all decisions about their daily lives. </w:t>
            </w:r>
          </w:p>
          <w:p w14:paraId="565F38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Eden Alternative principals honour its elders seeking to place the maximum possible decision-making authority into the hand of the elders and those closest to them rather than top-down bureaucratic authority.  Residents are given the opportunity to give as well as receive care as this is the antidote to helplessness. Meaningful activities are encouraged as this is essential to human health as this </w:t>
            </w:r>
            <w:r w:rsidRPr="00BE00C7">
              <w:rPr>
                <w:rFonts w:cs="Arial"/>
                <w:lang w:eastAsia="en-NZ"/>
              </w:rPr>
              <w:lastRenderedPageBreak/>
              <w:t>is the antidote to boredom.</w:t>
            </w:r>
          </w:p>
          <w:p w14:paraId="1E136F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6AB06A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Enduring Power of Attorney (EPOA) requirements and processes for residents and tāngata whaikaha unable to consent were documented, as relevant, in the resident’s record.  </w:t>
            </w:r>
          </w:p>
          <w:p w14:paraId="0CF3DB12" w14:textId="77777777" w:rsidR="00000000" w:rsidRPr="00BE00C7" w:rsidRDefault="00000000" w:rsidP="00BE00C7">
            <w:pPr>
              <w:pStyle w:val="OutcomeDescription"/>
              <w:spacing w:before="120" w:after="120"/>
              <w:rPr>
                <w:rFonts w:cs="Arial"/>
                <w:lang w:eastAsia="en-NZ"/>
              </w:rPr>
            </w:pPr>
          </w:p>
        </w:tc>
      </w:tr>
      <w:tr w:rsidR="00D603FE" w14:paraId="4E0215FE" w14:textId="77777777">
        <w:tc>
          <w:tcPr>
            <w:tcW w:w="0" w:type="auto"/>
          </w:tcPr>
          <w:p w14:paraId="526546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25AD6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1E513FF" w14:textId="77777777" w:rsidR="00000000" w:rsidRPr="00BE00C7" w:rsidRDefault="00000000" w:rsidP="00BE00C7">
            <w:pPr>
              <w:pStyle w:val="OutcomeDescription"/>
              <w:spacing w:before="120" w:after="120"/>
              <w:rPr>
                <w:rFonts w:cs="Arial"/>
                <w:lang w:eastAsia="en-NZ"/>
              </w:rPr>
            </w:pPr>
          </w:p>
        </w:tc>
        <w:tc>
          <w:tcPr>
            <w:tcW w:w="0" w:type="auto"/>
          </w:tcPr>
          <w:p w14:paraId="0C3CE9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D26D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leading to improvements. This met the requirements of the Code. Residents and whānau understood their right to complain and knew how to do so. There were 53 complaints in 2024, and six in 2025 (year to date). The quality and operations manager (Q/OM) reported that the complaint process timeframes were adhered to, and service improvement measures were implemented as required. </w:t>
            </w:r>
          </w:p>
          <w:p w14:paraId="7EB82A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including follow-up letters and resolutions, was completed and managed in accordance with guidelines set by the Health and Disability Commissioner (HDC). Discussions with residents and whānau confirmed they were provided information on the complaints process and remarked that any concerns or issues were promptly addressed. </w:t>
            </w:r>
          </w:p>
          <w:p w14:paraId="7A387A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Whānau and residents making a complaint can, if they choose, involve an independent support person.  The complaints process was linked to advocacy services. The Code of Health and Disability Services Consumers’ Rights was visible and available in te reo Māori and English. Residents and whānau spoken with expressed satisfaction with the complaint process. In the event of a complaint from a Māori resident or whānau member, the service would seek the assistance of an interpreter or cultural advisor if needed. </w:t>
            </w:r>
          </w:p>
          <w:p w14:paraId="63CE45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two open HDC complaints from 2023. The service has complied with all requests for further information within the required timeframes. The other HDC complaint was closed in December </w:t>
            </w:r>
            <w:r w:rsidRPr="00BE00C7">
              <w:rPr>
                <w:rFonts w:cs="Arial"/>
                <w:lang w:eastAsia="en-NZ"/>
              </w:rPr>
              <w:lastRenderedPageBreak/>
              <w:t>2024. Key learnings from the complaints were implemented.</w:t>
            </w:r>
          </w:p>
          <w:p w14:paraId="7B5D869C" w14:textId="77777777" w:rsidR="00000000" w:rsidRPr="00BE00C7" w:rsidRDefault="00000000" w:rsidP="00BE00C7">
            <w:pPr>
              <w:pStyle w:val="OutcomeDescription"/>
              <w:spacing w:before="120" w:after="120"/>
              <w:rPr>
                <w:rFonts w:cs="Arial"/>
                <w:lang w:eastAsia="en-NZ"/>
              </w:rPr>
            </w:pPr>
          </w:p>
        </w:tc>
      </w:tr>
      <w:tr w:rsidR="00D603FE" w14:paraId="648998D8" w14:textId="77777777">
        <w:tc>
          <w:tcPr>
            <w:tcW w:w="0" w:type="auto"/>
          </w:tcPr>
          <w:p w14:paraId="41128C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FB4A6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0551D05" w14:textId="77777777" w:rsidR="00000000" w:rsidRPr="00BE00C7" w:rsidRDefault="00000000" w:rsidP="00BE00C7">
            <w:pPr>
              <w:pStyle w:val="OutcomeDescription"/>
              <w:spacing w:before="120" w:after="120"/>
              <w:rPr>
                <w:rFonts w:cs="Arial"/>
                <w:lang w:eastAsia="en-NZ"/>
              </w:rPr>
            </w:pPr>
          </w:p>
        </w:tc>
        <w:tc>
          <w:tcPr>
            <w:tcW w:w="0" w:type="auto"/>
          </w:tcPr>
          <w:p w14:paraId="6C4720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A79D19" w14:textId="77777777" w:rsidR="00000000" w:rsidRPr="00BE00C7" w:rsidRDefault="00000000" w:rsidP="00BE00C7">
            <w:pPr>
              <w:pStyle w:val="OutcomeDescription"/>
              <w:spacing w:before="120" w:after="120"/>
              <w:rPr>
                <w:rFonts w:cs="Arial"/>
                <w:lang w:eastAsia="en-NZ"/>
              </w:rPr>
            </w:pPr>
            <w:r w:rsidRPr="00BE00C7">
              <w:rPr>
                <w:rFonts w:cs="Arial"/>
                <w:lang w:eastAsia="en-NZ"/>
              </w:rPr>
              <w:t>EKHH is a care home and hospital located in Epsom, Auckland, for the older people and younger adults who live with a physical disability. In 2009, the service adopted the Eden Alternative, a philosophy of care dedicated to placing older people at the centre of care. The organisation is a fully registered Eden Alternative Home and is committed to the 10 principles of the Eden Alternative. The 10 principles guide the focus on opportunities to make residents’ lives purposeful and satisfying. The team at EKHH makes the most of all daily opportunities for a good life, with the best care and commitment. The service is committed to resident-directed care and a flattened non-hierarchical management structure. Evidence was sighted in documents reviewed and was further reiterated in interviews with the senior management team.</w:t>
            </w:r>
          </w:p>
          <w:p w14:paraId="5C42BA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currently eight board members of Elizabeth Home Trust. The board members possess significant governance experience and expertise in various fields, including project management, business management, finance, construction, and law. The board demonstrated responsible governance and remains close to service delivery by supporting and providing additional activities. The CEO reports to the board of trustees monthly. Monthly reports to the board showed adequate information to monitor performance was reported including potential risks, contracts, human resource and staffing, growth and development, maintenance, quality management, and financial performance. Board meeting minutes were sighted. Governance and the senior leadership team are committed to quality and risk through policy, processes, and feedback mechanisms. This included receiving regular information from the CEO. Two board members interviewed were knowledgeable of the sector and regulatory and reporting requirements and maintained currency within the field.</w:t>
            </w:r>
          </w:p>
          <w:p w14:paraId="06F982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CEO who has been in the role since March 2025. The CEO has extensive experience in the health care sector and has held senior leadership roles in New Zealand, Australia, and the United Kingdom. They were supported by a Q/OM, </w:t>
            </w:r>
            <w:r w:rsidRPr="00BE00C7">
              <w:rPr>
                <w:rFonts w:cs="Arial"/>
                <w:lang w:eastAsia="en-NZ"/>
              </w:rPr>
              <w:lastRenderedPageBreak/>
              <w:t>quality coordinator, care leader, clinical team, and the board.</w:t>
            </w:r>
          </w:p>
          <w:p w14:paraId="2CFF77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strategic plan outlines the organisation’s structure, purpose, values, scope, direction, performance, and goals. The plan supports improving equitable outcomes for Māori, Pacific peoples and tāngata whaikaha. Cultural safety is embedded in business and quality plans and staff training. Ethnicity data was being collected to support equity. Cultural safety training has been undertaken by all staff, including the senior management team and the governance. The management interviewed during the audit displayed a commitment to ongoing quality improvement, resident safety, elimination of restraints, and equity principles. The service has employed a kaiāwhina to support cultural training, policy development, residents, and whānau cultural needs.</w:t>
            </w:r>
          </w:p>
          <w:p w14:paraId="5F8BF19B"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participated in planning and evaluation of services through satisfaction surveys and regular monthly residents’ meetings. A sample of minutes of these showed good attendance and a comprehensive agenda, and any concerns raised were addressed and reported back to the residents. Residents and whānau interviewed were happy with the services provided and their level of involvement.</w:t>
            </w:r>
          </w:p>
          <w:p w14:paraId="16C0B5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clinical governance structure in place that included the quality committee and audit risk assurance committee. The management team meets to ensure there is a consistent overall approach to all clinical issues.</w:t>
            </w:r>
          </w:p>
          <w:p w14:paraId="7A03BD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agreements with Health New Zealand – Te Whatu Ora to provide age-related residential care (ARRC) for rest home, hospital-level care, respite care, long-term support - chronic health conditions care (LTS-CHC), Accident Compensation Corporation (ACC), young people with disabilities (YPD) and primary options for acute care (POAC). At the time of the audit, there were 211 hospital-level care residents, including 21 YPD residents and 3 ACC residents; 35 rest home residents, including three YPD; two respite residents; nil LTS-CHC; and nil POAC.</w:t>
            </w:r>
          </w:p>
          <w:p w14:paraId="7C7D0DDC" w14:textId="77777777" w:rsidR="00000000" w:rsidRPr="00BE00C7" w:rsidRDefault="00000000" w:rsidP="00BE00C7">
            <w:pPr>
              <w:pStyle w:val="OutcomeDescription"/>
              <w:spacing w:before="120" w:after="120"/>
              <w:rPr>
                <w:rFonts w:cs="Arial"/>
                <w:lang w:eastAsia="en-NZ"/>
              </w:rPr>
            </w:pPr>
          </w:p>
        </w:tc>
      </w:tr>
      <w:tr w:rsidR="00D603FE" w14:paraId="1B72771F" w14:textId="77777777">
        <w:tc>
          <w:tcPr>
            <w:tcW w:w="0" w:type="auto"/>
          </w:tcPr>
          <w:p w14:paraId="0DB994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37A1A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E4F996C" w14:textId="77777777" w:rsidR="00000000" w:rsidRPr="00BE00C7" w:rsidRDefault="00000000" w:rsidP="00BE00C7">
            <w:pPr>
              <w:pStyle w:val="OutcomeDescription"/>
              <w:spacing w:before="120" w:after="120"/>
              <w:rPr>
                <w:rFonts w:cs="Arial"/>
                <w:lang w:eastAsia="en-NZ"/>
              </w:rPr>
            </w:pPr>
          </w:p>
        </w:tc>
        <w:tc>
          <w:tcPr>
            <w:tcW w:w="0" w:type="auto"/>
          </w:tcPr>
          <w:p w14:paraId="6EBD86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DC99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 and complaints, audit activities, a regular resident satisfaction survey, monitoring of several resident safety/quality indicators (eg, falls, skin tears, bruising, infections), policies and procedures, clinical incidents, and any quality improvement projects. Relevant corrective actions were developed and implemented to address any shortfalls identified from internal audit activities. Trends were analysed to support ongoing evaluation and progress across the service’s quality outcomes. Benchmarking of data was conducted by comparing data with previous months' results and other external facilities quarterly.</w:t>
            </w:r>
          </w:p>
          <w:p w14:paraId="64F265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young people with disabilities, and whānau contribute to quality improvement through satisfaction surveys and residents’ meetings, and staff contribute through reviewing data as part of regular staff meetings/registered nurse (RN) meetings and audit activities. Staff meeting agendas and minutes reviewed showed good attendance and comprehensive agendas covering quality and safety measures/activities. The outcomes from the resident satisfaction survey conducted in September to November 2024 were favourable. Minimal corrective actions were identified, and these have been implemented. The quality team has updated all policies and procedures reviewed to meet the requirements of the Ngā Paerewa Standard.  </w:t>
            </w:r>
          </w:p>
          <w:p w14:paraId="42255A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Q/OM reported that collecting, collating, and reviewing residents’ and staff ethnicity data to improve health equity through critical analysis of data and organisational practices, was being implemented. </w:t>
            </w:r>
          </w:p>
          <w:p w14:paraId="2DFC49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described the processes for the identification, documentation, monitoring, review and reporting of risks, including health and safety risks, and the development of mitigation strategies. These were reported during meetings. </w:t>
            </w:r>
          </w:p>
          <w:p w14:paraId="42A5A7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Reporting Policy. A sample of 10 incident forms reviewed showed these were fully completed, incidents were investigated, action plans developed, and actions followed up in a </w:t>
            </w:r>
            <w:r w:rsidRPr="00BE00C7">
              <w:rPr>
                <w:rFonts w:cs="Arial"/>
                <w:lang w:eastAsia="en-NZ"/>
              </w:rPr>
              <w:lastRenderedPageBreak/>
              <w:t>timely manner. The nursing team and management were aware of the new Severity Assessment Code (SAC) 1 and 2 event reporting processes. SAC 2 reports were reported in relation to two residents who fell and sustained fractures.</w:t>
            </w:r>
          </w:p>
          <w:p w14:paraId="680A9F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complied with statutory and regulatory reporting obligations. The management team interviewed was familiar with essential notification reporting requirements. There were five Section 31 notifications completed to Health New Zealand – Te Whatu Ora for the resignation of CEO, appointment of new CEO, trespass breach, and two thefts by intruders. The Q/OM reported there was one notification in relation to Covid-19 to Public Health completed since the previous audit.</w:t>
            </w:r>
          </w:p>
          <w:p w14:paraId="7A835576" w14:textId="77777777" w:rsidR="00000000" w:rsidRPr="00BE00C7" w:rsidRDefault="00000000" w:rsidP="00BE00C7">
            <w:pPr>
              <w:pStyle w:val="OutcomeDescription"/>
              <w:spacing w:before="120" w:after="120"/>
              <w:rPr>
                <w:rFonts w:cs="Arial"/>
                <w:lang w:eastAsia="en-NZ"/>
              </w:rPr>
            </w:pPr>
          </w:p>
        </w:tc>
      </w:tr>
      <w:tr w:rsidR="00D603FE" w14:paraId="1049F22A" w14:textId="77777777">
        <w:tc>
          <w:tcPr>
            <w:tcW w:w="0" w:type="auto"/>
          </w:tcPr>
          <w:p w14:paraId="11509F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D00F7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9169C37" w14:textId="77777777" w:rsidR="00000000" w:rsidRPr="00BE00C7" w:rsidRDefault="00000000" w:rsidP="00BE00C7">
            <w:pPr>
              <w:pStyle w:val="OutcomeDescription"/>
              <w:spacing w:before="120" w:after="120"/>
              <w:rPr>
                <w:rFonts w:cs="Arial"/>
                <w:lang w:eastAsia="en-NZ"/>
              </w:rPr>
            </w:pPr>
          </w:p>
        </w:tc>
        <w:tc>
          <w:tcPr>
            <w:tcW w:w="0" w:type="auto"/>
          </w:tcPr>
          <w:p w14:paraId="4373A5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B134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safe care, 24 hours a day, seven days a week (24/7). The facility adjusts staffing levels to meet the changing needs of residents. A team approach ensured all aspects of service delivery were met.   Those providing care reported there were adequate staff to complete the work allocated to them.  Residents and whānau interviewed supported this. Most staff members on duty in their respective wings had current first aid certificates and there is 24/7 registered nurse coverage.    </w:t>
            </w:r>
          </w:p>
          <w:p w14:paraId="173A4C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delivered to meet the needs of residents.   </w:t>
            </w:r>
          </w:p>
          <w:p w14:paraId="32911DCD" w14:textId="185919B0" w:rsidR="00000000" w:rsidRPr="00BE00C7" w:rsidRDefault="00000000" w:rsidP="00BE00C7">
            <w:pPr>
              <w:pStyle w:val="OutcomeDescription"/>
              <w:spacing w:before="120" w:after="120"/>
              <w:rPr>
                <w:rFonts w:cs="Arial"/>
                <w:lang w:eastAsia="en-NZ"/>
              </w:rPr>
            </w:pPr>
            <w:r w:rsidRPr="00BE00C7">
              <w:rPr>
                <w:rFonts w:cs="Arial"/>
                <w:lang w:eastAsia="en-NZ"/>
              </w:rPr>
              <w:t>Continuing education was planned annually, covering a wide range of topics including</w:t>
            </w:r>
            <w:r w:rsidR="003F5136">
              <w:rPr>
                <w:rFonts w:cs="Arial"/>
                <w:lang w:eastAsia="en-NZ"/>
              </w:rPr>
              <w:t xml:space="preserve">, </w:t>
            </w:r>
            <w:r w:rsidRPr="00BE00C7">
              <w:rPr>
                <w:rFonts w:cs="Arial"/>
                <w:lang w:eastAsia="en-NZ"/>
              </w:rPr>
              <w:t>but not limited to</w:t>
            </w:r>
            <w:r w:rsidR="003F5136">
              <w:rPr>
                <w:rFonts w:cs="Arial"/>
                <w:lang w:eastAsia="en-NZ"/>
              </w:rPr>
              <w:t>,</w:t>
            </w:r>
            <w:r w:rsidRPr="00BE00C7">
              <w:rPr>
                <w:rFonts w:cs="Arial"/>
                <w:lang w:eastAsia="en-NZ"/>
              </w:rPr>
              <w:t xml:space="preserve"> infection prevention and control, medication management, care planning and assessment and cultural safety, wound care management, palliative care, emergency evacuation, falls prevention, skin management, fire safety, and syringe driver training.  Related competencies were assessed.  High-quality Māori health information was accessed and used to support training and development programmes, policy development, and care delivery.  </w:t>
            </w:r>
          </w:p>
          <w:p w14:paraId="0430FE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EKHH training team identified a learning gap in the clinical skills for </w:t>
            </w:r>
            <w:r w:rsidRPr="00BE00C7">
              <w:rPr>
                <w:rFonts w:cs="Arial"/>
                <w:lang w:eastAsia="en-NZ"/>
              </w:rPr>
              <w:lastRenderedPageBreak/>
              <w:t>staff. An opportunity to strengthen and bridge this gap across all staff was initiated. A quality improvement initiative focused on using experiential learning to improve clinical outcomes was initiated in 2024 up to March 2025. The project served as an adjunct to the current policies and procedures related to resident care to support new and old clinical team members through “learning by doing”. Experiential learning was described as the process of facilitating learning through hands-on experience and consisted of integrating knowledge, activity, and reflection.  Feedback obtained from residents and whānau was positive. Experiential learning positively impacted the well-being of both staff and residents. This resulted in good oral hygiene care and a reduction in falls, pressure injuries, complaints, and skin tears. The information was depicted through graphical representations. Through this targeted training, staff demonstrated improved knowledge and practical skills that directly enhanced the quality of care provided to residents</w:t>
            </w:r>
          </w:p>
          <w:p w14:paraId="66B02E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Most care partners have either completed or commenced a New Zealand Qualification Authority education programme to meet the requirements of the provider’s agreement with Health New Zealand – Te Whatu Ora.  One hundred and two care partners had achieved Level 4, 15 had achieved Level 3, 11 had achieved Level 1, and 17 were still to commence training. Records reviewed demonstrated completion of the required training and competency assessments.   </w:t>
            </w:r>
          </w:p>
          <w:p w14:paraId="0FFE4A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w:t>
            </w:r>
          </w:p>
          <w:p w14:paraId="296E8751" w14:textId="77777777" w:rsidR="00000000" w:rsidRPr="00BE00C7" w:rsidRDefault="00000000" w:rsidP="00BE00C7">
            <w:pPr>
              <w:pStyle w:val="OutcomeDescription"/>
              <w:spacing w:before="120" w:after="120"/>
              <w:rPr>
                <w:rFonts w:cs="Arial"/>
                <w:lang w:eastAsia="en-NZ"/>
              </w:rPr>
            </w:pPr>
          </w:p>
        </w:tc>
      </w:tr>
      <w:tr w:rsidR="00D603FE" w14:paraId="6CF99DF0" w14:textId="77777777">
        <w:tc>
          <w:tcPr>
            <w:tcW w:w="0" w:type="auto"/>
          </w:tcPr>
          <w:p w14:paraId="7FDBF0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3A738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1301943" w14:textId="77777777" w:rsidR="00000000" w:rsidRPr="00BE00C7" w:rsidRDefault="00000000" w:rsidP="00BE00C7">
            <w:pPr>
              <w:pStyle w:val="OutcomeDescription"/>
              <w:spacing w:before="120" w:after="120"/>
              <w:rPr>
                <w:rFonts w:cs="Arial"/>
                <w:lang w:eastAsia="en-NZ"/>
              </w:rPr>
            </w:pPr>
          </w:p>
        </w:tc>
        <w:tc>
          <w:tcPr>
            <w:tcW w:w="0" w:type="auto"/>
          </w:tcPr>
          <w:p w14:paraId="1D45FC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E546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were based on good employment practices and relevant legislation. A sample of staff records reviewed confirmed the organisation’s policies were being consistently implemented. Job descriptions were documented for each role. Professional qualifications and registration (where applicable) had been validated prior to employment. Practising certificates were current for all regulated health professionals, including the registered nurses, general practitioner, physiotherapists, occupational therapist, pharmacists, podiatrist and dietitian.    </w:t>
            </w:r>
          </w:p>
          <w:p w14:paraId="16C849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reported that the induction and orientation programme prepared them well for the role, and evidence of this was seen in seven files reviewed. Opportunities to discuss and review performance occurred three months following appointment and yearly thereafter, as confirmed in records reviewed. Staff had access to the Employee Assistance Programme if required.</w:t>
            </w:r>
          </w:p>
          <w:p w14:paraId="1CC141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confidentially, and used in line with the Health Information Standards Organisation (HISO) requirements.   </w:t>
            </w:r>
          </w:p>
          <w:p w14:paraId="3CF70EA5" w14:textId="77777777" w:rsidR="00000000" w:rsidRPr="00BE00C7" w:rsidRDefault="00000000" w:rsidP="00BE00C7">
            <w:pPr>
              <w:pStyle w:val="OutcomeDescription"/>
              <w:spacing w:before="120" w:after="120"/>
              <w:rPr>
                <w:rFonts w:cs="Arial"/>
                <w:lang w:eastAsia="en-NZ"/>
              </w:rPr>
            </w:pPr>
          </w:p>
        </w:tc>
      </w:tr>
      <w:tr w:rsidR="00D603FE" w14:paraId="2044B6C5" w14:textId="77777777">
        <w:tc>
          <w:tcPr>
            <w:tcW w:w="0" w:type="auto"/>
          </w:tcPr>
          <w:p w14:paraId="3F2D03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CF628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A704C78" w14:textId="77777777" w:rsidR="00000000" w:rsidRPr="00BE00C7" w:rsidRDefault="00000000" w:rsidP="00BE00C7">
            <w:pPr>
              <w:pStyle w:val="OutcomeDescription"/>
              <w:spacing w:before="120" w:after="120"/>
              <w:rPr>
                <w:rFonts w:cs="Arial"/>
                <w:lang w:eastAsia="en-NZ"/>
              </w:rPr>
            </w:pPr>
          </w:p>
        </w:tc>
        <w:tc>
          <w:tcPr>
            <w:tcW w:w="0" w:type="auto"/>
          </w:tcPr>
          <w:p w14:paraId="513276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FFB7F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and legible and met current documentation standards. No personal or private resident information was on public display during the audit. Archived records were held securely onsite and were clearly labelled for ease of retrieval. Residents’ information was held for the required period before being destroyed.</w:t>
            </w:r>
          </w:p>
          <w:p w14:paraId="484084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record, medication management system, and interRAI assessment tool. The visiting general practitioners and allied health providers also document as required in the residents’ records. Policies and procedures guide staff in the management of information. The care leader reported that staff have their own logins. An external provider held backup database systems.</w:t>
            </w:r>
          </w:p>
          <w:p w14:paraId="6E2318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consent process for data collection. The records sampled were integrated. The care leader reported that EPOAs can review residents’ records in accordance with privacy laws, and records can be provided in a format accessible to the resident concerned.</w:t>
            </w:r>
          </w:p>
          <w:p w14:paraId="53817726" w14:textId="77777777" w:rsidR="00000000" w:rsidRPr="00BE00C7" w:rsidRDefault="00000000" w:rsidP="00BE00C7">
            <w:pPr>
              <w:pStyle w:val="OutcomeDescription"/>
              <w:spacing w:before="120" w:after="120"/>
              <w:rPr>
                <w:rFonts w:cs="Arial"/>
                <w:lang w:eastAsia="en-NZ"/>
              </w:rPr>
            </w:pPr>
            <w:r w:rsidRPr="00BE00C7">
              <w:rPr>
                <w:rFonts w:cs="Arial"/>
                <w:lang w:eastAsia="en-NZ"/>
              </w:rPr>
              <w:t>EKHH is not responsible for the National Health Index registration of people receiving services.</w:t>
            </w:r>
          </w:p>
          <w:p w14:paraId="28C4C84B" w14:textId="77777777" w:rsidR="00000000" w:rsidRPr="00BE00C7" w:rsidRDefault="00000000" w:rsidP="00BE00C7">
            <w:pPr>
              <w:pStyle w:val="OutcomeDescription"/>
              <w:spacing w:before="120" w:after="120"/>
              <w:rPr>
                <w:rFonts w:cs="Arial"/>
                <w:lang w:eastAsia="en-NZ"/>
              </w:rPr>
            </w:pPr>
          </w:p>
        </w:tc>
      </w:tr>
      <w:tr w:rsidR="00D603FE" w14:paraId="0A03F52F" w14:textId="77777777">
        <w:tc>
          <w:tcPr>
            <w:tcW w:w="0" w:type="auto"/>
          </w:tcPr>
          <w:p w14:paraId="07246F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BC3E9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5D96086" w14:textId="77777777" w:rsidR="00000000" w:rsidRPr="00BE00C7" w:rsidRDefault="00000000" w:rsidP="00BE00C7">
            <w:pPr>
              <w:pStyle w:val="OutcomeDescription"/>
              <w:spacing w:before="120" w:after="120"/>
              <w:rPr>
                <w:rFonts w:cs="Arial"/>
                <w:lang w:eastAsia="en-NZ"/>
              </w:rPr>
            </w:pPr>
          </w:p>
        </w:tc>
        <w:tc>
          <w:tcPr>
            <w:tcW w:w="0" w:type="auto"/>
          </w:tcPr>
          <w:p w14:paraId="3F58C7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F201C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welcomed into the service when assessment by the local Needs Assessment and Service Coordination (NASC) agency confirmed the level of care they required was appropriate for the type of service offered by EKHH based on documented entry criteria available to the community and understood by staff. All files reviewed met contractual requirements including yearly review for YPD.</w:t>
            </w:r>
          </w:p>
          <w:p w14:paraId="1E3A404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satisfied with the admission process and the information that had been made available to them on admission. A visit to EKHH by relatives and prospective residents, where possible, is aways encouraged prior to admission.</w:t>
            </w:r>
          </w:p>
          <w:p w14:paraId="3BBFA9BF" w14:textId="77777777" w:rsidR="00000000" w:rsidRPr="00BE00C7" w:rsidRDefault="00000000" w:rsidP="00BE00C7">
            <w:pPr>
              <w:pStyle w:val="OutcomeDescription"/>
              <w:spacing w:before="120" w:after="120"/>
              <w:rPr>
                <w:rFonts w:cs="Arial"/>
                <w:lang w:eastAsia="en-NZ"/>
              </w:rPr>
            </w:pPr>
            <w:r w:rsidRPr="00BE00C7">
              <w:rPr>
                <w:rFonts w:cs="Arial"/>
                <w:lang w:eastAsia="en-NZ"/>
              </w:rPr>
              <w:t>Enquiries were documented and, where a prospective resident was declined entry, there were processes for communicating the decision, although this rarely occurs. EKHH considered the staffing mix, interRAI, presenting challenging behaviours and the staff were mindful of their Trust Deed which provided for a “Bastion of Hope”.  Related data was documented and analysis of the entry and decline rates, including for Māori, is completed and used to monitor that fair and equitable access to EKHH is maintained.</w:t>
            </w:r>
          </w:p>
          <w:p w14:paraId="42DFDDB4" w14:textId="77777777" w:rsidR="00000000" w:rsidRPr="00BE00C7" w:rsidRDefault="00000000" w:rsidP="00BE00C7">
            <w:pPr>
              <w:pStyle w:val="OutcomeDescription"/>
              <w:spacing w:before="120" w:after="120"/>
              <w:rPr>
                <w:rFonts w:cs="Arial"/>
                <w:lang w:eastAsia="en-NZ"/>
              </w:rPr>
            </w:pPr>
            <w:r w:rsidRPr="00BE00C7">
              <w:rPr>
                <w:rFonts w:cs="Arial"/>
                <w:lang w:eastAsia="en-NZ"/>
              </w:rPr>
              <w:t>EKHH has links with Ngāti Whātua Orākei to advise on any service issues, including when and who to consult when services are being established or developed. To improve service, networking links were being established with He Kāmaka Waiora (HKW), the collaboration of Māori Health Services across Te Toka Tumai Auckland. From this range of organisations, three sessions of consultation have occurred over the past year to assist EKHH to support Māori and their whānau when entering the service. EKHH respected and welcomed the use of Rongoā Māori (traditional healing). There were currently no residents who had requested the services of a Māori healer.</w:t>
            </w:r>
          </w:p>
          <w:p w14:paraId="214909A6" w14:textId="77777777" w:rsidR="00000000" w:rsidRPr="00BE00C7" w:rsidRDefault="00000000" w:rsidP="00BE00C7">
            <w:pPr>
              <w:pStyle w:val="OutcomeDescription"/>
              <w:spacing w:before="120" w:after="120"/>
              <w:rPr>
                <w:rFonts w:cs="Arial"/>
                <w:lang w:eastAsia="en-NZ"/>
              </w:rPr>
            </w:pPr>
          </w:p>
        </w:tc>
      </w:tr>
      <w:tr w:rsidR="00D603FE" w14:paraId="3E2A7F30" w14:textId="77777777">
        <w:tc>
          <w:tcPr>
            <w:tcW w:w="0" w:type="auto"/>
          </w:tcPr>
          <w:p w14:paraId="54E1B1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15C2E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w:t>
            </w:r>
            <w:r w:rsidRPr="00BE00C7">
              <w:rPr>
                <w:rFonts w:cs="Arial"/>
                <w:lang w:eastAsia="en-NZ"/>
              </w:rPr>
              <w:lastRenderedPageBreak/>
              <w:t>and support their aspirations, mana motuhake, and whānau rangatiratanga.</w:t>
            </w:r>
            <w:r w:rsidRPr="00BE00C7">
              <w:rPr>
                <w:rFonts w:cs="Arial"/>
                <w:lang w:eastAsia="en-NZ"/>
              </w:rPr>
              <w:br/>
              <w:t>As service providers: We work in partnership with people and whānau to support wellbeing.</w:t>
            </w:r>
          </w:p>
          <w:p w14:paraId="786F745A" w14:textId="77777777" w:rsidR="00000000" w:rsidRPr="00BE00C7" w:rsidRDefault="00000000" w:rsidP="00BE00C7">
            <w:pPr>
              <w:pStyle w:val="OutcomeDescription"/>
              <w:spacing w:before="120" w:after="120"/>
              <w:rPr>
                <w:rFonts w:cs="Arial"/>
                <w:lang w:eastAsia="en-NZ"/>
              </w:rPr>
            </w:pPr>
          </w:p>
        </w:tc>
        <w:tc>
          <w:tcPr>
            <w:tcW w:w="0" w:type="auto"/>
          </w:tcPr>
          <w:p w14:paraId="66CF9A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7673A6" w14:textId="4E0ACF41"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worked in partnership with the resident and whānau to support wellbeing. Integration of </w:t>
            </w:r>
            <w:proofErr w:type="spellStart"/>
            <w:r w:rsidRPr="00BE00C7">
              <w:rPr>
                <w:rFonts w:cs="Arial"/>
                <w:lang w:eastAsia="en-NZ"/>
              </w:rPr>
              <w:t>interRAI</w:t>
            </w:r>
            <w:proofErr w:type="spellEnd"/>
            <w:r w:rsidRPr="00BE00C7">
              <w:rPr>
                <w:rFonts w:cs="Arial"/>
                <w:lang w:eastAsia="en-NZ"/>
              </w:rPr>
              <w:t xml:space="preserve"> medical electronic record into the residents’ integrated electronic record has been a recent improvement to the resident file. A care plan, based on the EKHH model of care, is developed by suitably qualified staff following a comprehensive assessment, including consideration of </w:t>
            </w:r>
            <w:r w:rsidRPr="00BE00C7">
              <w:rPr>
                <w:rFonts w:cs="Arial"/>
                <w:lang w:eastAsia="en-NZ"/>
              </w:rPr>
              <w:lastRenderedPageBreak/>
              <w:t>the person’s lived experience, cultural needs, values and beliefs, and which considers wider service integration, where required. Early warning signs and risks, with a focus on prevention or escalation for appropriate interventions, were recorded. All residents held a ‘care at a glance’ support plan readily accessible for all staff. All individual residents who require hoist assistance were initially assessed by the physiotherapist. A transfer plan was completed, and the individual residents were all provided with their own sling specifically measured and tailored for their use.</w:t>
            </w:r>
          </w:p>
          <w:p w14:paraId="6C3F7813"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 assessment, initial care plan, long-term care plan and review timeframes met contractual and policy requirements. Staff understood and supported Māori and whānau to identify their own pae ora outcomes in their care plan. This was verified by sampling 16 resident records, and from interviews with clinical staff, people receiving services, and whānau.</w:t>
            </w:r>
          </w:p>
          <w:p w14:paraId="59EE69C3"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 whānau. Residents and whānau confirmed active involvement in the process.</w:t>
            </w:r>
          </w:p>
          <w:p w14:paraId="2A5C37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participated in service development through assessments including “Who I Am” routines and lifestyle and leisure. Personal goals for physiotherapy, occupational therapy and dietitian are considered at multidisciplinary reviews. Examples of choices and control over service delivery were discussed with staff/tāngata whaikaha/whānau.  Tāngata whaikaha/whānau could independently access information. </w:t>
            </w:r>
          </w:p>
          <w:p w14:paraId="2EBFA0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general practitioner confirmed that the quality of care was consistent and met the residents’ needs. Communication was regular, with medical practitioners providing on-site coverage five days per week, with on-call service 24/7.  </w:t>
            </w:r>
          </w:p>
          <w:p w14:paraId="08833F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EKHH provides in-house allied health services employing a </w:t>
            </w:r>
            <w:r w:rsidRPr="00BE00C7">
              <w:rPr>
                <w:rFonts w:cs="Arial"/>
                <w:lang w:eastAsia="en-NZ"/>
              </w:rPr>
              <w:lastRenderedPageBreak/>
              <w:t>physiotherapist, occupational therapist, exercise physiologist and three physiotherapy assistants. Services include wheelchair seating assessment, equipment assessment, support for anxiety and depression, mindfulness, rehabilitation, and change deterioration management. A fit-for-purpose gym is available and open daily from 9am to 4pm. Every resident admitted is offered the opportunity to participate in group classes, structured sessions, or one-on-one exercise, with the aim of improving quality of life by focusing on function, balance, and flexibility. The programme encourages incorporating exercise into daily life and making it as enjoyable as possible. The team were involved in initial assessment and resident transfer support plans, with progress notes documented on the integrated electronic resident management system.   An interview with the allied health team confirmed they work closely with the care operations manager, and that residents were recognising positive outcomes. Demand for gym services has been outstanding, resulting in recently increased service hours.</w:t>
            </w:r>
          </w:p>
          <w:p w14:paraId="2E1A60C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believed the care was good, that food was varied with tasty sauces, and they felt safe and secure. They expressed their involvement in a range of activities that were wide-ranging and personalised. Whānau interviewed were grateful for EKHH. They had received good information on admission and knew how to make a complaint. They described EKHH as a well-designed and equipped service which they chose to provide care to their family members due to location and reputation. They felt welcomed when visiting and had no concerns.</w:t>
            </w:r>
          </w:p>
          <w:p w14:paraId="44FFB9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practitioner interviewed, or one of the medical team, visited EKHH each weekday and their input was welcomed for all new admissions and when there was a change in condition.  They encouraged a team approach to care. The electronic medical file was integrated into the EKHH electronic resident file, and they had ready access to the electronic medication file 24/7. The medical team had a peer review process monthly and invited the nursing team every two months, when they discussed case studies and combined care. They reported they had excellent communication with the staff of EKHH and across the multidisciplinary teams, including with the acute care mental health team and specialists. They believed the care was a good as it can be and reported that concerns raised by families were </w:t>
            </w:r>
            <w:r w:rsidRPr="00BE00C7">
              <w:rPr>
                <w:rFonts w:cs="Arial"/>
                <w:lang w:eastAsia="en-NZ"/>
              </w:rPr>
              <w:lastRenderedPageBreak/>
              <w:t>often around expectations, which were resolved through communication.</w:t>
            </w:r>
          </w:p>
          <w:p w14:paraId="7FFA3E07" w14:textId="77777777" w:rsidR="00000000" w:rsidRPr="00BE00C7" w:rsidRDefault="00000000" w:rsidP="003F5136">
            <w:pPr>
              <w:pStyle w:val="OutcomeDescription"/>
              <w:spacing w:before="120" w:after="120"/>
              <w:rPr>
                <w:rFonts w:cs="Arial"/>
                <w:lang w:eastAsia="en-NZ"/>
              </w:rPr>
            </w:pPr>
          </w:p>
        </w:tc>
      </w:tr>
      <w:tr w:rsidR="00D603FE" w14:paraId="4C4A37C2" w14:textId="77777777">
        <w:tc>
          <w:tcPr>
            <w:tcW w:w="0" w:type="auto"/>
          </w:tcPr>
          <w:p w14:paraId="7F5E3C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D5592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6D36057" w14:textId="77777777" w:rsidR="00000000" w:rsidRPr="00BE00C7" w:rsidRDefault="00000000" w:rsidP="00BE00C7">
            <w:pPr>
              <w:pStyle w:val="OutcomeDescription"/>
              <w:spacing w:before="120" w:after="120"/>
              <w:rPr>
                <w:rFonts w:cs="Arial"/>
                <w:lang w:eastAsia="en-NZ"/>
              </w:rPr>
            </w:pPr>
          </w:p>
        </w:tc>
        <w:tc>
          <w:tcPr>
            <w:tcW w:w="0" w:type="auto"/>
          </w:tcPr>
          <w:p w14:paraId="6623C2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E85F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supported residents and tāngata whaikaha to maintain and develop their interests and was suitable for their age and stage of life. </w:t>
            </w:r>
          </w:p>
          <w:p w14:paraId="61AECA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A wide range of individual and group activities reflected residents’ goals and interests, ordinary patterns of life, and included normal community activities. Activities for tāngata whaikaha were appropriate and supported individual choices and lifestyles.  Opportunities for Māori and whānau to participate in te ao Māori are facilitated. Community initiatives met the needs of Māori. </w:t>
            </w:r>
          </w:p>
          <w:p w14:paraId="09A70A32"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monthly resident meetings with the Lifestyle and Leisure Coordinator to review the programme, and discussion and suggestions were made for future activities of interest to them.   Those interviewed, including tāngata whaikaha, confirmed they found the programme met their needs.</w:t>
            </w:r>
          </w:p>
          <w:p w14:paraId="683ECCF8" w14:textId="77777777" w:rsidR="00000000" w:rsidRPr="00BE00C7" w:rsidRDefault="00000000" w:rsidP="00BE00C7">
            <w:pPr>
              <w:pStyle w:val="OutcomeDescription"/>
              <w:spacing w:before="120" w:after="120"/>
              <w:rPr>
                <w:rFonts w:cs="Arial"/>
                <w:lang w:eastAsia="en-NZ"/>
              </w:rPr>
            </w:pPr>
          </w:p>
        </w:tc>
      </w:tr>
      <w:tr w:rsidR="00D603FE" w14:paraId="648DB4A1" w14:textId="77777777">
        <w:tc>
          <w:tcPr>
            <w:tcW w:w="0" w:type="auto"/>
          </w:tcPr>
          <w:p w14:paraId="5649FC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F639B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B5B33BF" w14:textId="77777777" w:rsidR="00000000" w:rsidRPr="00BE00C7" w:rsidRDefault="00000000" w:rsidP="00BE00C7">
            <w:pPr>
              <w:pStyle w:val="OutcomeDescription"/>
              <w:spacing w:before="120" w:after="120"/>
              <w:rPr>
                <w:rFonts w:cs="Arial"/>
                <w:lang w:eastAsia="en-NZ"/>
              </w:rPr>
            </w:pPr>
          </w:p>
        </w:tc>
        <w:tc>
          <w:tcPr>
            <w:tcW w:w="0" w:type="auto"/>
          </w:tcPr>
          <w:p w14:paraId="54DD11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EDE5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an electronic system) was observed on the day of audit.  All staff who administer medicines were competent to perform the function they managed. </w:t>
            </w:r>
          </w:p>
          <w:p w14:paraId="2480DB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7E70FA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4F58A4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w:t>
            </w:r>
            <w:r w:rsidRPr="00BE00C7">
              <w:rPr>
                <w:rFonts w:cs="Arial"/>
                <w:lang w:eastAsia="en-NZ"/>
              </w:rPr>
              <w:lastRenderedPageBreak/>
              <w:t xml:space="preserve">appropriately. Over-the-counter medication and supplements were considered by the prescriber as part of the person’s medication.  The required three-monthly GP review was consistently recorded on the medicine chart.  </w:t>
            </w:r>
          </w:p>
          <w:p w14:paraId="169F5972"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were not used.</w:t>
            </w:r>
          </w:p>
          <w:p w14:paraId="7A3730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currently one resident self-administrating medication and this was managed safely. Residents, including Māori residents and their whānau, were supported to understand their medications.</w:t>
            </w:r>
          </w:p>
          <w:p w14:paraId="325F84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was awarded a continuous improvement rating for using medication optimisation to improve clinical outcomes.</w:t>
            </w:r>
          </w:p>
          <w:p w14:paraId="156BD316" w14:textId="77777777" w:rsidR="00000000" w:rsidRPr="00BE00C7" w:rsidRDefault="00000000" w:rsidP="00BE00C7">
            <w:pPr>
              <w:pStyle w:val="OutcomeDescription"/>
              <w:spacing w:before="120" w:after="120"/>
              <w:rPr>
                <w:rFonts w:cs="Arial"/>
                <w:lang w:eastAsia="en-NZ"/>
              </w:rPr>
            </w:pPr>
          </w:p>
        </w:tc>
      </w:tr>
      <w:tr w:rsidR="00D603FE" w14:paraId="1FE93038" w14:textId="77777777">
        <w:tc>
          <w:tcPr>
            <w:tcW w:w="0" w:type="auto"/>
          </w:tcPr>
          <w:p w14:paraId="2B5762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27706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B3E7244" w14:textId="77777777" w:rsidR="00000000" w:rsidRPr="00BE00C7" w:rsidRDefault="00000000" w:rsidP="00BE00C7">
            <w:pPr>
              <w:pStyle w:val="OutcomeDescription"/>
              <w:spacing w:before="120" w:after="120"/>
              <w:rPr>
                <w:rFonts w:cs="Arial"/>
                <w:lang w:eastAsia="en-NZ"/>
              </w:rPr>
            </w:pPr>
          </w:p>
        </w:tc>
        <w:tc>
          <w:tcPr>
            <w:tcW w:w="0" w:type="auto"/>
          </w:tcPr>
          <w:p w14:paraId="65B27F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CE97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Food services were provided by an independent contractor caterer. The menu had been reviewed by a qualified dietitian from Dietitians New Zealand within the last two years.  Recommendations made at that time have been implemented. </w:t>
            </w:r>
          </w:p>
          <w:p w14:paraId="0F93A72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This was approved by Auckland City Council on 7 March 2025.</w:t>
            </w:r>
          </w:p>
          <w:p w14:paraId="2E8087B8"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Personal food preferences, any special diets and modified texture requirements were accommodated in the daily meal plan.  Māori and their whānau had menu options that are culturally specific to te ao Māori.  An interview with the kitchen manager and cooks confirmed that a range of functions were catered for, including Matariki and other cultural events such as birthdays and religious occasions. Food/fluid/snacks were available 24/7 within all 10 units. Staff held quarterly ‘food for thought’ meetings. An external contractor provided fortified moulied meals that were prepared using moulds to present the food in an appetising manner for residents with chewing or swallowing difficulties.</w:t>
            </w:r>
          </w:p>
          <w:p w14:paraId="13E35D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residents </w:t>
            </w:r>
            <w:r w:rsidRPr="00BE00C7">
              <w:rPr>
                <w:rFonts w:cs="Arial"/>
                <w:lang w:eastAsia="en-NZ"/>
              </w:rPr>
              <w:lastRenderedPageBreak/>
              <w:t>and whānau interviews, satisfaction surveys and resident meeting minutes. They confirmed they were offered opportunities to be involved in food preparation through interactive food demonstrations organised by the lifestyle team. Residents were given sufficient time to eat their meals in an unhurried fashion and observation of the food service for those requiring assistance supported that the service was provided with dignity.</w:t>
            </w:r>
          </w:p>
          <w:p w14:paraId="148DD320" w14:textId="77777777" w:rsidR="00000000" w:rsidRPr="00BE00C7" w:rsidRDefault="00000000" w:rsidP="00BE00C7">
            <w:pPr>
              <w:pStyle w:val="OutcomeDescription"/>
              <w:spacing w:before="120" w:after="120"/>
              <w:rPr>
                <w:rFonts w:cs="Arial"/>
                <w:lang w:eastAsia="en-NZ"/>
              </w:rPr>
            </w:pPr>
          </w:p>
        </w:tc>
      </w:tr>
      <w:tr w:rsidR="00D603FE" w14:paraId="285DE24B" w14:textId="77777777">
        <w:tc>
          <w:tcPr>
            <w:tcW w:w="0" w:type="auto"/>
          </w:tcPr>
          <w:p w14:paraId="4FEB93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B8C80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82B957A" w14:textId="77777777" w:rsidR="00000000" w:rsidRPr="00BE00C7" w:rsidRDefault="00000000" w:rsidP="00BE00C7">
            <w:pPr>
              <w:pStyle w:val="OutcomeDescription"/>
              <w:spacing w:before="120" w:after="120"/>
              <w:rPr>
                <w:rFonts w:cs="Arial"/>
                <w:lang w:eastAsia="en-NZ"/>
              </w:rPr>
            </w:pPr>
          </w:p>
        </w:tc>
        <w:tc>
          <w:tcPr>
            <w:tcW w:w="0" w:type="auto"/>
          </w:tcPr>
          <w:p w14:paraId="3B1272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C89B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t>
            </w:r>
          </w:p>
          <w:p w14:paraId="2405F561"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interviewed reported being kept well informed during the transfer of their relative. The yellow envelope system was used to guide staff to ensure vital information accompanied the resident during the transfer. The general practitioner would coordinate the transfer with the emergency department.</w:t>
            </w:r>
          </w:p>
          <w:p w14:paraId="13A357F1"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actions taken to transfer residents to more appropriate facilities when their needs changed, such as dementia or psychogeriatric level care, was sighted. The care operations manager or registered nurse would contact the facility and provide a verbal comprehensive clinical handover to compliment the written communication.</w:t>
            </w:r>
          </w:p>
          <w:p w14:paraId="7C7179E3" w14:textId="77777777" w:rsidR="00000000" w:rsidRPr="00BE00C7" w:rsidRDefault="00000000" w:rsidP="00BE00C7">
            <w:pPr>
              <w:pStyle w:val="OutcomeDescription"/>
              <w:spacing w:before="120" w:after="120"/>
              <w:rPr>
                <w:rFonts w:cs="Arial"/>
                <w:lang w:eastAsia="en-NZ"/>
              </w:rPr>
            </w:pPr>
          </w:p>
        </w:tc>
      </w:tr>
      <w:tr w:rsidR="00D603FE" w14:paraId="667377EF" w14:textId="77777777">
        <w:tc>
          <w:tcPr>
            <w:tcW w:w="0" w:type="auto"/>
          </w:tcPr>
          <w:p w14:paraId="34BF0F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0B7A5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w:t>
            </w:r>
            <w:r w:rsidRPr="00BE00C7">
              <w:rPr>
                <w:rFonts w:cs="Arial"/>
                <w:lang w:eastAsia="en-NZ"/>
              </w:rPr>
              <w:lastRenderedPageBreak/>
              <w:t>deliver services to can move independently and freely throughout. The physical environment optimises people’s sense of belonging, independence, interaction, and function.</w:t>
            </w:r>
          </w:p>
          <w:p w14:paraId="40465E91" w14:textId="77777777" w:rsidR="00000000" w:rsidRPr="00BE00C7" w:rsidRDefault="00000000" w:rsidP="00BE00C7">
            <w:pPr>
              <w:pStyle w:val="OutcomeDescription"/>
              <w:spacing w:before="120" w:after="120"/>
              <w:rPr>
                <w:rFonts w:cs="Arial"/>
                <w:lang w:eastAsia="en-NZ"/>
              </w:rPr>
            </w:pPr>
          </w:p>
        </w:tc>
        <w:tc>
          <w:tcPr>
            <w:tcW w:w="0" w:type="auto"/>
          </w:tcPr>
          <w:p w14:paraId="66A6C5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EEF8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EKHH has four buildings onsite; three had current Building Warrant of Fitness certificates in place, while one had a Certificate of Public Use (CPU). The physical environment supported the independence of the residents and provided private spaces for YPD residents when required. Corridors have safety rails and promote safe mobility with the use of mobility aids. Residents were observed moving freely in their respective wings with mobility aids. There are comfortable-looking lounges for communal gatherings and activities at the facility. </w:t>
            </w:r>
            <w:r w:rsidRPr="00BE00C7">
              <w:rPr>
                <w:rFonts w:cs="Arial"/>
                <w:lang w:eastAsia="en-NZ"/>
              </w:rPr>
              <w:lastRenderedPageBreak/>
              <w:t>Quiet spaces for residents and their whānau to utilise are available inside in the lounges, dining rooms and outside on the open deck areas.</w:t>
            </w:r>
          </w:p>
          <w:p w14:paraId="38CE6C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included testing and tagging of electrical equipment, resident equipment checks, and calibrations of the weighing scales and clinical equipment. The scales were checked annually. The maintenance officers and certified tradespeople carry out reactive maintenance where required. There was a full-time gardener who works five days a week. The environmental temperature was monitored, and processes were implemented to manage significant temperature changes.</w:t>
            </w:r>
          </w:p>
          <w:p w14:paraId="622B6D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divided into five wings and has a total of seven double rooms. All shared rooms have dividing curtains to maintain privacy. Shared rooms, shower rooms and toilets are suitable sizes to accommodate mobility equipment.</w:t>
            </w:r>
          </w:p>
          <w:p w14:paraId="3717AC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other toilets available for staff, and visitors.  All communal toilets and shower facilities have a system that indicates if it is engaged or vacant. All the washing areas have free-flowing soap and paper towels in the toilet areas. All areas are easily accessible to the residents. The furnishings and seating are appropriate for the consumer group. Residents interviewed reported they were able to move around the facility, and staff assisted them when required.</w:t>
            </w:r>
          </w:p>
          <w:p w14:paraId="225376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rooms were personalised according to their preferences. All rooms have external windows to provide natural light and appropriate ventilation and heating. The grounds and external areas were well maintained. External areas are independently accessible to residents. All outdoor areas have seating and shade. There is safe access to all communal areas. </w:t>
            </w:r>
          </w:p>
          <w:p w14:paraId="76FB55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maintenance officer reported that, when there is a planned development for new buildings, there shall be consultation and co-design of the environments to ensure that they reflect the aspirations and identity of Māori. Care partners interviewed stated they have adequate equipment to safely deliver care for residents.</w:t>
            </w:r>
          </w:p>
          <w:p w14:paraId="230D2816" w14:textId="77777777" w:rsidR="00000000" w:rsidRPr="00BE00C7" w:rsidRDefault="00000000" w:rsidP="00BE00C7">
            <w:pPr>
              <w:pStyle w:val="OutcomeDescription"/>
              <w:spacing w:before="120" w:after="120"/>
              <w:rPr>
                <w:rFonts w:cs="Arial"/>
                <w:lang w:eastAsia="en-NZ"/>
              </w:rPr>
            </w:pPr>
            <w:r w:rsidRPr="00BE00C7">
              <w:rPr>
                <w:rFonts w:cs="Arial"/>
                <w:lang w:eastAsia="en-NZ"/>
              </w:rPr>
              <w:t>EKHH was awarded a continuous improvement rating for the new Puka building.</w:t>
            </w:r>
          </w:p>
          <w:p w14:paraId="4AC79A33" w14:textId="77777777" w:rsidR="00000000" w:rsidRPr="00BE00C7" w:rsidRDefault="00000000" w:rsidP="00BE00C7">
            <w:pPr>
              <w:pStyle w:val="OutcomeDescription"/>
              <w:spacing w:before="120" w:after="120"/>
              <w:rPr>
                <w:rFonts w:cs="Arial"/>
                <w:lang w:eastAsia="en-NZ"/>
              </w:rPr>
            </w:pPr>
          </w:p>
        </w:tc>
      </w:tr>
      <w:tr w:rsidR="00D603FE" w14:paraId="639F2EE6" w14:textId="77777777">
        <w:tc>
          <w:tcPr>
            <w:tcW w:w="0" w:type="auto"/>
          </w:tcPr>
          <w:p w14:paraId="76CCEA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E56F3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8CD8210" w14:textId="77777777" w:rsidR="00000000" w:rsidRPr="00BE00C7" w:rsidRDefault="00000000" w:rsidP="00BE00C7">
            <w:pPr>
              <w:pStyle w:val="OutcomeDescription"/>
              <w:spacing w:before="120" w:after="120"/>
              <w:rPr>
                <w:rFonts w:cs="Arial"/>
                <w:lang w:eastAsia="en-NZ"/>
              </w:rPr>
            </w:pPr>
          </w:p>
        </w:tc>
        <w:tc>
          <w:tcPr>
            <w:tcW w:w="0" w:type="auto"/>
          </w:tcPr>
          <w:p w14:paraId="5F0395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893D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These have been recently updated including special needs for YPD residents in the event of an emergency. Staff have received relevant information and training and have appropriate equipment to respond to emergency and security situations. Staff interviewed knew what to do in an emergency.  Fire evacuation plans have been approved by Fire and Emergency New Zealand (FENZ).  Trial evacuation drills were performed in all respective wings. The drills were conducted every six months, and these were added to the annual training programme. Adequate supplies for use in the event of a civil defence emergency meet The National Emergency Management Agency recommendations for the region.  Staff can provide a level of first aid relevant to the risks for the type of service provided. First aid training records were sighted, and most staff had completed requirements. There were always staff on duty with first aid training.  </w:t>
            </w:r>
          </w:p>
          <w:p w14:paraId="5703D16E"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responded promptly to call bells. Appropriate security arrangements were in place, including facility locking procedures. Residents and whānau were familiarised with emergency and security arrangements on admission and as and when required. There is a closed-circuit television and video (CCTV) system monitoring the entrance, garden areas and communal areas. CCTV signage was displayed around the facility.</w:t>
            </w:r>
          </w:p>
          <w:p w14:paraId="48864F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visitors' policy and guidelines available to ensure resident safety and wellbeing are not compromised by visitors to the service. Visitors and contractors are required to sign in and out of visitors’ registers.</w:t>
            </w:r>
          </w:p>
          <w:p w14:paraId="6394EEEF" w14:textId="77777777" w:rsidR="00000000" w:rsidRPr="00BE00C7" w:rsidRDefault="00000000" w:rsidP="00BE00C7">
            <w:pPr>
              <w:pStyle w:val="OutcomeDescription"/>
              <w:spacing w:before="120" w:after="120"/>
              <w:rPr>
                <w:rFonts w:cs="Arial"/>
                <w:lang w:eastAsia="en-NZ"/>
              </w:rPr>
            </w:pPr>
          </w:p>
        </w:tc>
      </w:tr>
      <w:tr w:rsidR="00D603FE" w14:paraId="48E2540A" w14:textId="77777777">
        <w:tc>
          <w:tcPr>
            <w:tcW w:w="0" w:type="auto"/>
          </w:tcPr>
          <w:p w14:paraId="6CD712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1FB4B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r>
            <w:r w:rsidRPr="00BE00C7">
              <w:rPr>
                <w:rFonts w:cs="Arial"/>
                <w:lang w:eastAsia="en-NZ"/>
              </w:rPr>
              <w:lastRenderedPageBreak/>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08F3585" w14:textId="77777777" w:rsidR="00000000" w:rsidRPr="00BE00C7" w:rsidRDefault="00000000" w:rsidP="00BE00C7">
            <w:pPr>
              <w:pStyle w:val="OutcomeDescription"/>
              <w:spacing w:before="120" w:after="120"/>
              <w:rPr>
                <w:rFonts w:cs="Arial"/>
                <w:lang w:eastAsia="en-NZ"/>
              </w:rPr>
            </w:pPr>
          </w:p>
        </w:tc>
        <w:tc>
          <w:tcPr>
            <w:tcW w:w="0" w:type="auto"/>
          </w:tcPr>
          <w:p w14:paraId="410517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621C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and are reviewed and reported on </w:t>
            </w:r>
            <w:r w:rsidRPr="00BE00C7">
              <w:rPr>
                <w:rFonts w:cs="Arial"/>
                <w:lang w:eastAsia="en-NZ"/>
              </w:rPr>
              <w:lastRenderedPageBreak/>
              <w:t>yearly. Expertise and advice are sought following a defined process. A documented pathway supports risk-based reporting of progress, issues and significant events to the governing body. All staff, residents and whānau have received training and updates on managing infections. Training records and meeting minutes were documented.</w:t>
            </w:r>
          </w:p>
          <w:p w14:paraId="7DF20622" w14:textId="77777777" w:rsidR="00000000" w:rsidRPr="00BE00C7" w:rsidRDefault="00000000" w:rsidP="00BE00C7">
            <w:pPr>
              <w:pStyle w:val="OutcomeDescription"/>
              <w:spacing w:before="120" w:after="120"/>
              <w:rPr>
                <w:rFonts w:cs="Arial"/>
                <w:lang w:eastAsia="en-NZ"/>
              </w:rPr>
            </w:pPr>
          </w:p>
        </w:tc>
      </w:tr>
      <w:tr w:rsidR="00D603FE" w14:paraId="7F4895AE" w14:textId="77777777">
        <w:tc>
          <w:tcPr>
            <w:tcW w:w="0" w:type="auto"/>
          </w:tcPr>
          <w:p w14:paraId="2DBEF0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10C1C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8B05AC4" w14:textId="77777777" w:rsidR="00000000" w:rsidRPr="00BE00C7" w:rsidRDefault="00000000" w:rsidP="00BE00C7">
            <w:pPr>
              <w:pStyle w:val="OutcomeDescription"/>
              <w:spacing w:before="120" w:after="120"/>
              <w:rPr>
                <w:rFonts w:cs="Arial"/>
                <w:lang w:eastAsia="en-NZ"/>
              </w:rPr>
            </w:pPr>
          </w:p>
        </w:tc>
        <w:tc>
          <w:tcPr>
            <w:tcW w:w="0" w:type="auto"/>
          </w:tcPr>
          <w:p w14:paraId="4096C9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B370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There is an infection and prevention and antimicrobial stewardship programme in place that has been developed by those with IP expertise, is linked to the quality improvement programme and has been approved by the EKHH governing body. Annual review of the programme, with reporting to governance, has occurred. </w:t>
            </w:r>
          </w:p>
          <w:p w14:paraId="4602AA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the clinical operations manager (COM), CEO and governance. The IPCC has appropriate skills, knowledge and qualifications for the role and confirmed access to the necessary resources and support. Their advice and/or the COM has been sought when making decisions around procurement relevant to care delivery, or facility changes, and policies. </w:t>
            </w:r>
          </w:p>
          <w:p w14:paraId="6F601F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was accessed where appropriate. </w:t>
            </w:r>
          </w:p>
          <w:p w14:paraId="55A5F4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were available in te reo Māori. </w:t>
            </w:r>
          </w:p>
          <w:p w14:paraId="5A8E9750"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were sufficient resources and personal protective equipment (PPE) available, and staff have been trained accordingly.</w:t>
            </w:r>
          </w:p>
          <w:p w14:paraId="2B4FC6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were familiar with policies for decontamination of reusable medical devices and there was evidence of these being appropriately decontaminated and reprocessed. The process is audited to maintain good practice. Single-use medical devices were not reused.</w:t>
            </w:r>
          </w:p>
          <w:p w14:paraId="2E8AB8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was awarded a continuous improvement rating for the development of an in-house vaccination programme to enhance clinical outcomes.</w:t>
            </w:r>
          </w:p>
          <w:p w14:paraId="1AD52DBE" w14:textId="77777777" w:rsidR="00000000" w:rsidRPr="00BE00C7" w:rsidRDefault="00000000" w:rsidP="00BE00C7">
            <w:pPr>
              <w:pStyle w:val="OutcomeDescription"/>
              <w:spacing w:before="120" w:after="120"/>
              <w:rPr>
                <w:rFonts w:cs="Arial"/>
                <w:lang w:eastAsia="en-NZ"/>
              </w:rPr>
            </w:pPr>
          </w:p>
        </w:tc>
      </w:tr>
      <w:tr w:rsidR="00D603FE" w14:paraId="58B4AE83" w14:textId="77777777">
        <w:tc>
          <w:tcPr>
            <w:tcW w:w="0" w:type="auto"/>
          </w:tcPr>
          <w:p w14:paraId="1EA335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63E36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BCD42A3" w14:textId="77777777" w:rsidR="00000000" w:rsidRPr="00BE00C7" w:rsidRDefault="00000000" w:rsidP="00BE00C7">
            <w:pPr>
              <w:pStyle w:val="OutcomeDescription"/>
              <w:spacing w:before="120" w:after="120"/>
              <w:rPr>
                <w:rFonts w:cs="Arial"/>
                <w:lang w:eastAsia="en-NZ"/>
              </w:rPr>
            </w:pPr>
          </w:p>
        </w:tc>
        <w:tc>
          <w:tcPr>
            <w:tcW w:w="0" w:type="auto"/>
          </w:tcPr>
          <w:p w14:paraId="1C8257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706071"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with EKHH committed in its role as a steward for the effective and judicious use of antimicrobials to prevent or delay the evolution and spread of bacteria that are resistant to multiple antibiotics and pose a significant threat to population health and cost to the health system.  The AMS programme is appropriate for the size and complexity of the service, supported by policies and procedures, with therapeutic decisions regarding the prescription of antimicrobials based on best available evidence, such as best Practice Advocacy Centre New Zealand.  The effectiveness of the AMS programme was evaluated by monitoring antimicrobial use and identifying areas for improvement.  The IFCC is responsible for maintaining the antimicrobial programme along with the care leader and doctors.</w:t>
            </w:r>
          </w:p>
          <w:p w14:paraId="2530B5A1" w14:textId="77777777" w:rsidR="00000000" w:rsidRPr="00BE00C7" w:rsidRDefault="00000000" w:rsidP="00BE00C7">
            <w:pPr>
              <w:pStyle w:val="OutcomeDescription"/>
              <w:spacing w:before="120" w:after="120"/>
              <w:rPr>
                <w:rFonts w:cs="Arial"/>
                <w:lang w:eastAsia="en-NZ"/>
              </w:rPr>
            </w:pPr>
          </w:p>
        </w:tc>
      </w:tr>
      <w:tr w:rsidR="00D603FE" w14:paraId="4B3DB183" w14:textId="77777777">
        <w:tc>
          <w:tcPr>
            <w:tcW w:w="0" w:type="auto"/>
          </w:tcPr>
          <w:p w14:paraId="2697CD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8ABEA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650F191" w14:textId="77777777" w:rsidR="00000000" w:rsidRPr="00BE00C7" w:rsidRDefault="00000000" w:rsidP="00BE00C7">
            <w:pPr>
              <w:pStyle w:val="OutcomeDescription"/>
              <w:spacing w:before="120" w:after="120"/>
              <w:rPr>
                <w:rFonts w:cs="Arial"/>
                <w:lang w:eastAsia="en-NZ"/>
              </w:rPr>
            </w:pPr>
          </w:p>
        </w:tc>
        <w:tc>
          <w:tcPr>
            <w:tcW w:w="0" w:type="auto"/>
          </w:tcPr>
          <w:p w14:paraId="4A502E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0860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programme. Monthly surveillance data was collated from all 10 care units and analysed to identify any trends, possible causative factors and required actions. Results of the surveillance programme were shared with staff. </w:t>
            </w:r>
          </w:p>
          <w:p w14:paraId="3975390A" w14:textId="77777777" w:rsidR="00000000" w:rsidRPr="00BE00C7" w:rsidRDefault="00000000" w:rsidP="00BE00C7">
            <w:pPr>
              <w:pStyle w:val="OutcomeDescription"/>
              <w:spacing w:before="120" w:after="120"/>
              <w:rPr>
                <w:rFonts w:cs="Arial"/>
                <w:lang w:eastAsia="en-NZ"/>
              </w:rPr>
            </w:pPr>
            <w:r w:rsidRPr="00BE00C7">
              <w:rPr>
                <w:rFonts w:cs="Arial"/>
                <w:lang w:eastAsia="en-NZ"/>
              </w:rPr>
              <w:t>A COVID-19 outbreak in November 2024 was managed according to policy and procedure and was quickly resolved. A comprehensive summary report following the outbreak was reviewed, and it demonstrated a thorough process for investigation and follow-up.  Learnings from the event have now been incorporated into practice.</w:t>
            </w:r>
          </w:p>
          <w:p w14:paraId="6119F5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Communication between service providers and those residents experiencing a health care-associated infection (HAI) is culturally safe and monitored for ethnicity and gender.</w:t>
            </w:r>
          </w:p>
          <w:p w14:paraId="3BEA004A" w14:textId="77777777" w:rsidR="00000000" w:rsidRPr="00BE00C7" w:rsidRDefault="00000000" w:rsidP="00BE00C7">
            <w:pPr>
              <w:pStyle w:val="OutcomeDescription"/>
              <w:spacing w:before="120" w:after="120"/>
              <w:rPr>
                <w:rFonts w:cs="Arial"/>
                <w:lang w:eastAsia="en-NZ"/>
              </w:rPr>
            </w:pPr>
            <w:r w:rsidRPr="00BE00C7">
              <w:rPr>
                <w:rFonts w:cs="Arial"/>
                <w:lang w:eastAsia="en-NZ"/>
              </w:rPr>
              <w:t>In a timely manner, results of surveillance and recommendations to improve performance, where necessary, were identified and reported back to EKHH governance and shared with relevant people.</w:t>
            </w:r>
          </w:p>
          <w:p w14:paraId="1B19E39D" w14:textId="77777777" w:rsidR="00000000" w:rsidRPr="00BE00C7" w:rsidRDefault="00000000" w:rsidP="00BE00C7">
            <w:pPr>
              <w:pStyle w:val="OutcomeDescription"/>
              <w:spacing w:before="120" w:after="120"/>
              <w:rPr>
                <w:rFonts w:cs="Arial"/>
                <w:lang w:eastAsia="en-NZ"/>
              </w:rPr>
            </w:pPr>
          </w:p>
        </w:tc>
      </w:tr>
      <w:tr w:rsidR="00D603FE" w14:paraId="1B9EB57A" w14:textId="77777777">
        <w:tc>
          <w:tcPr>
            <w:tcW w:w="0" w:type="auto"/>
          </w:tcPr>
          <w:p w14:paraId="18CFC0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50FA3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4090B28" w14:textId="77777777" w:rsidR="00000000" w:rsidRPr="00BE00C7" w:rsidRDefault="00000000" w:rsidP="00BE00C7">
            <w:pPr>
              <w:pStyle w:val="OutcomeDescription"/>
              <w:spacing w:before="120" w:after="120"/>
              <w:rPr>
                <w:rFonts w:cs="Arial"/>
                <w:lang w:eastAsia="en-NZ"/>
              </w:rPr>
            </w:pPr>
          </w:p>
        </w:tc>
        <w:tc>
          <w:tcPr>
            <w:tcW w:w="0" w:type="auto"/>
          </w:tcPr>
          <w:p w14:paraId="19FDEF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DF7F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4225AD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followed documented policies and processes for the management of waste and infectious and hazardous substances.  </w:t>
            </w:r>
          </w:p>
          <w:p w14:paraId="3A8D940B"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processes were monitored for effectiveness. The EKHH infection prevention and control coordinator had oversight of the environmental testing and monitoring programme.  Staff involved have completed relevant training and were observed to carry out duties safely. Chemicals were stored safely.</w:t>
            </w:r>
          </w:p>
          <w:p w14:paraId="6475400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was processed onsite in a commercial laundry.  Residents also had access to personal laundry facilities in eight of the twelve homes at EKHH. Residents and whānau reported that the laundry was managed well, and the facility was kept clean and tidy. This was confirmed through observations of the environment.</w:t>
            </w:r>
          </w:p>
          <w:p w14:paraId="0125A104" w14:textId="77777777" w:rsidR="00000000" w:rsidRPr="00BE00C7" w:rsidRDefault="00000000" w:rsidP="00BE00C7">
            <w:pPr>
              <w:pStyle w:val="OutcomeDescription"/>
              <w:spacing w:before="120" w:after="120"/>
              <w:rPr>
                <w:rFonts w:cs="Arial"/>
                <w:lang w:eastAsia="en-NZ"/>
              </w:rPr>
            </w:pPr>
          </w:p>
        </w:tc>
      </w:tr>
      <w:tr w:rsidR="00D603FE" w14:paraId="0D5DCD93" w14:textId="77777777">
        <w:tc>
          <w:tcPr>
            <w:tcW w:w="0" w:type="auto"/>
          </w:tcPr>
          <w:p w14:paraId="32A4C4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610EE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28AD20C" w14:textId="77777777" w:rsidR="00000000" w:rsidRPr="00BE00C7" w:rsidRDefault="00000000" w:rsidP="00BE00C7">
            <w:pPr>
              <w:pStyle w:val="OutcomeDescription"/>
              <w:spacing w:before="120" w:after="120"/>
              <w:rPr>
                <w:rFonts w:cs="Arial"/>
                <w:lang w:eastAsia="en-NZ"/>
              </w:rPr>
            </w:pPr>
          </w:p>
        </w:tc>
        <w:tc>
          <w:tcPr>
            <w:tcW w:w="0" w:type="auto"/>
          </w:tcPr>
          <w:p w14:paraId="22A8BE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A4BB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supported by a member of the executive leadership at operational level. </w:t>
            </w:r>
          </w:p>
          <w:p w14:paraId="50C60F4D" w14:textId="6048AC80"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undertook a focused project aimed at eliminating the use of restraint, prioritising residents’ dignity, autonomy, and overall well-being. As a result, the environment is now more person-centred, promoting respectful and compassionate care. Furthermore, the decrease in restraint uses from 16 (in 2024) to no restraint in the year to date (2025) fostered a more compassionate and supportive care environment, leading to enhanced connections and trust between residents and staff, which ultimately enhanced quality of life for the </w:t>
            </w:r>
            <w:r w:rsidRPr="00BE00C7">
              <w:rPr>
                <w:rFonts w:cs="Arial"/>
                <w:lang w:eastAsia="en-NZ"/>
              </w:rPr>
              <w:lastRenderedPageBreak/>
              <w:t>residents. The project achieved its intended goals, demonstrating the feasibility and effectiveness of restraint elimination strategies at EKHH.  Any use of restraint is reported to the governing body.</w:t>
            </w:r>
          </w:p>
          <w:p w14:paraId="5945D6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procedures reviewed meet the requirements of the standards. The registered nurse is the restraint coordinator, who provides support and oversight should restraint be required in the future. There is a job description that outlines the role. Staff have been trained in the least restrictive practice, safe restraint practice, alternative cultural-specific interventions, and de-escalation techniques as part of the education programme.</w:t>
            </w:r>
          </w:p>
          <w:p w14:paraId="6748FB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approval for any use of restraint in the first instance would be put forward to the restraint approval group, which includes the clinical governance team. The group meets every month to discuss whether restraint is to be used. The team would consider approval of any restraint, approval of the method of restraint, guidelines, education of staff, observations, and evaluation, and they would ensure that the correct equipment was used. Meetings held, an employed kaiāwhina and the structure of the board means that the voice of any resident or family members who identify as Māori would be heard.</w:t>
            </w:r>
          </w:p>
          <w:p w14:paraId="75E4F267"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protocols are covered in the orientation programme of the facility and included in the education programme (which includes annual restraint competency), and restraint use is identified as part of the quality programme and reported at all levels of the organisation.</w:t>
            </w:r>
          </w:p>
          <w:p w14:paraId="6B344D4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completed annual training around de-escalation and management of challenging behaviour in the last year.</w:t>
            </w:r>
          </w:p>
          <w:p w14:paraId="5084AFEC" w14:textId="77777777" w:rsidR="00000000" w:rsidRPr="00BE00C7" w:rsidRDefault="00000000" w:rsidP="00BE00C7">
            <w:pPr>
              <w:pStyle w:val="OutcomeDescription"/>
              <w:spacing w:before="120" w:after="120"/>
              <w:rPr>
                <w:rFonts w:cs="Arial"/>
                <w:lang w:eastAsia="en-NZ"/>
              </w:rPr>
            </w:pPr>
          </w:p>
        </w:tc>
      </w:tr>
    </w:tbl>
    <w:p w14:paraId="62A435E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0B4ACEB" w14:textId="77777777" w:rsidR="00000000" w:rsidRDefault="00000000">
      <w:pPr>
        <w:pStyle w:val="Heading1"/>
        <w:rPr>
          <w:rFonts w:cs="Arial"/>
        </w:rPr>
      </w:pPr>
      <w:r>
        <w:rPr>
          <w:rFonts w:cs="Arial"/>
        </w:rPr>
        <w:lastRenderedPageBreak/>
        <w:t>Specific results for criterion where corrective actions are required</w:t>
      </w:r>
    </w:p>
    <w:p w14:paraId="3E5A909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3697C7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0D8E75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D603FE" w14:paraId="73182D76" w14:textId="77777777">
        <w:tc>
          <w:tcPr>
            <w:tcW w:w="0" w:type="auto"/>
          </w:tcPr>
          <w:p w14:paraId="4C3046C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194FAA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B60E35C" w14:textId="77777777" w:rsidR="00000000" w:rsidRDefault="00000000">
      <w:pPr>
        <w:pStyle w:val="Heading1"/>
        <w:rPr>
          <w:rFonts w:cs="Arial"/>
        </w:rPr>
      </w:pPr>
      <w:r>
        <w:rPr>
          <w:rFonts w:cs="Arial"/>
        </w:rPr>
        <w:lastRenderedPageBreak/>
        <w:t>Specific results for criterion where a continuous improvement has been recorded</w:t>
      </w:r>
    </w:p>
    <w:p w14:paraId="5EFF229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CDE6B1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BC0588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1328"/>
        <w:gridCol w:w="4608"/>
        <w:gridCol w:w="4829"/>
      </w:tblGrid>
      <w:tr w:rsidR="00D603FE" w14:paraId="5F97FB92" w14:textId="77777777">
        <w:tc>
          <w:tcPr>
            <w:tcW w:w="0" w:type="auto"/>
          </w:tcPr>
          <w:p w14:paraId="1D1226C4"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C65E55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C1B7CD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59210B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D603FE" w14:paraId="2A50F9B9" w14:textId="77777777">
        <w:tc>
          <w:tcPr>
            <w:tcW w:w="0" w:type="auto"/>
          </w:tcPr>
          <w:p w14:paraId="649AE7A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3.4.2</w:t>
            </w:r>
          </w:p>
          <w:p w14:paraId="25B4F2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following aspects of the system shall be performed and communicated to people by registered health professionals operating within their role and scope of practice: prescribing, dispensing, reconciliation, and review.</w:t>
            </w:r>
          </w:p>
        </w:tc>
        <w:tc>
          <w:tcPr>
            <w:tcW w:w="0" w:type="auto"/>
          </w:tcPr>
          <w:p w14:paraId="29BFE2D1"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16D2EE9" w14:textId="77777777" w:rsidR="00000000" w:rsidRPr="00BE00C7" w:rsidRDefault="00000000" w:rsidP="00BE00C7">
            <w:pPr>
              <w:pStyle w:val="OutcomeDescription"/>
              <w:spacing w:before="120" w:after="120"/>
              <w:rPr>
                <w:rFonts w:cs="Arial"/>
                <w:lang w:eastAsia="en-NZ"/>
              </w:rPr>
            </w:pPr>
            <w:r w:rsidRPr="00BE00C7">
              <w:rPr>
                <w:rFonts w:cs="Arial"/>
                <w:lang w:eastAsia="en-NZ"/>
              </w:rPr>
              <w:t>A project was initiated to resolve concerns and associated risks of polypharmacy and improve residents’ choice, knowledge and use of medicine and reduce wastage and improve medicine safety.</w:t>
            </w:r>
          </w:p>
          <w:p w14:paraId="14AD8953" w14:textId="77777777" w:rsidR="00000000" w:rsidRPr="00BE00C7" w:rsidRDefault="00000000" w:rsidP="00BE00C7">
            <w:pPr>
              <w:pStyle w:val="OutcomeDescription"/>
              <w:spacing w:before="120" w:after="120"/>
              <w:rPr>
                <w:rFonts w:cs="Arial"/>
                <w:lang w:eastAsia="en-NZ"/>
              </w:rPr>
            </w:pPr>
            <w:r w:rsidRPr="00BE00C7">
              <w:rPr>
                <w:rFonts w:cs="Arial"/>
                <w:lang w:eastAsia="en-NZ"/>
              </w:rPr>
              <w:t>A trial was completed in one unit of Elizabeth Knox. The ICARUS Grid tool and the STOPP/START toolkits were used to support the review of residents’ medications in this unit.</w:t>
            </w:r>
          </w:p>
          <w:p w14:paraId="6079DF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methodology included a range of activities:</w:t>
            </w:r>
          </w:p>
          <w:p w14:paraId="3E712A96" w14:textId="4D36B569" w:rsidR="00000000" w:rsidRPr="00BE00C7" w:rsidRDefault="00000000" w:rsidP="00BE00C7">
            <w:pPr>
              <w:pStyle w:val="OutcomeDescription"/>
              <w:spacing w:before="120" w:after="120"/>
              <w:rPr>
                <w:rFonts w:cs="Arial"/>
                <w:lang w:eastAsia="en-NZ"/>
              </w:rPr>
            </w:pPr>
            <w:r w:rsidRPr="00BE00C7">
              <w:rPr>
                <w:rFonts w:cs="Arial"/>
                <w:lang w:eastAsia="en-NZ"/>
              </w:rPr>
              <w:t>•</w:t>
            </w:r>
            <w:r w:rsidR="002E1E7D">
              <w:rPr>
                <w:rFonts w:cs="Arial"/>
                <w:lang w:eastAsia="en-NZ"/>
              </w:rPr>
              <w:t xml:space="preserve"> </w:t>
            </w:r>
            <w:r w:rsidRPr="00BE00C7">
              <w:rPr>
                <w:rFonts w:cs="Arial"/>
                <w:lang w:eastAsia="en-NZ"/>
              </w:rPr>
              <w:t xml:space="preserve">active resident participation </w:t>
            </w:r>
          </w:p>
          <w:p w14:paraId="167B882C" w14:textId="442D71DA" w:rsidR="00000000" w:rsidRPr="00BE00C7" w:rsidRDefault="00000000" w:rsidP="00BE00C7">
            <w:pPr>
              <w:pStyle w:val="OutcomeDescription"/>
              <w:spacing w:before="120" w:after="120"/>
              <w:rPr>
                <w:rFonts w:cs="Arial"/>
                <w:lang w:eastAsia="en-NZ"/>
              </w:rPr>
            </w:pPr>
            <w:r w:rsidRPr="00BE00C7">
              <w:rPr>
                <w:rFonts w:cs="Arial"/>
                <w:lang w:eastAsia="en-NZ"/>
              </w:rPr>
              <w:t>•</w:t>
            </w:r>
            <w:r w:rsidR="002E1E7D">
              <w:rPr>
                <w:rFonts w:cs="Arial"/>
                <w:lang w:eastAsia="en-NZ"/>
              </w:rPr>
              <w:t xml:space="preserve"> </w:t>
            </w:r>
            <w:r w:rsidRPr="00BE00C7">
              <w:rPr>
                <w:rFonts w:cs="Arial"/>
                <w:lang w:eastAsia="en-NZ"/>
              </w:rPr>
              <w:t>collection and analysis of data on medication use</w:t>
            </w:r>
          </w:p>
          <w:p w14:paraId="1C23C4FF" w14:textId="2102A2D7" w:rsidR="00000000" w:rsidRPr="00BE00C7" w:rsidRDefault="00000000" w:rsidP="00BE00C7">
            <w:pPr>
              <w:pStyle w:val="OutcomeDescription"/>
              <w:spacing w:before="120" w:after="120"/>
              <w:rPr>
                <w:rFonts w:cs="Arial"/>
                <w:lang w:eastAsia="en-NZ"/>
              </w:rPr>
            </w:pPr>
            <w:r w:rsidRPr="00BE00C7">
              <w:rPr>
                <w:rFonts w:cs="Arial"/>
                <w:lang w:eastAsia="en-NZ"/>
              </w:rPr>
              <w:t>•</w:t>
            </w:r>
            <w:r w:rsidR="002E1E7D">
              <w:rPr>
                <w:rFonts w:cs="Arial"/>
                <w:lang w:eastAsia="en-NZ"/>
              </w:rPr>
              <w:t xml:space="preserve"> </w:t>
            </w:r>
            <w:r w:rsidRPr="00BE00C7">
              <w:rPr>
                <w:rFonts w:cs="Arial"/>
                <w:lang w:eastAsia="en-NZ"/>
              </w:rPr>
              <w:t>reconciliation of medications on entry and re-entry after hospital stays</w:t>
            </w:r>
          </w:p>
          <w:p w14:paraId="23492947" w14:textId="5FB6FA29" w:rsidR="00000000" w:rsidRPr="00BE00C7" w:rsidRDefault="00000000" w:rsidP="00BE00C7">
            <w:pPr>
              <w:pStyle w:val="OutcomeDescription"/>
              <w:spacing w:before="120" w:after="120"/>
              <w:rPr>
                <w:rFonts w:cs="Arial"/>
                <w:lang w:eastAsia="en-NZ"/>
              </w:rPr>
            </w:pPr>
            <w:r w:rsidRPr="00BE00C7">
              <w:rPr>
                <w:rFonts w:cs="Arial"/>
                <w:lang w:eastAsia="en-NZ"/>
              </w:rPr>
              <w:t>•</w:t>
            </w:r>
            <w:r w:rsidR="002E1E7D">
              <w:rPr>
                <w:rFonts w:cs="Arial"/>
                <w:lang w:eastAsia="en-NZ"/>
              </w:rPr>
              <w:t xml:space="preserve"> </w:t>
            </w:r>
            <w:r w:rsidRPr="00BE00C7">
              <w:rPr>
                <w:rFonts w:cs="Arial"/>
                <w:lang w:eastAsia="en-NZ"/>
              </w:rPr>
              <w:t xml:space="preserve">Staff training targeting polypharmacy and to </w:t>
            </w:r>
            <w:r w:rsidRPr="00BE00C7">
              <w:rPr>
                <w:rFonts w:cs="Arial"/>
                <w:lang w:eastAsia="en-NZ"/>
              </w:rPr>
              <w:lastRenderedPageBreak/>
              <w:t>support resident education</w:t>
            </w:r>
          </w:p>
          <w:p w14:paraId="48C15CF0" w14:textId="0A7D5A3E" w:rsidR="00000000" w:rsidRPr="00BE00C7" w:rsidRDefault="00000000" w:rsidP="00BE00C7">
            <w:pPr>
              <w:pStyle w:val="OutcomeDescription"/>
              <w:spacing w:before="120" w:after="120"/>
              <w:rPr>
                <w:rFonts w:cs="Arial"/>
                <w:lang w:eastAsia="en-NZ"/>
              </w:rPr>
            </w:pPr>
            <w:r w:rsidRPr="00BE00C7">
              <w:rPr>
                <w:rFonts w:cs="Arial"/>
                <w:lang w:eastAsia="en-NZ"/>
              </w:rPr>
              <w:t>•</w:t>
            </w:r>
            <w:r w:rsidR="002E1E7D">
              <w:rPr>
                <w:rFonts w:cs="Arial"/>
                <w:lang w:eastAsia="en-NZ"/>
              </w:rPr>
              <w:t xml:space="preserve"> </w:t>
            </w:r>
            <w:r w:rsidRPr="00BE00C7">
              <w:rPr>
                <w:rFonts w:cs="Arial"/>
                <w:lang w:eastAsia="en-NZ"/>
              </w:rPr>
              <w:t>Involvement of GPs and palliative care teams for reviews and to support resident education</w:t>
            </w:r>
          </w:p>
          <w:p w14:paraId="3D173C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standard three-monthly review process was supported with above activities and quarterly multidisciplinary meetings were conducted for system reviews.</w:t>
            </w:r>
          </w:p>
          <w:p w14:paraId="3F73286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22 residents had their medications reviewed and optimised by their GPs using the STOPP-START toolkit. Forty percent of residents had some of their medications removed, reduced, or started, and no hospitalisations related to prescribing and deprescribing of medications were noted during the project.</w:t>
            </w:r>
          </w:p>
          <w:p w14:paraId="3FE0E95B"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was sourced from residents, staff and GPs all of whom found the process useful. Residents found the process satisfying as they actively participated and gained a greater understanding of their medications and health conditions. Elizabeth Knox now intends to role this project out to the wider facility.</w:t>
            </w:r>
          </w:p>
          <w:p w14:paraId="326512EA" w14:textId="77777777" w:rsidR="00000000" w:rsidRPr="00BE00C7" w:rsidRDefault="00000000" w:rsidP="00BE00C7">
            <w:pPr>
              <w:pStyle w:val="OutcomeDescription"/>
              <w:spacing w:before="120" w:after="120"/>
              <w:rPr>
                <w:rFonts w:cs="Arial"/>
                <w:lang w:eastAsia="en-NZ"/>
              </w:rPr>
            </w:pPr>
          </w:p>
        </w:tc>
        <w:tc>
          <w:tcPr>
            <w:tcW w:w="0" w:type="auto"/>
          </w:tcPr>
          <w:p w14:paraId="6A9360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project was initiated to optimise medication use and resolve concerns and risks with polypharmacy for residents. The trial involved residents in one unit of Elizabeth Knox. The ICARUS Grid tool and the STOPP/START toolkits were used alongside a multipronged methodology to review medications and systems. Residents were engaged in all stages of the project.</w:t>
            </w:r>
          </w:p>
          <w:p w14:paraId="32DA3E54" w14:textId="77777777" w:rsidR="00000000" w:rsidRPr="00BE00C7" w:rsidRDefault="00000000" w:rsidP="00BE00C7">
            <w:pPr>
              <w:pStyle w:val="OutcomeDescription"/>
              <w:spacing w:before="120" w:after="120"/>
              <w:rPr>
                <w:rFonts w:cs="Arial"/>
                <w:lang w:eastAsia="en-NZ"/>
              </w:rPr>
            </w:pPr>
            <w:r w:rsidRPr="00BE00C7">
              <w:rPr>
                <w:rFonts w:cs="Arial"/>
                <w:lang w:eastAsia="en-NZ"/>
              </w:rPr>
              <w:t>Of 22 resident's forty percent of had some of their medications removed, reduced, or started, and no hospitalisations related to prescribing and deprescribing of medications were noted during the project.</w:t>
            </w:r>
          </w:p>
          <w:p w14:paraId="7995EC89" w14:textId="77777777" w:rsidR="00000000" w:rsidRPr="00BE00C7" w:rsidRDefault="00000000" w:rsidP="00BE00C7">
            <w:pPr>
              <w:pStyle w:val="OutcomeDescription"/>
              <w:spacing w:before="120" w:after="120"/>
              <w:rPr>
                <w:rFonts w:cs="Arial"/>
                <w:lang w:eastAsia="en-NZ"/>
              </w:rPr>
            </w:pPr>
            <w:r w:rsidRPr="00BE00C7">
              <w:rPr>
                <w:rFonts w:cs="Arial"/>
                <w:lang w:eastAsia="en-NZ"/>
              </w:rPr>
              <w:t>Elizabeth Knox now intends to role this project out to the wider facility.</w:t>
            </w:r>
          </w:p>
          <w:p w14:paraId="07A043AD" w14:textId="77777777" w:rsidR="00000000" w:rsidRPr="00BE00C7" w:rsidRDefault="00000000" w:rsidP="00BE00C7">
            <w:pPr>
              <w:pStyle w:val="OutcomeDescription"/>
              <w:spacing w:before="120" w:after="120"/>
              <w:rPr>
                <w:rFonts w:cs="Arial"/>
                <w:lang w:eastAsia="en-NZ"/>
              </w:rPr>
            </w:pPr>
          </w:p>
        </w:tc>
      </w:tr>
      <w:tr w:rsidR="00D603FE" w14:paraId="7900295D" w14:textId="77777777">
        <w:tc>
          <w:tcPr>
            <w:tcW w:w="0" w:type="auto"/>
          </w:tcPr>
          <w:p w14:paraId="7F88F8A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44B940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11EDEECA"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6FEE6A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initiative project was a comparative analysis between the old and the new building in relation to promoting independence and reducing falls. The new Totara building was designed based on the previous Puka building in a particular way to promote independence and socialisation, reducing falls and call bell response time while creating a space that feels like home.</w:t>
            </w:r>
          </w:p>
          <w:p w14:paraId="286AA7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 rooms constructed open into a communal space with a lounge and dining room. The design was based on learnings from the Puka home and implementation of the </w:t>
            </w:r>
            <w:r w:rsidRPr="00BE00C7">
              <w:rPr>
                <w:rFonts w:cs="Arial"/>
                <w:lang w:eastAsia="en-NZ"/>
              </w:rPr>
              <w:lastRenderedPageBreak/>
              <w:t xml:space="preserve">Greenhouse concept which incorporates Eden Alternative principles. The Greenhouse project intends to create a centralised “hearth” with bedrooms coming off the central dining and lounge area. This allowed residents to see and hear what is going on in the central area and encouraged them to participate and socialise rather than feeling that they are in a hospital with long corridors.  Additionally, the design allows the care staff to see and hear residents more easily and assist where needed so as to improve the safety of residents. </w:t>
            </w:r>
          </w:p>
          <w:p w14:paraId="1EB1F4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marked changes in clinical quality indicators. When residents were transferred to the new building, a sudden decline in falls was noted, a reduction of between 20% and 40%; call bell response times were reduced by between 40 and 50%, and complaints were 65% less than before. In 2023, EKHH won the New Zealand Aged Care Association (NZACA) Spaceworks Environment Award for the Totara home. EKHH was a finalist for the NZACA Built and Grown Award in 2024 because of the Totara building's design.</w:t>
            </w:r>
          </w:p>
          <w:p w14:paraId="2C0068FF" w14:textId="77777777" w:rsidR="00000000" w:rsidRPr="00BE00C7" w:rsidRDefault="00000000" w:rsidP="00BE00C7">
            <w:pPr>
              <w:pStyle w:val="OutcomeDescription"/>
              <w:spacing w:before="120" w:after="120"/>
              <w:rPr>
                <w:rFonts w:cs="Arial"/>
                <w:lang w:eastAsia="en-NZ"/>
              </w:rPr>
            </w:pPr>
          </w:p>
        </w:tc>
        <w:tc>
          <w:tcPr>
            <w:tcW w:w="0" w:type="auto"/>
          </w:tcPr>
          <w:p w14:paraId="26C8BD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has been considerable interest in the new Totara home from the public and residents already living at EKHH. Residents, staff and whanau reported that the new building was well received, creating a welcoming and calming environment. It has contributed to improved quality outcomes, including a noticeable reduction in falls, call bell response time, increased relaxation among residents, and a decrease in complaints. The resident satisfaction survey in 2025 showed a high satisfaction rate in the dining experience, safe mobility, environment, and accessibility of internal </w:t>
            </w:r>
            <w:r w:rsidRPr="00BE00C7">
              <w:rPr>
                <w:rFonts w:cs="Arial"/>
                <w:lang w:eastAsia="en-NZ"/>
              </w:rPr>
              <w:lastRenderedPageBreak/>
              <w:t>and external areas.</w:t>
            </w:r>
          </w:p>
          <w:p w14:paraId="7E2BFFC5" w14:textId="77777777" w:rsidR="00000000" w:rsidRPr="00BE00C7" w:rsidRDefault="00000000" w:rsidP="00BE00C7">
            <w:pPr>
              <w:pStyle w:val="OutcomeDescription"/>
              <w:spacing w:before="120" w:after="120"/>
              <w:rPr>
                <w:rFonts w:cs="Arial"/>
                <w:lang w:eastAsia="en-NZ"/>
              </w:rPr>
            </w:pPr>
          </w:p>
        </w:tc>
      </w:tr>
      <w:tr w:rsidR="00D603FE" w14:paraId="567524F9" w14:textId="77777777">
        <w:tc>
          <w:tcPr>
            <w:tcW w:w="0" w:type="auto"/>
          </w:tcPr>
          <w:p w14:paraId="163FDE4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5.2.1</w:t>
            </w:r>
          </w:p>
          <w:p w14:paraId="2B3F2F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r>
            <w:r w:rsidRPr="00BE00C7">
              <w:rPr>
                <w:rFonts w:cs="Arial"/>
                <w:lang w:eastAsia="en-NZ"/>
              </w:rPr>
              <w:lastRenderedPageBreak/>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3212BAD5" w14:textId="77777777" w:rsidR="00000000" w:rsidRPr="00BE00C7" w:rsidRDefault="00000000" w:rsidP="00BE00C7">
            <w:pPr>
              <w:pStyle w:val="OutcomeDescription"/>
              <w:spacing w:before="120" w:after="120"/>
              <w:rPr>
                <w:rFonts w:cs="Arial"/>
                <w:lang w:eastAsia="en-NZ"/>
              </w:rPr>
            </w:pPr>
          </w:p>
        </w:tc>
        <w:tc>
          <w:tcPr>
            <w:tcW w:w="0" w:type="auto"/>
          </w:tcPr>
          <w:p w14:paraId="13964F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08779E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in-house vaccination programme was implemented to enhance the accessibility, efficiency, and overall immunisation rates among residents and staff, reducing reliance on external providers. The key steps to implement the project included vaccinator training, through organized training programs for in-house staff, ensuring compliance with Aotearoa Immunisation guidelines, and this increased confidence and competence among vaccinators. Cold Chain Accreditation minimised vaccine wastage with automated log tags and high-quality refrigeration </w:t>
            </w:r>
            <w:r w:rsidRPr="00BE00C7">
              <w:rPr>
                <w:rFonts w:cs="Arial"/>
                <w:lang w:eastAsia="en-NZ"/>
              </w:rPr>
              <w:lastRenderedPageBreak/>
              <w:t>units and equipment procurement of the necessary syringes, PPE, and emergency management kits. Documented research data was reviewed.</w:t>
            </w:r>
          </w:p>
          <w:p w14:paraId="6FFD2E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Outcomes and improvements of the programme included health benefits through reduced hospital admissions and complications from vaccine-preventable diseases such as influenza, pneumonia, and COVID-19. Also included was improved access to pneumococcal, influenza, and booster COVID-19 vaccines and additional opportunities for funding and resources through the Ministry of Health credit scheme. </w:t>
            </w:r>
          </w:p>
          <w:p w14:paraId="5F00BB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challenges included training reluctance, as staff training required time, effort and funding, which was met with some reluctance, and vaccination resistance due to misconceptions and fear of side effects was addressed through education sessions.</w:t>
            </w:r>
          </w:p>
          <w:p w14:paraId="3A133BEE"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Positive feedback was received from residents and staff, who expressed satisfaction with the vaccination programme, noting improved health and reduced anxiety. The project also reduced antibiotic use, as a significant decline in antimicrobial prescriptions was observed, attributed to reduced cases of lower respiratory tract infections.</w:t>
            </w:r>
          </w:p>
          <w:p w14:paraId="0EEEEB23" w14:textId="77777777" w:rsidR="00000000" w:rsidRPr="00BE00C7" w:rsidRDefault="00000000" w:rsidP="00BE00C7">
            <w:pPr>
              <w:pStyle w:val="OutcomeDescription"/>
              <w:spacing w:before="120" w:after="120"/>
              <w:rPr>
                <w:rFonts w:cs="Arial"/>
                <w:lang w:eastAsia="en-NZ"/>
              </w:rPr>
            </w:pPr>
            <w:r w:rsidRPr="00BE00C7">
              <w:rPr>
                <w:rFonts w:cs="Arial"/>
                <w:lang w:eastAsia="en-NZ"/>
              </w:rPr>
              <w:t>In conclusion, the in-house vaccination programme has successfully improved health outcomes, reduced antibiotic dependency, and enhanced community wellbeing through strategic planning, clear communication, and stakeholder engagement.</w:t>
            </w:r>
          </w:p>
          <w:p w14:paraId="7EBF50BD" w14:textId="77777777" w:rsidR="00000000" w:rsidRPr="00BE00C7" w:rsidRDefault="00000000" w:rsidP="00BE00C7">
            <w:pPr>
              <w:pStyle w:val="OutcomeDescription"/>
              <w:spacing w:before="120" w:after="120"/>
              <w:rPr>
                <w:rFonts w:cs="Arial"/>
                <w:lang w:eastAsia="en-NZ"/>
              </w:rPr>
            </w:pPr>
          </w:p>
        </w:tc>
        <w:tc>
          <w:tcPr>
            <w:tcW w:w="0" w:type="auto"/>
          </w:tcPr>
          <w:p w14:paraId="0C8957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project was initiated to enhance the accessibility, efficiency, and overall immunisation rates among resident and staff and reduce the reliance on external providers through the provision of an in-house vaccination programme. The key steps to achieve this outcome were staff enrolment in vaccination training, application for cold chain accreditation and specific equipment including PPE procurement. Along with a quantitative and qualitative methodologies residents, families, staff and allied health professionals were engaged </w:t>
            </w:r>
            <w:r w:rsidRPr="00BE00C7">
              <w:rPr>
                <w:rFonts w:cs="Arial"/>
                <w:lang w:eastAsia="en-NZ"/>
              </w:rPr>
              <w:lastRenderedPageBreak/>
              <w:t>throughout the project.</w:t>
            </w:r>
          </w:p>
          <w:p w14:paraId="0BE4FE02" w14:textId="77777777" w:rsidR="00000000" w:rsidRPr="00BE00C7" w:rsidRDefault="00000000" w:rsidP="00BE00C7">
            <w:pPr>
              <w:pStyle w:val="OutcomeDescription"/>
              <w:spacing w:before="120" w:after="120"/>
              <w:rPr>
                <w:rFonts w:cs="Arial"/>
                <w:lang w:eastAsia="en-NZ"/>
              </w:rPr>
            </w:pPr>
            <w:r w:rsidRPr="00BE00C7">
              <w:rPr>
                <w:rFonts w:cs="Arial"/>
                <w:lang w:eastAsia="en-NZ"/>
              </w:rPr>
              <w:t>In 2022, 90% of residents were immunised, 2023, 82% immunised and in 2024, 75 % were immunised. In 2022, 44 staff chose to be vaccinated by EKHH staff resulting in 95% of all staff immunised. Although, the overall percentage of residents immunised per year has decreased this was consistent with the general trends in the community due to public resistance and miscommunication post covid 19 pandemics. The activities undertaken, the number of staff trained and the service now available has strengthen the resilience of the facility to manage and prevent future outbreaks or pandemics.</w:t>
            </w:r>
          </w:p>
          <w:p w14:paraId="6AF138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Data on the trends in antimicrobial prescriptions and hospital admission were collected and collated for the final quarter of 2024. The information collected provided considerable insights. EKHH will continue collecting this data as understanding these trends will continue to help inform for future antimicrobial stewardship strategies and optimise prescribing practice. </w:t>
            </w:r>
          </w:p>
          <w:p w14:paraId="430B427D" w14:textId="77777777" w:rsidR="00000000" w:rsidRPr="00BE00C7" w:rsidRDefault="00000000" w:rsidP="00BE00C7">
            <w:pPr>
              <w:pStyle w:val="OutcomeDescription"/>
              <w:spacing w:before="120" w:after="120"/>
              <w:rPr>
                <w:rFonts w:cs="Arial"/>
                <w:lang w:eastAsia="en-NZ"/>
              </w:rPr>
            </w:pPr>
            <w:r w:rsidRPr="00BE00C7">
              <w:rPr>
                <w:rFonts w:cs="Arial"/>
                <w:lang w:eastAsia="en-NZ"/>
              </w:rPr>
              <w:t>Elizabeth Knox intends to continue with the in-house vaccination programme as it has successfully improved health outcomes, reduced antibiotic dependency, and enhanced community wellbeing.</w:t>
            </w:r>
          </w:p>
          <w:p w14:paraId="22028A02" w14:textId="77777777" w:rsidR="00000000" w:rsidRPr="00BE00C7" w:rsidRDefault="00000000" w:rsidP="00BE00C7">
            <w:pPr>
              <w:pStyle w:val="OutcomeDescription"/>
              <w:spacing w:before="120" w:after="120"/>
              <w:rPr>
                <w:rFonts w:cs="Arial"/>
                <w:lang w:eastAsia="en-NZ"/>
              </w:rPr>
            </w:pPr>
          </w:p>
        </w:tc>
      </w:tr>
    </w:tbl>
    <w:p w14:paraId="671851C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B0619A8" w14:textId="77777777" w:rsidR="00000000" w:rsidRDefault="00000000">
      <w:pPr>
        <w:pStyle w:val="OutcomeDescription"/>
        <w:spacing w:before="240"/>
        <w:rPr>
          <w:rFonts w:cs="Arial"/>
          <w:sz w:val="24"/>
          <w:lang w:eastAsia="en-NZ"/>
        </w:rPr>
      </w:pPr>
      <w:r>
        <w:rPr>
          <w:rFonts w:cs="Arial"/>
          <w:sz w:val="24"/>
          <w:lang w:eastAsia="en-NZ"/>
        </w:rPr>
        <w:lastRenderedPageBreak/>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711D" w14:textId="77777777" w:rsidR="001B54F8" w:rsidRDefault="001B54F8">
      <w:r>
        <w:separator/>
      </w:r>
    </w:p>
  </w:endnote>
  <w:endnote w:type="continuationSeparator" w:id="0">
    <w:p w14:paraId="0A5E2111" w14:textId="77777777" w:rsidR="001B54F8" w:rsidRDefault="001B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E317" w14:textId="77777777" w:rsidR="00000000" w:rsidRDefault="00000000">
    <w:pPr>
      <w:pStyle w:val="Footer"/>
    </w:pPr>
  </w:p>
  <w:p w14:paraId="3DAA902B" w14:textId="77777777" w:rsidR="00000000" w:rsidRDefault="00000000"/>
  <w:p w14:paraId="53699EE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C17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Knox Home Trust - Elizabeth Knox Home and Hospital</w:t>
    </w:r>
    <w:bookmarkEnd w:id="59"/>
    <w:r>
      <w:rPr>
        <w:rFonts w:cs="Arial"/>
        <w:sz w:val="16"/>
        <w:szCs w:val="20"/>
      </w:rPr>
      <w:tab/>
      <w:t xml:space="preserve">Date of Audit: </w:t>
    </w:r>
    <w:bookmarkStart w:id="60" w:name="AuditStartDate1"/>
    <w:r>
      <w:rPr>
        <w:rFonts w:cs="Arial"/>
        <w:sz w:val="16"/>
        <w:szCs w:val="20"/>
      </w:rPr>
      <w:t>31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AA9DE3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6A8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3991" w14:textId="77777777" w:rsidR="001B54F8" w:rsidRDefault="001B54F8">
      <w:r>
        <w:separator/>
      </w:r>
    </w:p>
  </w:footnote>
  <w:footnote w:type="continuationSeparator" w:id="0">
    <w:p w14:paraId="776E864F" w14:textId="77777777" w:rsidR="001B54F8" w:rsidRDefault="001B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619B" w14:textId="77777777" w:rsidR="00000000" w:rsidRDefault="00000000">
    <w:pPr>
      <w:pStyle w:val="Header"/>
    </w:pPr>
  </w:p>
  <w:p w14:paraId="18964ED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7F1A" w14:textId="77777777" w:rsidR="00000000" w:rsidRDefault="00000000">
    <w:pPr>
      <w:pStyle w:val="Header"/>
    </w:pPr>
  </w:p>
  <w:p w14:paraId="0496CB0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8EF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4B2A378">
      <w:start w:val="1"/>
      <w:numFmt w:val="decimal"/>
      <w:lvlText w:val="%1."/>
      <w:lvlJc w:val="left"/>
      <w:pPr>
        <w:ind w:left="360" w:hanging="360"/>
      </w:pPr>
    </w:lvl>
    <w:lvl w:ilvl="1" w:tplc="AB7EA616" w:tentative="1">
      <w:start w:val="1"/>
      <w:numFmt w:val="lowerLetter"/>
      <w:lvlText w:val="%2."/>
      <w:lvlJc w:val="left"/>
      <w:pPr>
        <w:ind w:left="1080" w:hanging="360"/>
      </w:pPr>
    </w:lvl>
    <w:lvl w:ilvl="2" w:tplc="4156CB36" w:tentative="1">
      <w:start w:val="1"/>
      <w:numFmt w:val="lowerRoman"/>
      <w:lvlText w:val="%3."/>
      <w:lvlJc w:val="right"/>
      <w:pPr>
        <w:ind w:left="1800" w:hanging="180"/>
      </w:pPr>
    </w:lvl>
    <w:lvl w:ilvl="3" w:tplc="6A06E1D0" w:tentative="1">
      <w:start w:val="1"/>
      <w:numFmt w:val="decimal"/>
      <w:lvlText w:val="%4."/>
      <w:lvlJc w:val="left"/>
      <w:pPr>
        <w:ind w:left="2520" w:hanging="360"/>
      </w:pPr>
    </w:lvl>
    <w:lvl w:ilvl="4" w:tplc="9DBE2B3E" w:tentative="1">
      <w:start w:val="1"/>
      <w:numFmt w:val="lowerLetter"/>
      <w:lvlText w:val="%5."/>
      <w:lvlJc w:val="left"/>
      <w:pPr>
        <w:ind w:left="3240" w:hanging="360"/>
      </w:pPr>
    </w:lvl>
    <w:lvl w:ilvl="5" w:tplc="617AE8B6" w:tentative="1">
      <w:start w:val="1"/>
      <w:numFmt w:val="lowerRoman"/>
      <w:lvlText w:val="%6."/>
      <w:lvlJc w:val="right"/>
      <w:pPr>
        <w:ind w:left="3960" w:hanging="180"/>
      </w:pPr>
    </w:lvl>
    <w:lvl w:ilvl="6" w:tplc="4EA69E92" w:tentative="1">
      <w:start w:val="1"/>
      <w:numFmt w:val="decimal"/>
      <w:lvlText w:val="%7."/>
      <w:lvlJc w:val="left"/>
      <w:pPr>
        <w:ind w:left="4680" w:hanging="360"/>
      </w:pPr>
    </w:lvl>
    <w:lvl w:ilvl="7" w:tplc="C5E433EE" w:tentative="1">
      <w:start w:val="1"/>
      <w:numFmt w:val="lowerLetter"/>
      <w:lvlText w:val="%8."/>
      <w:lvlJc w:val="left"/>
      <w:pPr>
        <w:ind w:left="5400" w:hanging="360"/>
      </w:pPr>
    </w:lvl>
    <w:lvl w:ilvl="8" w:tplc="A3C2E35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4068E82">
      <w:start w:val="1"/>
      <w:numFmt w:val="bullet"/>
      <w:lvlText w:val=""/>
      <w:lvlJc w:val="left"/>
      <w:pPr>
        <w:ind w:left="720" w:hanging="360"/>
      </w:pPr>
      <w:rPr>
        <w:rFonts w:ascii="Symbol" w:hAnsi="Symbol" w:hint="default"/>
      </w:rPr>
    </w:lvl>
    <w:lvl w:ilvl="1" w:tplc="8FB498C4" w:tentative="1">
      <w:start w:val="1"/>
      <w:numFmt w:val="bullet"/>
      <w:lvlText w:val="o"/>
      <w:lvlJc w:val="left"/>
      <w:pPr>
        <w:ind w:left="1440" w:hanging="360"/>
      </w:pPr>
      <w:rPr>
        <w:rFonts w:ascii="Courier New" w:hAnsi="Courier New" w:cs="Courier New" w:hint="default"/>
      </w:rPr>
    </w:lvl>
    <w:lvl w:ilvl="2" w:tplc="2048B598" w:tentative="1">
      <w:start w:val="1"/>
      <w:numFmt w:val="bullet"/>
      <w:lvlText w:val=""/>
      <w:lvlJc w:val="left"/>
      <w:pPr>
        <w:ind w:left="2160" w:hanging="360"/>
      </w:pPr>
      <w:rPr>
        <w:rFonts w:ascii="Wingdings" w:hAnsi="Wingdings" w:hint="default"/>
      </w:rPr>
    </w:lvl>
    <w:lvl w:ilvl="3" w:tplc="FE7ED8B0" w:tentative="1">
      <w:start w:val="1"/>
      <w:numFmt w:val="bullet"/>
      <w:lvlText w:val=""/>
      <w:lvlJc w:val="left"/>
      <w:pPr>
        <w:ind w:left="2880" w:hanging="360"/>
      </w:pPr>
      <w:rPr>
        <w:rFonts w:ascii="Symbol" w:hAnsi="Symbol" w:hint="default"/>
      </w:rPr>
    </w:lvl>
    <w:lvl w:ilvl="4" w:tplc="962C87DA" w:tentative="1">
      <w:start w:val="1"/>
      <w:numFmt w:val="bullet"/>
      <w:lvlText w:val="o"/>
      <w:lvlJc w:val="left"/>
      <w:pPr>
        <w:ind w:left="3600" w:hanging="360"/>
      </w:pPr>
      <w:rPr>
        <w:rFonts w:ascii="Courier New" w:hAnsi="Courier New" w:cs="Courier New" w:hint="default"/>
      </w:rPr>
    </w:lvl>
    <w:lvl w:ilvl="5" w:tplc="29B0BD98" w:tentative="1">
      <w:start w:val="1"/>
      <w:numFmt w:val="bullet"/>
      <w:lvlText w:val=""/>
      <w:lvlJc w:val="left"/>
      <w:pPr>
        <w:ind w:left="4320" w:hanging="360"/>
      </w:pPr>
      <w:rPr>
        <w:rFonts w:ascii="Wingdings" w:hAnsi="Wingdings" w:hint="default"/>
      </w:rPr>
    </w:lvl>
    <w:lvl w:ilvl="6" w:tplc="0F60452A" w:tentative="1">
      <w:start w:val="1"/>
      <w:numFmt w:val="bullet"/>
      <w:lvlText w:val=""/>
      <w:lvlJc w:val="left"/>
      <w:pPr>
        <w:ind w:left="5040" w:hanging="360"/>
      </w:pPr>
      <w:rPr>
        <w:rFonts w:ascii="Symbol" w:hAnsi="Symbol" w:hint="default"/>
      </w:rPr>
    </w:lvl>
    <w:lvl w:ilvl="7" w:tplc="CB4EF5AE" w:tentative="1">
      <w:start w:val="1"/>
      <w:numFmt w:val="bullet"/>
      <w:lvlText w:val="o"/>
      <w:lvlJc w:val="left"/>
      <w:pPr>
        <w:ind w:left="5760" w:hanging="360"/>
      </w:pPr>
      <w:rPr>
        <w:rFonts w:ascii="Courier New" w:hAnsi="Courier New" w:cs="Courier New" w:hint="default"/>
      </w:rPr>
    </w:lvl>
    <w:lvl w:ilvl="8" w:tplc="C91CAB9C" w:tentative="1">
      <w:start w:val="1"/>
      <w:numFmt w:val="bullet"/>
      <w:lvlText w:val=""/>
      <w:lvlJc w:val="left"/>
      <w:pPr>
        <w:ind w:left="6480" w:hanging="360"/>
      </w:pPr>
      <w:rPr>
        <w:rFonts w:ascii="Wingdings" w:hAnsi="Wingdings" w:hint="default"/>
      </w:rPr>
    </w:lvl>
  </w:abstractNum>
  <w:num w:numId="1" w16cid:durableId="1663582291">
    <w:abstractNumId w:val="1"/>
  </w:num>
  <w:num w:numId="2" w16cid:durableId="19708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03FE"/>
    <w:rsid w:val="001B54F8"/>
    <w:rsid w:val="002E1E7D"/>
    <w:rsid w:val="00334934"/>
    <w:rsid w:val="003F5136"/>
    <w:rsid w:val="00D603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CA01"/>
  <w15:docId w15:val="{66AC56A2-EADC-435D-BBB3-4D91EBAC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12553</Words>
  <Characters>71553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2025-05-15T23:45:00Z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