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3D4F" w14:textId="77777777" w:rsidR="00000000" w:rsidRDefault="00000000">
      <w:pPr>
        <w:pStyle w:val="Heading1"/>
        <w:rPr>
          <w:rFonts w:cs="Arial"/>
        </w:rPr>
      </w:pPr>
      <w:bookmarkStart w:id="0" w:name="PRMS_RIName"/>
      <w:r>
        <w:rPr>
          <w:rFonts w:cs="Arial"/>
        </w:rPr>
        <w:t>Heritage Lifecare Limited - Clutha Views Lifecare</w:t>
      </w:r>
      <w:bookmarkEnd w:id="0"/>
    </w:p>
    <w:p w14:paraId="6E88D08B" w14:textId="77777777" w:rsidR="00000000" w:rsidRDefault="00000000">
      <w:pPr>
        <w:pStyle w:val="Heading2"/>
        <w:spacing w:after="0"/>
        <w:rPr>
          <w:rFonts w:cs="Arial"/>
        </w:rPr>
      </w:pPr>
      <w:r>
        <w:rPr>
          <w:rFonts w:cs="Arial"/>
        </w:rPr>
        <w:t>Introduction</w:t>
      </w:r>
    </w:p>
    <w:p w14:paraId="11B5645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6D6997E"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1CB72B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4FC4E0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49B523" w14:textId="77777777" w:rsidR="00000000" w:rsidRDefault="00000000">
      <w:pPr>
        <w:spacing w:before="240" w:after="240"/>
        <w:rPr>
          <w:rFonts w:cs="Arial"/>
          <w:lang w:eastAsia="en-NZ"/>
        </w:rPr>
      </w:pPr>
      <w:r>
        <w:rPr>
          <w:rFonts w:cs="Arial"/>
          <w:lang w:eastAsia="en-NZ"/>
        </w:rPr>
        <w:t>The specifics of this audit included:</w:t>
      </w:r>
    </w:p>
    <w:p w14:paraId="5CB6D6B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D57B32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58817B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Clutha Views Lifecare</w:t>
      </w:r>
      <w:bookmarkEnd w:id="5"/>
    </w:p>
    <w:p w14:paraId="7A6C83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006F5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March 2025</w:t>
      </w:r>
      <w:bookmarkEnd w:id="7"/>
      <w:r w:rsidRPr="009418D4">
        <w:rPr>
          <w:rFonts w:cs="Arial"/>
        </w:rPr>
        <w:tab/>
        <w:t xml:space="preserve">End date: </w:t>
      </w:r>
      <w:bookmarkStart w:id="8" w:name="AuditEndDate"/>
      <w:r>
        <w:rPr>
          <w:rFonts w:cs="Arial"/>
        </w:rPr>
        <w:t>19 March 2025</w:t>
      </w:r>
      <w:bookmarkEnd w:id="8"/>
    </w:p>
    <w:p w14:paraId="1604211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7753130" w14:textId="77777777" w:rsidR="004D2B3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25ECD82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A2C2DBA" w14:textId="77777777" w:rsidR="00000000" w:rsidRDefault="00000000">
      <w:pPr>
        <w:pStyle w:val="Heading1"/>
        <w:rPr>
          <w:rFonts w:cs="Arial"/>
        </w:rPr>
      </w:pPr>
      <w:r>
        <w:rPr>
          <w:rFonts w:cs="Arial"/>
        </w:rPr>
        <w:lastRenderedPageBreak/>
        <w:t>Executive summary of the audit</w:t>
      </w:r>
    </w:p>
    <w:p w14:paraId="5BE2F3D6" w14:textId="77777777" w:rsidR="00000000" w:rsidRDefault="00000000">
      <w:pPr>
        <w:pStyle w:val="Heading2"/>
        <w:rPr>
          <w:rFonts w:cs="Arial"/>
        </w:rPr>
      </w:pPr>
      <w:r>
        <w:rPr>
          <w:rFonts w:cs="Arial"/>
        </w:rPr>
        <w:t>Introduction</w:t>
      </w:r>
    </w:p>
    <w:p w14:paraId="2CB14C9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D3C2E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EE9CCE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A6756D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97C7A6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6FE57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AC37E7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D792D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12831D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D2B32" w14:paraId="019E5088" w14:textId="77777777">
        <w:trPr>
          <w:cantSplit/>
          <w:tblHeader/>
        </w:trPr>
        <w:tc>
          <w:tcPr>
            <w:tcW w:w="1260" w:type="dxa"/>
            <w:tcBorders>
              <w:bottom w:val="single" w:sz="4" w:space="0" w:color="000000"/>
            </w:tcBorders>
            <w:vAlign w:val="center"/>
          </w:tcPr>
          <w:p w14:paraId="1E0DF89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906F57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B031DE3" w14:textId="77777777" w:rsidR="00000000" w:rsidRDefault="00000000">
            <w:pPr>
              <w:spacing w:before="60" w:after="60"/>
              <w:rPr>
                <w:rFonts w:eastAsia="Calibri"/>
                <w:b/>
                <w:szCs w:val="24"/>
              </w:rPr>
            </w:pPr>
            <w:r>
              <w:rPr>
                <w:rFonts w:eastAsia="Calibri"/>
                <w:b/>
                <w:szCs w:val="24"/>
              </w:rPr>
              <w:t>Definition</w:t>
            </w:r>
          </w:p>
        </w:tc>
      </w:tr>
      <w:tr w:rsidR="004D2B32" w14:paraId="31B0835A" w14:textId="77777777">
        <w:trPr>
          <w:cantSplit/>
          <w:trHeight w:val="964"/>
        </w:trPr>
        <w:tc>
          <w:tcPr>
            <w:tcW w:w="1260" w:type="dxa"/>
            <w:tcBorders>
              <w:bottom w:val="single" w:sz="4" w:space="0" w:color="000000"/>
            </w:tcBorders>
            <w:shd w:val="clear" w:color="0066FF" w:fill="0000FF"/>
            <w:vAlign w:val="center"/>
          </w:tcPr>
          <w:p w14:paraId="3184145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30C805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A4FDFD" w14:textId="6DAB063C"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9818D9">
              <w:rPr>
                <w:rFonts w:eastAsia="Calibri"/>
                <w:szCs w:val="24"/>
              </w:rPr>
              <w:t xml:space="preserve">are </w:t>
            </w:r>
            <w:r w:rsidRPr="00FB778F">
              <w:rPr>
                <w:rFonts w:eastAsia="Calibri"/>
                <w:szCs w:val="24"/>
              </w:rPr>
              <w:t>fully attained with some subsections exceeded</w:t>
            </w:r>
          </w:p>
        </w:tc>
      </w:tr>
      <w:tr w:rsidR="004D2B32" w14:paraId="102A465F" w14:textId="77777777">
        <w:trPr>
          <w:cantSplit/>
          <w:trHeight w:val="964"/>
        </w:trPr>
        <w:tc>
          <w:tcPr>
            <w:tcW w:w="1260" w:type="dxa"/>
            <w:shd w:val="clear" w:color="33CC33" w:fill="00FF00"/>
            <w:vAlign w:val="center"/>
          </w:tcPr>
          <w:p w14:paraId="5BABEAE0" w14:textId="77777777" w:rsidR="00000000" w:rsidRDefault="00000000">
            <w:pPr>
              <w:spacing w:before="60" w:after="60"/>
              <w:rPr>
                <w:rFonts w:eastAsia="Calibri"/>
                <w:szCs w:val="24"/>
              </w:rPr>
            </w:pPr>
          </w:p>
        </w:tc>
        <w:tc>
          <w:tcPr>
            <w:tcW w:w="7095" w:type="dxa"/>
            <w:shd w:val="clear" w:color="auto" w:fill="auto"/>
            <w:vAlign w:val="center"/>
          </w:tcPr>
          <w:p w14:paraId="6D5E728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5CBF78" w14:textId="787BF5DE"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9818D9">
              <w:rPr>
                <w:rFonts w:eastAsia="Calibri"/>
                <w:szCs w:val="24"/>
              </w:rPr>
              <w:t xml:space="preserve">are </w:t>
            </w:r>
            <w:r w:rsidRPr="00FB778F">
              <w:rPr>
                <w:rFonts w:eastAsia="Calibri"/>
                <w:szCs w:val="24"/>
              </w:rPr>
              <w:t>fully attained</w:t>
            </w:r>
          </w:p>
        </w:tc>
      </w:tr>
      <w:tr w:rsidR="004D2B32" w14:paraId="4DBD84F4" w14:textId="77777777">
        <w:trPr>
          <w:cantSplit/>
          <w:trHeight w:val="964"/>
        </w:trPr>
        <w:tc>
          <w:tcPr>
            <w:tcW w:w="1260" w:type="dxa"/>
            <w:tcBorders>
              <w:bottom w:val="single" w:sz="4" w:space="0" w:color="000000"/>
            </w:tcBorders>
            <w:shd w:val="clear" w:color="auto" w:fill="FFFF00"/>
            <w:vAlign w:val="center"/>
          </w:tcPr>
          <w:p w14:paraId="40DA73F1" w14:textId="77777777" w:rsidR="00000000" w:rsidRDefault="00000000">
            <w:pPr>
              <w:spacing w:before="60" w:after="60"/>
              <w:rPr>
                <w:rFonts w:eastAsia="Calibri"/>
                <w:szCs w:val="24"/>
              </w:rPr>
            </w:pPr>
          </w:p>
        </w:tc>
        <w:tc>
          <w:tcPr>
            <w:tcW w:w="7095" w:type="dxa"/>
            <w:shd w:val="clear" w:color="auto" w:fill="auto"/>
            <w:vAlign w:val="center"/>
          </w:tcPr>
          <w:p w14:paraId="179EBEB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06537C" w14:textId="6F9452F0"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9818D9">
              <w:rPr>
                <w:rFonts w:eastAsia="Calibri"/>
                <w:szCs w:val="24"/>
              </w:rPr>
              <w:t xml:space="preserve">are </w:t>
            </w:r>
            <w:r w:rsidRPr="00FB778F">
              <w:rPr>
                <w:rFonts w:eastAsia="Calibri"/>
                <w:szCs w:val="24"/>
              </w:rPr>
              <w:t>partially attained and of low risk</w:t>
            </w:r>
          </w:p>
        </w:tc>
      </w:tr>
      <w:tr w:rsidR="004D2B32" w14:paraId="7B4EC07F" w14:textId="77777777">
        <w:trPr>
          <w:cantSplit/>
          <w:trHeight w:val="964"/>
        </w:trPr>
        <w:tc>
          <w:tcPr>
            <w:tcW w:w="1260" w:type="dxa"/>
            <w:tcBorders>
              <w:bottom w:val="single" w:sz="4" w:space="0" w:color="000000"/>
            </w:tcBorders>
            <w:shd w:val="clear" w:color="auto" w:fill="FFC800"/>
            <w:vAlign w:val="center"/>
          </w:tcPr>
          <w:p w14:paraId="7AA2545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08B57D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CB4B349" w14:textId="6834DDAB"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9818D9">
              <w:rPr>
                <w:rFonts w:eastAsia="Calibri"/>
                <w:szCs w:val="24"/>
              </w:rPr>
              <w:t xml:space="preserve">are </w:t>
            </w:r>
            <w:r>
              <w:rPr>
                <w:rFonts w:eastAsia="Calibri"/>
                <w:szCs w:val="24"/>
              </w:rPr>
              <w:t>partially attained and of medium or high risk and/or unattained and of low risk</w:t>
            </w:r>
          </w:p>
        </w:tc>
      </w:tr>
      <w:tr w:rsidR="004D2B32" w14:paraId="16525EAD" w14:textId="77777777">
        <w:trPr>
          <w:cantSplit/>
          <w:trHeight w:val="964"/>
        </w:trPr>
        <w:tc>
          <w:tcPr>
            <w:tcW w:w="1260" w:type="dxa"/>
            <w:shd w:val="clear" w:color="auto" w:fill="FF0000"/>
            <w:vAlign w:val="center"/>
          </w:tcPr>
          <w:p w14:paraId="173BC532" w14:textId="77777777" w:rsidR="00000000" w:rsidRDefault="00000000">
            <w:pPr>
              <w:spacing w:before="60" w:after="60"/>
              <w:rPr>
                <w:rFonts w:eastAsia="Calibri"/>
                <w:szCs w:val="24"/>
              </w:rPr>
            </w:pPr>
          </w:p>
        </w:tc>
        <w:tc>
          <w:tcPr>
            <w:tcW w:w="7095" w:type="dxa"/>
            <w:shd w:val="clear" w:color="auto" w:fill="auto"/>
            <w:vAlign w:val="center"/>
          </w:tcPr>
          <w:p w14:paraId="6B08C8C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0B94A5" w14:textId="07755388"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9818D9">
              <w:rPr>
                <w:rFonts w:eastAsia="Calibri"/>
                <w:szCs w:val="24"/>
              </w:rPr>
              <w:t xml:space="preserve">are </w:t>
            </w:r>
            <w:r>
              <w:rPr>
                <w:rFonts w:eastAsia="Calibri"/>
                <w:szCs w:val="24"/>
              </w:rPr>
              <w:t>unattained and of moderate or high risk</w:t>
            </w:r>
          </w:p>
        </w:tc>
      </w:tr>
    </w:tbl>
    <w:p w14:paraId="7106D96D" w14:textId="77777777" w:rsidR="00000000" w:rsidRDefault="00000000">
      <w:pPr>
        <w:pStyle w:val="Heading2"/>
        <w:spacing w:after="0"/>
        <w:rPr>
          <w:rFonts w:cs="Arial"/>
        </w:rPr>
      </w:pPr>
      <w:r>
        <w:rPr>
          <w:rFonts w:cs="Arial"/>
        </w:rPr>
        <w:t>General overview of the audit</w:t>
      </w:r>
    </w:p>
    <w:p w14:paraId="2ED02ED9" w14:textId="77777777" w:rsidR="00000000" w:rsidRDefault="00000000">
      <w:pPr>
        <w:spacing w:before="240" w:line="276" w:lineRule="auto"/>
        <w:rPr>
          <w:rFonts w:eastAsia="Calibri"/>
        </w:rPr>
      </w:pPr>
      <w:bookmarkStart w:id="13" w:name="GeneralOverview"/>
      <w:r w:rsidRPr="00A4268A">
        <w:rPr>
          <w:rFonts w:eastAsia="Calibri"/>
        </w:rPr>
        <w:t xml:space="preserve">Clutha Views Lifecare (Clutha Views) is owned and operated by Heritage Lifecare Limited (Heritage) and provides age-related residential care for up to 68 residents requiring rest home, hospital or dementia care. There were 51 residents in the facility on the first day of the audit. </w:t>
      </w:r>
    </w:p>
    <w:p w14:paraId="03A2053D" w14:textId="77777777" w:rsidR="004D2B32" w:rsidRPr="00A4268A" w:rsidRDefault="00000000">
      <w:pPr>
        <w:spacing w:before="240" w:line="276" w:lineRule="auto"/>
        <w:rPr>
          <w:rFonts w:eastAsia="Calibri"/>
        </w:rPr>
      </w:pPr>
      <w:r w:rsidRPr="00A4268A">
        <w:rPr>
          <w:rFonts w:eastAsia="Calibri"/>
        </w:rPr>
        <w:t>Since the last certification audit, the number of dual-purpose hospital/rest home beds has decreased from 54 to 49 and the number of dementia care beds increased from 14 to 19. The total capacity of the facility remains at 68. The suitability of this change was confirmed in a partial provisional audit in October 2024. The facility is managed by a care home and village manager who has been in place since the last certification audit. The clinical manager position is vacant, and support is currently provided by a roving clinical services manager employed by Heritage.</w:t>
      </w:r>
    </w:p>
    <w:p w14:paraId="79AFB6CB" w14:textId="77777777" w:rsidR="004D2B32"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 members, members of the Heritage regional support team, managers, staff, and a nurse practitioner. </w:t>
      </w:r>
    </w:p>
    <w:p w14:paraId="65048E71" w14:textId="77777777" w:rsidR="004D2B32" w:rsidRPr="00A4268A" w:rsidRDefault="00000000">
      <w:pPr>
        <w:spacing w:before="240" w:line="276" w:lineRule="auto"/>
        <w:rPr>
          <w:rFonts w:eastAsia="Calibri"/>
        </w:rPr>
      </w:pPr>
      <w:r w:rsidRPr="00A4268A">
        <w:rPr>
          <w:rFonts w:eastAsia="Calibri"/>
        </w:rPr>
        <w:t xml:space="preserve">Three corrective actions required from the previous certification audit have been addressed, with improvements made to neurological observations following unwitnessed falls, activities planning in the dementia care unit and restraint monitoring. Four corrective actions raised at the last certification audit remain open and further improvement is required; these relate to staff education and training, care planning and call bell response. One further corrective action raised at the partial provisional audit related to the issue of a code of building compliance certificate, has been addressed.  </w:t>
      </w:r>
    </w:p>
    <w:bookmarkEnd w:id="13"/>
    <w:p w14:paraId="7AD97943" w14:textId="77777777" w:rsidR="004D2B32" w:rsidRPr="00A4268A" w:rsidRDefault="004D2B32">
      <w:pPr>
        <w:spacing w:before="240" w:line="276" w:lineRule="auto"/>
        <w:rPr>
          <w:rFonts w:eastAsia="Calibri"/>
        </w:rPr>
      </w:pPr>
    </w:p>
    <w:p w14:paraId="040DF4F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B32" w14:paraId="0E67517E" w14:textId="77777777" w:rsidTr="00A4268A">
        <w:trPr>
          <w:cantSplit/>
        </w:trPr>
        <w:tc>
          <w:tcPr>
            <w:tcW w:w="10206" w:type="dxa"/>
            <w:vAlign w:val="center"/>
          </w:tcPr>
          <w:p w14:paraId="267BFB8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D6E3D2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92D7883"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74DDA2" w14:textId="7F337B1F"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9818D9">
              <w:t xml:space="preserve">are </w:t>
            </w:r>
            <w:r>
              <w:t>fully attained.</w:t>
            </w:r>
          </w:p>
        </w:tc>
      </w:tr>
    </w:tbl>
    <w:p w14:paraId="2CAE06BF" w14:textId="77777777" w:rsidR="00000000" w:rsidRDefault="00000000">
      <w:pPr>
        <w:spacing w:before="240" w:line="276" w:lineRule="auto"/>
        <w:rPr>
          <w:rFonts w:eastAsia="Calibri"/>
        </w:rPr>
      </w:pPr>
      <w:bookmarkStart w:id="16" w:name="ConsumerRights"/>
      <w:r w:rsidRPr="00A4268A">
        <w:rPr>
          <w:rFonts w:eastAsia="Calibri"/>
        </w:rPr>
        <w:t xml:space="preserve">Clutha Views works collaboratively to support and encourage a Māori world view of health in service delivery. Māori are provided with equitable and effective services based on Te Tiriti o Waitangi and the principles of mana motuhake. </w:t>
      </w:r>
    </w:p>
    <w:p w14:paraId="2B459B2A" w14:textId="77777777" w:rsidR="004D2B32" w:rsidRPr="00A4268A" w:rsidRDefault="00000000">
      <w:pPr>
        <w:spacing w:before="240" w:line="276" w:lineRule="auto"/>
        <w:rPr>
          <w:rFonts w:eastAsia="Calibri"/>
        </w:rPr>
      </w:pPr>
      <w:r w:rsidRPr="00A4268A">
        <w:rPr>
          <w:rFonts w:eastAsia="Calibri"/>
        </w:rPr>
        <w:t xml:space="preserve">Pacific peoples will be provided with services that recognise their worldviews and are culturally safe. </w:t>
      </w:r>
    </w:p>
    <w:p w14:paraId="285E6291" w14:textId="77777777" w:rsidR="004D2B32"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47F81304" w14:textId="77777777" w:rsidR="004D2B32"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12FE5F17" w14:textId="77777777" w:rsidR="004D2B32" w:rsidRPr="00A4268A" w:rsidRDefault="00000000">
      <w:pPr>
        <w:spacing w:before="240" w:line="276" w:lineRule="auto"/>
        <w:rPr>
          <w:rFonts w:eastAsia="Calibri"/>
        </w:rPr>
      </w:pPr>
      <w:r w:rsidRPr="00A4268A">
        <w:rPr>
          <w:rFonts w:eastAsia="Calibri"/>
        </w:rPr>
        <w:t>Processes were in place to ensure complaints were resolved promptly, equitably and effectively in collaboration with all parties involved.</w:t>
      </w:r>
    </w:p>
    <w:bookmarkEnd w:id="16"/>
    <w:p w14:paraId="4392B8A4" w14:textId="77777777" w:rsidR="004D2B32" w:rsidRPr="00A4268A" w:rsidRDefault="004D2B32">
      <w:pPr>
        <w:spacing w:before="240" w:line="276" w:lineRule="auto"/>
        <w:rPr>
          <w:rFonts w:eastAsia="Calibri"/>
        </w:rPr>
      </w:pPr>
    </w:p>
    <w:p w14:paraId="6EC249C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B32" w14:paraId="222DD375" w14:textId="77777777" w:rsidTr="00A4268A">
        <w:trPr>
          <w:cantSplit/>
        </w:trPr>
        <w:tc>
          <w:tcPr>
            <w:tcW w:w="10206" w:type="dxa"/>
            <w:vAlign w:val="center"/>
          </w:tcPr>
          <w:p w14:paraId="2E94A4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7660A8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0AF5A73" w14:textId="423C0826"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9818D9">
              <w:t xml:space="preserve">are </w:t>
            </w:r>
            <w:r>
              <w:t>partially attained and of low risk.</w:t>
            </w:r>
          </w:p>
        </w:tc>
      </w:tr>
    </w:tbl>
    <w:p w14:paraId="5315F5A3"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0C7D48A8" w14:textId="77777777" w:rsidR="004D2B32"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3D5911B9" w14:textId="77777777" w:rsidR="004D2B32"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1D09C4FE" w14:textId="77777777" w:rsidR="004D2B32"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An integrated approach included collection and analysis of quality improvement data, identified trends and led to improvements. Actual and potential risks were identified and mitigated. </w:t>
      </w:r>
    </w:p>
    <w:p w14:paraId="1AD71580" w14:textId="77777777" w:rsidR="004D2B32"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48607F14" w14:textId="77777777" w:rsidR="004D2B32"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38F80938" w14:textId="77777777" w:rsidR="004D2B32"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1E8672DA" w14:textId="77777777" w:rsidR="004D2B32" w:rsidRPr="00A4268A" w:rsidRDefault="004D2B32">
      <w:pPr>
        <w:spacing w:before="240" w:line="276" w:lineRule="auto"/>
        <w:rPr>
          <w:rFonts w:eastAsia="Calibri"/>
        </w:rPr>
      </w:pPr>
    </w:p>
    <w:p w14:paraId="26F0CFF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B32" w14:paraId="5A1CB1A7" w14:textId="77777777" w:rsidTr="00A4268A">
        <w:trPr>
          <w:cantSplit/>
        </w:trPr>
        <w:tc>
          <w:tcPr>
            <w:tcW w:w="10206" w:type="dxa"/>
            <w:vAlign w:val="center"/>
          </w:tcPr>
          <w:p w14:paraId="7F6613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A0B375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B55EAC7" w14:textId="37EEB39D"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9818D9">
              <w:t xml:space="preserve">are </w:t>
            </w:r>
            <w:r>
              <w:t>partially attained and of medium or high risk and/or unattained and of low risk.</w:t>
            </w:r>
          </w:p>
        </w:tc>
      </w:tr>
    </w:tbl>
    <w:p w14:paraId="19D83A1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and based on comprehensive risk-based assessments. Files reviewed demonstrated that care met the needs of residents. </w:t>
      </w:r>
    </w:p>
    <w:p w14:paraId="1739902D" w14:textId="77777777" w:rsidR="004D2B32"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65CBF94" w14:textId="77777777" w:rsidR="004D2B32" w:rsidRPr="00A4268A" w:rsidRDefault="00000000" w:rsidP="00621629">
      <w:pPr>
        <w:spacing w:before="240" w:line="276" w:lineRule="auto"/>
        <w:rPr>
          <w:rFonts w:eastAsia="Calibri"/>
        </w:rPr>
      </w:pPr>
      <w:r w:rsidRPr="00A4268A">
        <w:rPr>
          <w:rFonts w:eastAsia="Calibri"/>
        </w:rPr>
        <w:t>The food service met the nutritional and cultural needs of the residents.</w:t>
      </w:r>
    </w:p>
    <w:p w14:paraId="7F2E5133" w14:textId="77777777" w:rsidR="004D2B32" w:rsidRPr="00A4268A" w:rsidRDefault="00000000" w:rsidP="00621629">
      <w:pPr>
        <w:spacing w:before="240" w:line="276" w:lineRule="auto"/>
        <w:rPr>
          <w:rFonts w:eastAsia="Calibri"/>
        </w:rPr>
      </w:pPr>
      <w:r w:rsidRPr="00A4268A">
        <w:rPr>
          <w:rFonts w:eastAsia="Calibri"/>
        </w:rPr>
        <w:t xml:space="preserve">Food was safely managed, supported by an approved food control plan. </w:t>
      </w:r>
    </w:p>
    <w:p w14:paraId="2EEE19D3" w14:textId="77777777" w:rsidR="004D2B32"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7F6176B6" w14:textId="77777777" w:rsidR="004D2B32" w:rsidRPr="00A4268A" w:rsidRDefault="004D2B32" w:rsidP="00621629">
      <w:pPr>
        <w:spacing w:before="240" w:line="276" w:lineRule="auto"/>
        <w:rPr>
          <w:rFonts w:eastAsia="Calibri"/>
        </w:rPr>
      </w:pPr>
    </w:p>
    <w:p w14:paraId="591413C2"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B32" w14:paraId="2567673E" w14:textId="77777777" w:rsidTr="00A4268A">
        <w:trPr>
          <w:cantSplit/>
        </w:trPr>
        <w:tc>
          <w:tcPr>
            <w:tcW w:w="10206" w:type="dxa"/>
            <w:vAlign w:val="center"/>
          </w:tcPr>
          <w:p w14:paraId="7246EC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25DFF12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339853" w14:textId="136DEA20" w:rsidR="00000000" w:rsidRPr="00621629" w:rsidRDefault="00000000" w:rsidP="00621629">
            <w:pPr>
              <w:spacing w:before="60" w:after="60" w:line="276" w:lineRule="auto"/>
              <w:rPr>
                <w:rFonts w:eastAsia="Calibri"/>
              </w:rPr>
            </w:pPr>
            <w:bookmarkStart w:id="24" w:name="IndicatorDescription1_4"/>
            <w:bookmarkEnd w:id="24"/>
            <w:r>
              <w:t xml:space="preserve">Some subsections applicable to this service </w:t>
            </w:r>
            <w:r w:rsidR="00214AD2">
              <w:t xml:space="preserve">are </w:t>
            </w:r>
            <w:r>
              <w:t>partially attained and of medium or high risk and/or unattained and of low risk.</w:t>
            </w:r>
          </w:p>
        </w:tc>
      </w:tr>
    </w:tbl>
    <w:p w14:paraId="0AF08D1E"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ensured safety. Electrical equipment was tested as required. A call bell system is in place for residents.</w:t>
      </w:r>
    </w:p>
    <w:bookmarkEnd w:id="25"/>
    <w:p w14:paraId="49627856" w14:textId="77777777" w:rsidR="004D2B32" w:rsidRPr="00A4268A" w:rsidRDefault="004D2B32">
      <w:pPr>
        <w:spacing w:before="240" w:line="276" w:lineRule="auto"/>
        <w:rPr>
          <w:rFonts w:eastAsia="Calibri"/>
        </w:rPr>
      </w:pPr>
    </w:p>
    <w:p w14:paraId="61AF5D2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B32" w14:paraId="5CAF13B1" w14:textId="77777777" w:rsidTr="00A4268A">
        <w:trPr>
          <w:cantSplit/>
        </w:trPr>
        <w:tc>
          <w:tcPr>
            <w:tcW w:w="10206" w:type="dxa"/>
            <w:vAlign w:val="center"/>
          </w:tcPr>
          <w:p w14:paraId="1F964A5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3AE878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99322E9" w14:textId="1BBA6CF2"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214AD2">
              <w:t xml:space="preserve">are </w:t>
            </w:r>
            <w:r>
              <w:t>fully attained.</w:t>
            </w:r>
          </w:p>
        </w:tc>
      </w:tr>
    </w:tbl>
    <w:p w14:paraId="43935F5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Heritage governing body, is linked with the quality improvement programme, and is reviewed and reported on annually. </w:t>
      </w:r>
    </w:p>
    <w:p w14:paraId="07BD77FB" w14:textId="77777777" w:rsidR="004D2B32"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AB096D4" w14:textId="77777777" w:rsidR="004D2B32" w:rsidRPr="00A4268A" w:rsidRDefault="00000000">
      <w:pPr>
        <w:spacing w:before="240" w:line="276" w:lineRule="auto"/>
        <w:rPr>
          <w:rFonts w:eastAsia="Calibri"/>
        </w:rPr>
      </w:pPr>
      <w:r w:rsidRPr="00A4268A">
        <w:rPr>
          <w:rFonts w:eastAsia="Calibri"/>
        </w:rPr>
        <w:lastRenderedPageBreak/>
        <w:t>The ‘Surveillance of health care-associated infections’ programme was appropriate to the size and setting of the service, using standardised surveillance definitions, with an equity focus.</w:t>
      </w:r>
    </w:p>
    <w:bookmarkEnd w:id="28"/>
    <w:p w14:paraId="3396F0CC" w14:textId="77777777" w:rsidR="004D2B32" w:rsidRPr="00A4268A" w:rsidRDefault="004D2B32">
      <w:pPr>
        <w:spacing w:before="240" w:line="276" w:lineRule="auto"/>
        <w:rPr>
          <w:rFonts w:eastAsia="Calibri"/>
        </w:rPr>
      </w:pPr>
    </w:p>
    <w:p w14:paraId="40A09B4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2B32" w14:paraId="066AD2C4" w14:textId="77777777" w:rsidTr="00A4268A">
        <w:trPr>
          <w:cantSplit/>
        </w:trPr>
        <w:tc>
          <w:tcPr>
            <w:tcW w:w="10206" w:type="dxa"/>
            <w:vAlign w:val="center"/>
          </w:tcPr>
          <w:p w14:paraId="6C71AC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FE4ACA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2C04D85" w14:textId="28A99B58"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214AD2">
              <w:t>are f</w:t>
            </w:r>
            <w:r>
              <w:t>ully attained.</w:t>
            </w:r>
          </w:p>
        </w:tc>
      </w:tr>
    </w:tbl>
    <w:p w14:paraId="4B246ED0"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provided a restraint-free environment. This is supported by the governing body and policies and procedures. There were no residents using restraints at the time of audit, and this has been the case since the previous audit.  </w:t>
      </w:r>
    </w:p>
    <w:p w14:paraId="4FBBF196" w14:textId="77777777" w:rsidR="004D2B32" w:rsidRPr="00A4268A" w:rsidRDefault="00000000">
      <w:pPr>
        <w:spacing w:before="240" w:line="276" w:lineRule="auto"/>
        <w:rPr>
          <w:rFonts w:eastAsia="Calibri"/>
        </w:rPr>
      </w:pPr>
      <w:r w:rsidRPr="00A4268A">
        <w:rPr>
          <w:rFonts w:eastAsia="Calibri"/>
        </w:rPr>
        <w:t>Staff training has been provided on the least restrictive practice, de-escalation techniques, alternative interventions, and demonstrated effective practice.</w:t>
      </w:r>
    </w:p>
    <w:bookmarkEnd w:id="31"/>
    <w:p w14:paraId="782FE107" w14:textId="77777777" w:rsidR="004D2B32" w:rsidRPr="00A4268A" w:rsidRDefault="004D2B32">
      <w:pPr>
        <w:spacing w:before="240" w:line="276" w:lineRule="auto"/>
        <w:rPr>
          <w:rFonts w:eastAsia="Calibri"/>
        </w:rPr>
      </w:pPr>
    </w:p>
    <w:p w14:paraId="5FD8CC11" w14:textId="77777777" w:rsidR="00000000" w:rsidRDefault="00000000" w:rsidP="000E6E02">
      <w:pPr>
        <w:pStyle w:val="Heading2"/>
        <w:spacing w:before="0"/>
        <w:rPr>
          <w:rFonts w:cs="Arial"/>
        </w:rPr>
      </w:pPr>
      <w:r>
        <w:rPr>
          <w:rFonts w:cs="Arial"/>
        </w:rPr>
        <w:lastRenderedPageBreak/>
        <w:t>Summary of attainment</w:t>
      </w:r>
    </w:p>
    <w:p w14:paraId="1B19923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2B32" w14:paraId="07892FFE" w14:textId="77777777">
        <w:tc>
          <w:tcPr>
            <w:tcW w:w="1384" w:type="dxa"/>
            <w:vAlign w:val="center"/>
          </w:tcPr>
          <w:p w14:paraId="3F0A893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3DEE67" w14:textId="77777777" w:rsidR="00000000" w:rsidRDefault="00000000">
            <w:pPr>
              <w:keepNext/>
              <w:spacing w:before="60" w:after="60"/>
              <w:jc w:val="center"/>
              <w:rPr>
                <w:rFonts w:cs="Arial"/>
                <w:b/>
                <w:sz w:val="20"/>
                <w:szCs w:val="20"/>
              </w:rPr>
            </w:pPr>
            <w:r>
              <w:rPr>
                <w:rFonts w:cs="Arial"/>
                <w:b/>
                <w:sz w:val="20"/>
                <w:szCs w:val="20"/>
              </w:rPr>
              <w:t>Continuous Improvement</w:t>
            </w:r>
          </w:p>
          <w:p w14:paraId="6CEF917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DACC7AB" w14:textId="77777777" w:rsidR="00000000" w:rsidRDefault="00000000">
            <w:pPr>
              <w:keepNext/>
              <w:spacing w:before="60" w:after="60"/>
              <w:jc w:val="center"/>
              <w:rPr>
                <w:rFonts w:cs="Arial"/>
                <w:b/>
                <w:sz w:val="20"/>
                <w:szCs w:val="20"/>
              </w:rPr>
            </w:pPr>
            <w:r>
              <w:rPr>
                <w:rFonts w:cs="Arial"/>
                <w:b/>
                <w:sz w:val="20"/>
                <w:szCs w:val="20"/>
              </w:rPr>
              <w:t>Fully Attained</w:t>
            </w:r>
          </w:p>
          <w:p w14:paraId="2874B69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08CFBD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BA7650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FDB1D7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4068EB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A9CC6B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B80069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98A8E5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383D9F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44D358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10AD48F" w14:textId="77777777" w:rsidR="00000000" w:rsidRDefault="00000000">
            <w:pPr>
              <w:keepNext/>
              <w:spacing w:before="60" w:after="60"/>
              <w:jc w:val="center"/>
              <w:rPr>
                <w:rFonts w:cs="Arial"/>
                <w:b/>
                <w:sz w:val="20"/>
                <w:szCs w:val="20"/>
              </w:rPr>
            </w:pPr>
            <w:r>
              <w:rPr>
                <w:rFonts w:cs="Arial"/>
                <w:b/>
                <w:sz w:val="20"/>
                <w:szCs w:val="20"/>
              </w:rPr>
              <w:t>(PA Critical)</w:t>
            </w:r>
          </w:p>
        </w:tc>
      </w:tr>
      <w:tr w:rsidR="004D2B32" w14:paraId="7CCFD1CC" w14:textId="77777777">
        <w:tc>
          <w:tcPr>
            <w:tcW w:w="1384" w:type="dxa"/>
            <w:vAlign w:val="center"/>
          </w:tcPr>
          <w:p w14:paraId="3502E60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B3FBB0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6F74B5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81156B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C3880B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EAF15A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4DDF208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3EED78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D2B32" w14:paraId="6B65A24F" w14:textId="77777777">
        <w:tc>
          <w:tcPr>
            <w:tcW w:w="1384" w:type="dxa"/>
            <w:vAlign w:val="center"/>
          </w:tcPr>
          <w:p w14:paraId="4BB08B4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EDCDD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A1BA11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60FEC27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8785A4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C2B3A7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116ED2A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39522D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10B09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2B32" w14:paraId="3AA7668E" w14:textId="77777777">
        <w:tc>
          <w:tcPr>
            <w:tcW w:w="1384" w:type="dxa"/>
            <w:vAlign w:val="center"/>
          </w:tcPr>
          <w:p w14:paraId="5C53E0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8CC358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2F513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B4A9F04" w14:textId="77777777" w:rsidR="00000000" w:rsidRDefault="00000000">
            <w:pPr>
              <w:keepNext/>
              <w:spacing w:before="60" w:after="60"/>
              <w:jc w:val="center"/>
              <w:rPr>
                <w:rFonts w:cs="Arial"/>
                <w:b/>
                <w:sz w:val="20"/>
                <w:szCs w:val="20"/>
              </w:rPr>
            </w:pPr>
            <w:r>
              <w:rPr>
                <w:rFonts w:cs="Arial"/>
                <w:b/>
                <w:sz w:val="20"/>
                <w:szCs w:val="20"/>
              </w:rPr>
              <w:t>Unattained Low Risk</w:t>
            </w:r>
          </w:p>
          <w:p w14:paraId="08C32A9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2464118" w14:textId="77777777" w:rsidR="00000000" w:rsidRDefault="00000000">
            <w:pPr>
              <w:keepNext/>
              <w:spacing w:before="60" w:after="60"/>
              <w:jc w:val="center"/>
              <w:rPr>
                <w:rFonts w:cs="Arial"/>
                <w:b/>
                <w:sz w:val="20"/>
                <w:szCs w:val="20"/>
              </w:rPr>
            </w:pPr>
            <w:r>
              <w:rPr>
                <w:rFonts w:cs="Arial"/>
                <w:b/>
                <w:sz w:val="20"/>
                <w:szCs w:val="20"/>
              </w:rPr>
              <w:t>Unattained Moderate Risk</w:t>
            </w:r>
          </w:p>
          <w:p w14:paraId="1C3C05D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5B8036F" w14:textId="77777777" w:rsidR="00000000" w:rsidRDefault="00000000">
            <w:pPr>
              <w:keepNext/>
              <w:spacing w:before="60" w:after="60"/>
              <w:jc w:val="center"/>
              <w:rPr>
                <w:rFonts w:cs="Arial"/>
                <w:b/>
                <w:sz w:val="20"/>
                <w:szCs w:val="20"/>
              </w:rPr>
            </w:pPr>
            <w:r>
              <w:rPr>
                <w:rFonts w:cs="Arial"/>
                <w:b/>
                <w:sz w:val="20"/>
                <w:szCs w:val="20"/>
              </w:rPr>
              <w:t>Unattained High Risk</w:t>
            </w:r>
          </w:p>
          <w:p w14:paraId="3F68915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99D8709" w14:textId="77777777" w:rsidR="00000000" w:rsidRDefault="00000000">
            <w:pPr>
              <w:keepNext/>
              <w:spacing w:before="60" w:after="60"/>
              <w:jc w:val="center"/>
              <w:rPr>
                <w:rFonts w:cs="Arial"/>
                <w:b/>
                <w:sz w:val="20"/>
                <w:szCs w:val="20"/>
              </w:rPr>
            </w:pPr>
            <w:r>
              <w:rPr>
                <w:rFonts w:cs="Arial"/>
                <w:b/>
                <w:sz w:val="20"/>
                <w:szCs w:val="20"/>
              </w:rPr>
              <w:t>Unattained Critical Risk</w:t>
            </w:r>
          </w:p>
          <w:p w14:paraId="1B522D7A" w14:textId="77777777" w:rsidR="00000000" w:rsidRDefault="00000000">
            <w:pPr>
              <w:keepNext/>
              <w:spacing w:before="60" w:after="60"/>
              <w:jc w:val="center"/>
              <w:rPr>
                <w:rFonts w:cs="Arial"/>
                <w:b/>
                <w:sz w:val="20"/>
                <w:szCs w:val="20"/>
              </w:rPr>
            </w:pPr>
            <w:r>
              <w:rPr>
                <w:rFonts w:cs="Arial"/>
                <w:b/>
                <w:sz w:val="20"/>
                <w:szCs w:val="20"/>
              </w:rPr>
              <w:t>(UA Critical)</w:t>
            </w:r>
          </w:p>
        </w:tc>
      </w:tr>
      <w:tr w:rsidR="004D2B32" w14:paraId="5C582CEB" w14:textId="77777777">
        <w:tc>
          <w:tcPr>
            <w:tcW w:w="1384" w:type="dxa"/>
            <w:vAlign w:val="center"/>
          </w:tcPr>
          <w:p w14:paraId="4316292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34C52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77B83A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75FFB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DF36B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B41F4C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D2B32" w14:paraId="7C0433C0" w14:textId="77777777">
        <w:tc>
          <w:tcPr>
            <w:tcW w:w="1384" w:type="dxa"/>
            <w:vAlign w:val="center"/>
          </w:tcPr>
          <w:p w14:paraId="3DC00DC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BDEA14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6DD196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B242F4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368CB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C1EF4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42543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A5D1C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B6D3BD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89DC0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1362"/>
        <w:gridCol w:w="7040"/>
      </w:tblGrid>
      <w:tr w:rsidR="004D2B32" w14:paraId="3F5C9F2A" w14:textId="77777777">
        <w:tc>
          <w:tcPr>
            <w:tcW w:w="0" w:type="auto"/>
          </w:tcPr>
          <w:p w14:paraId="46DCE8C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DA9CB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BA04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D2B32" w14:paraId="37E36137" w14:textId="77777777">
        <w:tc>
          <w:tcPr>
            <w:tcW w:w="0" w:type="auto"/>
          </w:tcPr>
          <w:p w14:paraId="5F52F3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C5984D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149F0AA" w14:textId="77777777" w:rsidR="00000000" w:rsidRPr="00BE00C7" w:rsidRDefault="00000000" w:rsidP="00BE00C7">
            <w:pPr>
              <w:pStyle w:val="OutcomeDescription"/>
              <w:spacing w:before="120" w:after="120"/>
              <w:rPr>
                <w:rFonts w:cs="Arial"/>
                <w:lang w:eastAsia="en-NZ"/>
              </w:rPr>
            </w:pPr>
          </w:p>
        </w:tc>
        <w:tc>
          <w:tcPr>
            <w:tcW w:w="0" w:type="auto"/>
          </w:tcPr>
          <w:p w14:paraId="6CA28B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C768EF" w14:textId="77777777" w:rsidR="00000000" w:rsidRPr="00BE00C7" w:rsidRDefault="00000000" w:rsidP="00BE00C7">
            <w:pPr>
              <w:pStyle w:val="OutcomeDescription"/>
              <w:spacing w:before="120" w:after="120"/>
              <w:rPr>
                <w:rFonts w:cs="Arial"/>
                <w:lang w:eastAsia="en-NZ"/>
              </w:rPr>
            </w:pPr>
            <w:r w:rsidRPr="00BE00C7">
              <w:rPr>
                <w:rFonts w:cs="Arial"/>
                <w:lang w:eastAsia="en-NZ"/>
              </w:rPr>
              <w:t>Clutha Views Lifecare (Clutha Views) has developed policies, procedures and processes to embed and enact Te Tiriti o Waitangi in all aspects of its work. Māori were provided with equitable and effective services based on Te Tiriti o Waitangi and the principles of mana motuhake (self-determination), and this was confirmed through interviews with Māori residents and their whānau.</w:t>
            </w:r>
          </w:p>
          <w:p w14:paraId="27116FD1"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has been developed with input from cultural advisors utilising Te Whare Tapa Whā model of care, which is used for residents who identify as Māori. Residents and whānau interviewed reported that care was delivered in a culturally appropriate way, and they felt safe.</w:t>
            </w:r>
          </w:p>
          <w:p w14:paraId="62FB7A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group provides information through the clinical governance structure (the clinical advisory group) to the board. The service can access support through Health New Zealand – Te Whatu Ora, through local Māori health providers, and through connections with the marae located in Milton.</w:t>
            </w:r>
          </w:p>
          <w:p w14:paraId="64915E81" w14:textId="77777777" w:rsidR="00000000" w:rsidRPr="00BE00C7" w:rsidRDefault="00000000" w:rsidP="00BE00C7">
            <w:pPr>
              <w:pStyle w:val="OutcomeDescription"/>
              <w:spacing w:before="120" w:after="120"/>
              <w:rPr>
                <w:rFonts w:cs="Arial"/>
                <w:lang w:eastAsia="en-NZ"/>
              </w:rPr>
            </w:pPr>
          </w:p>
        </w:tc>
      </w:tr>
      <w:tr w:rsidR="004D2B32" w14:paraId="22C9A2B3" w14:textId="77777777">
        <w:tc>
          <w:tcPr>
            <w:tcW w:w="0" w:type="auto"/>
          </w:tcPr>
          <w:p w14:paraId="291559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31605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EEED4FA" w14:textId="77777777" w:rsidR="00000000" w:rsidRPr="00BE00C7" w:rsidRDefault="00000000" w:rsidP="00BE00C7">
            <w:pPr>
              <w:pStyle w:val="OutcomeDescription"/>
              <w:spacing w:before="120" w:after="120"/>
              <w:rPr>
                <w:rFonts w:cs="Arial"/>
                <w:lang w:eastAsia="en-NZ"/>
              </w:rPr>
            </w:pPr>
          </w:p>
        </w:tc>
        <w:tc>
          <w:tcPr>
            <w:tcW w:w="0" w:type="auto"/>
          </w:tcPr>
          <w:p w14:paraId="5B6D60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1335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understood the equity issues faced by Pacific peoples and can access guidance from people within the organisation around appropriate care and service for Pacific peoples. Two members of the executive team </w:t>
            </w:r>
            <w:r w:rsidRPr="00BE00C7">
              <w:rPr>
                <w:rFonts w:cs="Arial"/>
                <w:lang w:eastAsia="en-NZ"/>
              </w:rPr>
              <w:lastRenderedPageBreak/>
              <w:t>identified as Pacific. They can assist the board to meet their Ngā Paerewa obligations to Pacific peoples.</w:t>
            </w:r>
          </w:p>
          <w:p w14:paraId="11EBA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which has been developed with input from the cultural adviser. The plan utilises the Fonofale model of care, and documents support requirements for Pacific people. This model ensures that Pacific people receive an equitable service, based on culturally and spiritually safe practices. </w:t>
            </w:r>
          </w:p>
          <w:p w14:paraId="18804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who identified as Pacific at the time of the audit. Staff reported, and documentation evidenced, that cultural training had been provided.</w:t>
            </w:r>
          </w:p>
          <w:p w14:paraId="0D417246" w14:textId="77777777" w:rsidR="00000000" w:rsidRPr="00BE00C7" w:rsidRDefault="00000000" w:rsidP="00BE00C7">
            <w:pPr>
              <w:pStyle w:val="OutcomeDescription"/>
              <w:spacing w:before="120" w:after="120"/>
              <w:rPr>
                <w:rFonts w:cs="Arial"/>
                <w:lang w:eastAsia="en-NZ"/>
              </w:rPr>
            </w:pPr>
          </w:p>
        </w:tc>
      </w:tr>
      <w:tr w:rsidR="004D2B32" w14:paraId="6DCBC966" w14:textId="77777777">
        <w:tc>
          <w:tcPr>
            <w:tcW w:w="0" w:type="auto"/>
          </w:tcPr>
          <w:p w14:paraId="2C737A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52F79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95B1738" w14:textId="77777777" w:rsidR="00000000" w:rsidRPr="00BE00C7" w:rsidRDefault="00000000" w:rsidP="00BE00C7">
            <w:pPr>
              <w:pStyle w:val="OutcomeDescription"/>
              <w:spacing w:before="120" w:after="120"/>
              <w:rPr>
                <w:rFonts w:cs="Arial"/>
                <w:lang w:eastAsia="en-NZ"/>
              </w:rPr>
            </w:pPr>
          </w:p>
        </w:tc>
        <w:tc>
          <w:tcPr>
            <w:tcW w:w="0" w:type="auto"/>
          </w:tcPr>
          <w:p w14:paraId="66969C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DEC0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training on the requirements of the Code of Health and Disability Services Consumers’ Rights (the Code) and were observed supporting residents in accordance with their wishes.</w:t>
            </w:r>
          </w:p>
          <w:p w14:paraId="3A55B8F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aware of their rights.</w:t>
            </w:r>
          </w:p>
          <w:p w14:paraId="05A5BA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rights was displayed on the wall at the front entrance of the facility and included in the admission pack.</w:t>
            </w:r>
          </w:p>
          <w:p w14:paraId="41EE4B4E" w14:textId="77777777" w:rsidR="00000000" w:rsidRPr="00BE00C7" w:rsidRDefault="00000000" w:rsidP="00BE00C7">
            <w:pPr>
              <w:pStyle w:val="OutcomeDescription"/>
              <w:spacing w:before="120" w:after="120"/>
              <w:rPr>
                <w:rFonts w:cs="Arial"/>
                <w:lang w:eastAsia="en-NZ"/>
              </w:rPr>
            </w:pPr>
          </w:p>
        </w:tc>
      </w:tr>
      <w:tr w:rsidR="004D2B32" w14:paraId="0C645A00" w14:textId="77777777">
        <w:tc>
          <w:tcPr>
            <w:tcW w:w="0" w:type="auto"/>
          </w:tcPr>
          <w:p w14:paraId="3DFA34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2C1F7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5221F6" w14:textId="77777777" w:rsidR="00000000" w:rsidRPr="00BE00C7" w:rsidRDefault="00000000" w:rsidP="00BE00C7">
            <w:pPr>
              <w:pStyle w:val="OutcomeDescription"/>
              <w:spacing w:before="120" w:after="120"/>
              <w:rPr>
                <w:rFonts w:cs="Arial"/>
                <w:lang w:eastAsia="en-NZ"/>
              </w:rPr>
            </w:pPr>
          </w:p>
        </w:tc>
        <w:tc>
          <w:tcPr>
            <w:tcW w:w="0" w:type="auto"/>
          </w:tcPr>
          <w:p w14:paraId="37ED97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D758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resident and whānau interviews, or in documentation reviewed. </w:t>
            </w:r>
          </w:p>
          <w:p w14:paraId="506E5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w:t>
            </w:r>
          </w:p>
          <w:p w14:paraId="33D1DAC6"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and were understood by staff.</w:t>
            </w:r>
          </w:p>
          <w:p w14:paraId="14C2B347" w14:textId="77777777" w:rsidR="00000000" w:rsidRPr="00BE00C7" w:rsidRDefault="00000000" w:rsidP="00BE00C7">
            <w:pPr>
              <w:pStyle w:val="OutcomeDescription"/>
              <w:spacing w:before="120" w:after="120"/>
              <w:rPr>
                <w:rFonts w:cs="Arial"/>
                <w:lang w:eastAsia="en-NZ"/>
              </w:rPr>
            </w:pPr>
          </w:p>
        </w:tc>
      </w:tr>
      <w:tr w:rsidR="004D2B32" w14:paraId="58397A6B" w14:textId="77777777">
        <w:tc>
          <w:tcPr>
            <w:tcW w:w="0" w:type="auto"/>
          </w:tcPr>
          <w:p w14:paraId="00DD76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B08E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lastRenderedPageBreak/>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0AA1F64" w14:textId="77777777" w:rsidR="00000000" w:rsidRPr="00BE00C7" w:rsidRDefault="00000000" w:rsidP="00BE00C7">
            <w:pPr>
              <w:pStyle w:val="OutcomeDescription"/>
              <w:spacing w:before="120" w:after="120"/>
              <w:rPr>
                <w:rFonts w:cs="Arial"/>
                <w:lang w:eastAsia="en-NZ"/>
              </w:rPr>
            </w:pPr>
          </w:p>
        </w:tc>
        <w:tc>
          <w:tcPr>
            <w:tcW w:w="0" w:type="auto"/>
          </w:tcPr>
          <w:p w14:paraId="09831F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5AC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including residents, Enduring Power of Attorney (EPOA) and </w:t>
            </w:r>
            <w:r w:rsidRPr="00BE00C7">
              <w:rPr>
                <w:rFonts w:cs="Arial"/>
                <w:lang w:eastAsia="en-NZ"/>
              </w:rPr>
              <w:lastRenderedPageBreak/>
              <w:t>whānau, stated they did not always feel empowered to actively participate in decision-making; refer criterion 3.2.5.</w:t>
            </w:r>
          </w:p>
          <w:p w14:paraId="6487CD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Consents for agreement of care, and advance directives including resuscitation and specific consents, were sighted in the resident files. </w:t>
            </w:r>
          </w:p>
          <w:p w14:paraId="48E1A27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in the dementia unit had a documented EPOA or welfare guardian on file that had been activated by an appropriate medical practitioner.</w:t>
            </w:r>
          </w:p>
          <w:p w14:paraId="1322D2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obtaining verbal consents from residents prior to cares, and this was confirmed in resident and whānau interviews.</w:t>
            </w:r>
          </w:p>
          <w:p w14:paraId="39FDC9F4" w14:textId="77777777" w:rsidR="00000000" w:rsidRPr="00BE00C7" w:rsidRDefault="00000000" w:rsidP="00BE00C7">
            <w:pPr>
              <w:pStyle w:val="OutcomeDescription"/>
              <w:spacing w:before="120" w:after="120"/>
              <w:rPr>
                <w:rFonts w:cs="Arial"/>
                <w:lang w:eastAsia="en-NZ"/>
              </w:rPr>
            </w:pPr>
          </w:p>
        </w:tc>
      </w:tr>
      <w:tr w:rsidR="004D2B32" w14:paraId="62BB025A" w14:textId="77777777">
        <w:tc>
          <w:tcPr>
            <w:tcW w:w="0" w:type="auto"/>
          </w:tcPr>
          <w:p w14:paraId="301A40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A2847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4B3E9A" w14:textId="77777777" w:rsidR="00000000" w:rsidRPr="00BE00C7" w:rsidRDefault="00000000" w:rsidP="00BE00C7">
            <w:pPr>
              <w:pStyle w:val="OutcomeDescription"/>
              <w:spacing w:before="120" w:after="120"/>
              <w:rPr>
                <w:rFonts w:cs="Arial"/>
                <w:lang w:eastAsia="en-NZ"/>
              </w:rPr>
            </w:pPr>
          </w:p>
        </w:tc>
        <w:tc>
          <w:tcPr>
            <w:tcW w:w="0" w:type="auto"/>
          </w:tcPr>
          <w:p w14:paraId="3FADA3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58660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were in place to receive and resolve complaints that led to improvements, and these met the requirements of the Code of Health and Disability Services Consumers’ Rights (the Code). Residents and whānau were informed of the complaints process on admission, and information relating to the complaints process was displayed in the facility along with advocacy information. Residents and whānau understood their right to make a complaint and knew how to do so. Processes were in place to manage complaints from Māori using hui, appropriate tikanga, and the use of te reo Māori, as applicable.</w:t>
            </w:r>
          </w:p>
          <w:p w14:paraId="714F2575"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complaint register was maintained, and records that four complaints were received over the past year. Each complaint was clearly documented and associated documents were available to evidence that each complaint had been managed within the timeframes and requirements of the Code. Documentation sighted showed that complainants had been informed of findings following investigation.</w:t>
            </w:r>
          </w:p>
          <w:p w14:paraId="045CF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external complaints received over the past three years, which were both from the Office of the Health and Disability Commissioner (HDC). One of these complaints remains open, with HLL Group providing the requested information to HDC and awaiting a response.  </w:t>
            </w:r>
          </w:p>
          <w:p w14:paraId="7C85B6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second HDC complaint was closed by HDC in 2024, and Manatū Hauora have requested follow-up against the following aspects of the complaint:</w:t>
            </w:r>
          </w:p>
          <w:p w14:paraId="30AEA63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Criterion 2.3.2 – ensure that health care workers (including clinical managers) have the qualifications, skills, attitude and experience to provide a quality health service, and Criterion 3.2.4 – any changes to the patient’s condition are recorded in the progress notes and managed accordingly. Monitoring charts such as fluid balance charts are recorded in a timely manner. There were no issues identified in respect to these two aspects of the complaint.  </w:t>
            </w:r>
          </w:p>
          <w:p w14:paraId="372AB54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Criterion 4.2.5 – call bells are monitored and answered in a timely manner. The audit identified issues with the response times and monitoring of the call bell system, and an area of improvement has been identified (refer 4.2.5).</w:t>
            </w:r>
          </w:p>
          <w:p w14:paraId="7C79ABA6" w14:textId="77777777" w:rsidR="00000000" w:rsidRPr="00BE00C7" w:rsidRDefault="00000000" w:rsidP="00BE00C7">
            <w:pPr>
              <w:pStyle w:val="OutcomeDescription"/>
              <w:spacing w:before="120" w:after="120"/>
              <w:rPr>
                <w:rFonts w:cs="Arial"/>
                <w:lang w:eastAsia="en-NZ"/>
              </w:rPr>
            </w:pPr>
          </w:p>
        </w:tc>
      </w:tr>
      <w:tr w:rsidR="004D2B32" w14:paraId="6385673B" w14:textId="77777777">
        <w:tc>
          <w:tcPr>
            <w:tcW w:w="0" w:type="auto"/>
          </w:tcPr>
          <w:p w14:paraId="3B562B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3BEBB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7321ABB" w14:textId="77777777" w:rsidR="00000000" w:rsidRPr="00BE00C7" w:rsidRDefault="00000000" w:rsidP="00BE00C7">
            <w:pPr>
              <w:pStyle w:val="OutcomeDescription"/>
              <w:spacing w:before="120" w:after="120"/>
              <w:rPr>
                <w:rFonts w:cs="Arial"/>
                <w:lang w:eastAsia="en-NZ"/>
              </w:rPr>
            </w:pPr>
          </w:p>
        </w:tc>
        <w:tc>
          <w:tcPr>
            <w:tcW w:w="0" w:type="auto"/>
          </w:tcPr>
          <w:p w14:paraId="58387E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4B9E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governing body assumes accountability for delivering a high-quality service through supporting meaningful inclusion of Māori and Pasifika in governance groups, honouring Te Tiriti o Waitangi and being focused on improving outcomes for Māori, Pacific peoples and tāngata whaikaha. Heritage has a legal team who monitor changes to legislative and clinical requirements and have access to domestic and international legal advice.</w:t>
            </w:r>
          </w:p>
          <w:p w14:paraId="11FDAE7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also utilises the skills of staff and senior managers and supports them in making sure barriers to equitable service delivery are surmounted.</w:t>
            </w:r>
          </w:p>
          <w:p w14:paraId="4C1B66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has a strategic plan in place which outlines the organisation’s structure, purpose, values, scope, direction, performance and goals. The plan incorporates the Ngā Paerewa Standard in relation to antimicrobial stewardship (AMS) and restraint elimination across ethnicity. Ethnicity data was collected to support equitable service delivery. Each facility has its own business plan for its particular services and the business plan for Clutha </w:t>
            </w:r>
            <w:r w:rsidRPr="00BE00C7">
              <w:rPr>
                <w:rFonts w:cs="Arial"/>
                <w:lang w:eastAsia="en-NZ"/>
              </w:rPr>
              <w:lastRenderedPageBreak/>
              <w:t xml:space="preserve">Views sighted; this included annual goals and quarterly reporting on progress to the Heritage senior leadership. </w:t>
            </w:r>
          </w:p>
          <w:p w14:paraId="523415FE"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commits to quality and risk via policy, processes and through feedback mechanisms. This includes receiving regular information from each of its care facilities. The HLL reporting structure relies on information from its strategic plan to inform facility-based business plans. Internal data collection (eg, adverse events, infections, audits and complaints) are aggregated and corrective action (at facility and organisation level as applicable) actioned. Feedback is to the clinical governance group and to the board. Changes were made to business and/or the strategic plans as required.</w:t>
            </w:r>
          </w:p>
          <w:p w14:paraId="333CA14B"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were in place for all positions, including senior positions. These specify the requirements for the position and key performance indicators (KPIs) to assess performance. Heritage Lifecare uses an interview panel for senior managers. Recruiting and retaining people is a focus for HLL, it looks for the ‘right people in the right place’ and aims to keep them in place for a longer period to promote stability. The organisation also use feedback from cultural advisers, including the Māori Network Komiti, to inform workforce planning, sensitive and appropriate collection and use of ethnicity data, and how it can support its ethnically diverse staff.</w:t>
            </w:r>
          </w:p>
          <w:p w14:paraId="380482ED"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supports people to participate locally through resident meetings, and through satisfaction surveys. There is also a staff satisfaction survey for a wider view of how residents and staff are being supported. Results of both surveys were viewed, and information gathered from the results has been used to improve the service.</w:t>
            </w:r>
          </w:p>
          <w:p w14:paraId="201F9F48"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of Heritage have undertaken the e-learning education on Te Tiriti, health equity and cultural safety provided by Manatū Hauora.</w:t>
            </w:r>
          </w:p>
          <w:p w14:paraId="782E57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Clutha Views holds contracts with Te Whatu Ora for age-related residential care (ARRC) services at rest home and hospital level, and secure dementia care, and short-term (respite) care. The service also holds a long-term support – chronic health conditions (LTS-CHC) contract. Clutha Views has a total capacity to provide support for up to 68 residents, with 49 dual purpose beds and 19 secure dementia beds.  On the day of the audit, 14 residents were receiving rest home care, 22 residents were receiving hospital level care and 15 secure dementia care. No residents were receiving care under the LTS-CHC contract or the ARRC respite contract on the day of the audit. </w:t>
            </w:r>
            <w:r w:rsidRPr="00BE00C7">
              <w:rPr>
                <w:rFonts w:cs="Arial"/>
                <w:lang w:eastAsia="en-NZ"/>
              </w:rPr>
              <w:lastRenderedPageBreak/>
              <w:t>The facility had a total of 17 vacancies, four in the dementia unit, and the remaining 13 available for either rest home or hospital level care.</w:t>
            </w:r>
          </w:p>
          <w:p w14:paraId="24D39199" w14:textId="77777777" w:rsidR="00000000" w:rsidRPr="00BE00C7" w:rsidRDefault="00000000" w:rsidP="00BE00C7">
            <w:pPr>
              <w:pStyle w:val="OutcomeDescription"/>
              <w:spacing w:before="120" w:after="120"/>
              <w:rPr>
                <w:rFonts w:cs="Arial"/>
                <w:lang w:eastAsia="en-NZ"/>
              </w:rPr>
            </w:pPr>
          </w:p>
        </w:tc>
      </w:tr>
      <w:tr w:rsidR="004D2B32" w14:paraId="3CB55E34" w14:textId="77777777">
        <w:tc>
          <w:tcPr>
            <w:tcW w:w="0" w:type="auto"/>
          </w:tcPr>
          <w:p w14:paraId="0FD63B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BBE4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B49BE06" w14:textId="77777777" w:rsidR="00000000" w:rsidRPr="00BE00C7" w:rsidRDefault="00000000" w:rsidP="00BE00C7">
            <w:pPr>
              <w:pStyle w:val="OutcomeDescription"/>
              <w:spacing w:before="120" w:after="120"/>
              <w:rPr>
                <w:rFonts w:cs="Arial"/>
                <w:lang w:eastAsia="en-NZ"/>
              </w:rPr>
            </w:pPr>
          </w:p>
        </w:tc>
        <w:tc>
          <w:tcPr>
            <w:tcW w:w="0" w:type="auto"/>
          </w:tcPr>
          <w:p w14:paraId="670BBD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820D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The care home and village manager (CHVM) and regional clinical advisor (RCA) understood the processes for the identification, documentation, monitoring, review and reporting of risks, including health and safety risks, and development of mitigation strategies. This includes the management of incidents/accidents/hazards, complaints, audit activities, a regular resident satisfaction survey, policies and procedures, clinical incidents including falls, pressure injuries, infections, and wounds. Relevant corrective actions were developed and implemented to address any shortfalls; these include ethnicity information to allow for any inequality to be identified and addressed. Progress against quality outcomes was evaluated. Quality data was communicated and discussed, and this was confirmed by staff at interview.</w:t>
            </w:r>
          </w:p>
          <w:p w14:paraId="404B0B9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 forms reviewed showed these were fully completed, incidents were investigated, and action plans developed. Neurological observations had been documented for residents who had an unwitnessed or witnessed fall. Ethnicity information was collected and analysed as part of adverse event reporting.</w:t>
            </w:r>
          </w:p>
          <w:p w14:paraId="1A092B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RCA understood and have complied with essential notification reporting requirements. Section 31 notifications to HealthCERT (Manatū Hauora) since the last audit including the notification for the change of CHVM. The service was aware of reporting requirements to the Health Quality and Safety Commission/Te Tāhū Hauora (Te Tāhū Hauora) for all Severity Assessment Code (SAC) reporting of SAC1 and SAC2 incidents as well as pressure injury at stage 3 and above. Staff interviewed confirmed they had processes in place to do this should the need arise.</w:t>
            </w:r>
          </w:p>
          <w:p w14:paraId="6CE21F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reported that there have been no police investigations, coroner’s inquests, issues-based audits or employment disputes since the previous audit.</w:t>
            </w:r>
          </w:p>
          <w:p w14:paraId="39EFB9BD" w14:textId="77777777" w:rsidR="00000000" w:rsidRPr="00BE00C7" w:rsidRDefault="00000000" w:rsidP="00BE00C7">
            <w:pPr>
              <w:pStyle w:val="OutcomeDescription"/>
              <w:spacing w:before="120" w:after="120"/>
              <w:rPr>
                <w:rFonts w:cs="Arial"/>
                <w:lang w:eastAsia="en-NZ"/>
              </w:rPr>
            </w:pPr>
          </w:p>
        </w:tc>
      </w:tr>
      <w:tr w:rsidR="004D2B32" w14:paraId="7F8FFE95" w14:textId="77777777">
        <w:tc>
          <w:tcPr>
            <w:tcW w:w="0" w:type="auto"/>
          </w:tcPr>
          <w:p w14:paraId="14EBC2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39F67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5465A2F" w14:textId="77777777" w:rsidR="00000000" w:rsidRPr="00BE00C7" w:rsidRDefault="00000000" w:rsidP="00BE00C7">
            <w:pPr>
              <w:pStyle w:val="OutcomeDescription"/>
              <w:spacing w:before="120" w:after="120"/>
              <w:rPr>
                <w:rFonts w:cs="Arial"/>
                <w:lang w:eastAsia="en-NZ"/>
              </w:rPr>
            </w:pPr>
          </w:p>
        </w:tc>
        <w:tc>
          <w:tcPr>
            <w:tcW w:w="0" w:type="auto"/>
          </w:tcPr>
          <w:p w14:paraId="76FE63F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4DB8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using a staffing matrix that determines staffing levels based on occupancy rates and the support requirements of residents. A multidisciplinary team (MDT) approach ensures all aspects of service delivery are met. The clinical services manager (CSM) position at Clutha Views was vacant on the day of the audit, due to the CSM leaving in February. A recruitment process was underway and a preferred candidate with aged care experience identified, who will start in April. In the interim, the RCA was providing clinical oversight of the nursing team, until the new CSM commences in their role.</w:t>
            </w:r>
          </w:p>
          <w:p w14:paraId="78B08719" w14:textId="77777777" w:rsidR="00000000" w:rsidRPr="00BE00C7" w:rsidRDefault="00000000" w:rsidP="00BE00C7">
            <w:pPr>
              <w:pStyle w:val="OutcomeDescription"/>
              <w:spacing w:before="120" w:after="120"/>
              <w:rPr>
                <w:rFonts w:cs="Arial"/>
                <w:lang w:eastAsia="en-NZ"/>
              </w:rPr>
            </w:pPr>
            <w:r w:rsidRPr="00BE00C7">
              <w:rPr>
                <w:rFonts w:cs="Arial"/>
                <w:lang w:eastAsia="en-NZ"/>
              </w:rPr>
              <w:t>Those providing care reported there were adequate staff to complete the work allocated to them. Residents and whānau interviewed supported this. At least one staff member on duty has a current first aid certificate and there is 24/7 RN coverage in the hospital. Staff reported that good access to advice was available when needed.</w:t>
            </w:r>
          </w:p>
          <w:p w14:paraId="273BB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A register of annual practicing certificates is maintained for nursing and other health professionals who are involved in the service. </w:t>
            </w:r>
          </w:p>
          <w:p w14:paraId="38766AC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for staff is planned on an annual basis, with a training matrix detailing mandatory training requirements for each role. Related competencies were assessed and supported equitable service delivery. Training records reviewed showed that not all staff had completed the required training and competency assessments, specific to their role. This area of improvement from the previous audit remains open (refer criterion 2.3.2). Staff felt well supported with development opportunities. Care staff have access to a New Zealand Qualification Authority (NZQA) education programme to meet the requirements of the provider’s agreements with Te Whatu Ora. Review of staff records confirmed staff who work in the secure dementia care area have either completed or commenced the required dementia care training within an appropriate timeframe.</w:t>
            </w:r>
          </w:p>
          <w:p w14:paraId="31EA2B68" w14:textId="77777777" w:rsidR="00000000" w:rsidRPr="00BE00C7" w:rsidRDefault="00000000" w:rsidP="00BE00C7">
            <w:pPr>
              <w:pStyle w:val="OutcomeDescription"/>
              <w:spacing w:before="120" w:after="120"/>
              <w:rPr>
                <w:rFonts w:cs="Arial"/>
                <w:lang w:eastAsia="en-NZ"/>
              </w:rPr>
            </w:pPr>
          </w:p>
        </w:tc>
      </w:tr>
      <w:tr w:rsidR="004D2B32" w14:paraId="2C9905B0" w14:textId="77777777">
        <w:tc>
          <w:tcPr>
            <w:tcW w:w="0" w:type="auto"/>
          </w:tcPr>
          <w:p w14:paraId="522697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7FE6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EABB151" w14:textId="77777777" w:rsidR="00000000" w:rsidRPr="00BE00C7" w:rsidRDefault="00000000" w:rsidP="00BE00C7">
            <w:pPr>
              <w:pStyle w:val="OutcomeDescription"/>
              <w:spacing w:before="120" w:after="120"/>
              <w:rPr>
                <w:rFonts w:cs="Arial"/>
                <w:lang w:eastAsia="en-NZ"/>
              </w:rPr>
            </w:pPr>
          </w:p>
        </w:tc>
        <w:tc>
          <w:tcPr>
            <w:tcW w:w="0" w:type="auto"/>
          </w:tcPr>
          <w:p w14:paraId="3BBE2E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0C54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w:t>
            </w:r>
          </w:p>
          <w:p w14:paraId="160804B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4CA9E3E7" w14:textId="77777777" w:rsidR="00000000" w:rsidRPr="00BE00C7" w:rsidRDefault="00000000" w:rsidP="00BE00C7">
            <w:pPr>
              <w:pStyle w:val="OutcomeDescription"/>
              <w:spacing w:before="120" w:after="120"/>
              <w:rPr>
                <w:rFonts w:cs="Arial"/>
                <w:lang w:eastAsia="en-NZ"/>
              </w:rPr>
            </w:pPr>
          </w:p>
        </w:tc>
      </w:tr>
      <w:tr w:rsidR="004D2B32" w14:paraId="54319593" w14:textId="77777777">
        <w:tc>
          <w:tcPr>
            <w:tcW w:w="0" w:type="auto"/>
          </w:tcPr>
          <w:p w14:paraId="057BF2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F15CF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2CF5371" w14:textId="77777777" w:rsidR="00000000" w:rsidRPr="00BE00C7" w:rsidRDefault="00000000" w:rsidP="00BE00C7">
            <w:pPr>
              <w:pStyle w:val="OutcomeDescription"/>
              <w:spacing w:before="120" w:after="120"/>
              <w:rPr>
                <w:rFonts w:cs="Arial"/>
                <w:lang w:eastAsia="en-NZ"/>
              </w:rPr>
            </w:pPr>
          </w:p>
        </w:tc>
        <w:tc>
          <w:tcPr>
            <w:tcW w:w="0" w:type="auto"/>
          </w:tcPr>
          <w:p w14:paraId="66C0B82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A652F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their whānau to support wellbeing. Seven resident files were reviewed: one resident receiving rest home care, two receiving hospital level care, and four receiving dementia care in the secure unit. The files reviewed verified that a care plan is developed by a registered nurse following assessment, including consideration of the person’s lived experience, and considers wider service integration, where required. Resident cultural and spiritual needs were assessed by the diversional therapist and physical needs were assessed by registered nurses, and both were documented in the care plan. Examples of specific cultural care plans for Māori and Pacific residents were sighted and resident interviews confirmed Māori residents were very happy with the care received, especially in relation to staff knowledge of tikanga.  Early warning signs and risks, with a focus on prevention or escalation for appropriate interventions, were recorded.  </w:t>
            </w:r>
          </w:p>
          <w:p w14:paraId="66E49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medical or nurse practitioner assessment met contractual and policy requirements. However, the sample of files reviewed confirmed that not all initial assessments, interim care plans, interRAI assessments and long-term care plans had been completed within the contractually required timeframes, and the corrective action raised at the last audit remains open. Refer criterion 3.2.1. </w:t>
            </w:r>
          </w:p>
          <w:p w14:paraId="69F16C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w:t>
            </w:r>
            <w:r w:rsidRPr="00BE00C7">
              <w:rPr>
                <w:rFonts w:cs="Arial"/>
                <w:lang w:eastAsia="en-NZ"/>
              </w:rPr>
              <w:lastRenderedPageBreak/>
              <w:t xml:space="preserve">planned care, including the use of a range of outcome measures. Short-term care plans were developed, if necessary, and examples were sighted for infections and wound care. </w:t>
            </w:r>
          </w:p>
          <w:p w14:paraId="6DDBF5BD"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 of care occurred daily, and needs and risk assessments were an ongoing process. Progress notes sighted evidenced registered nurses document changes in the resident’s condition daily. The nurse practitioner interviewed stated nurses follow instructions for resident monitoring and this was consistently recorded, including the monitoring of fluid balance where appropriate. Falls management was documented and files reviewed confirmed neurological observations were completed following unwitnessed falls; the corrective action raised at the last audit under 3.2.4 is now closed.</w:t>
            </w:r>
          </w:p>
          <w:p w14:paraId="2A6F36F1"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six-monthly interRAI assessment had occurred in the files reviewed. However, the long-term care plan was not always updated in a timely manner to reflect the resident’s current needs and interviews indicated that collaboration with the resident and their EPOA or whānau was not always occurring. Short-term care plans were not always evaluated and closed when the problem had resolved; refer criterion 3.2.5.</w:t>
            </w:r>
          </w:p>
          <w:p w14:paraId="1409BA02" w14:textId="72603464" w:rsidR="00000000" w:rsidRPr="00BE00C7" w:rsidRDefault="00000000" w:rsidP="00214AD2">
            <w:pPr>
              <w:pStyle w:val="OutcomeDescription"/>
              <w:spacing w:before="120" w:after="120"/>
              <w:rPr>
                <w:rFonts w:cs="Arial"/>
                <w:lang w:eastAsia="en-NZ"/>
              </w:rPr>
            </w:pPr>
            <w:r w:rsidRPr="00BE00C7">
              <w:rPr>
                <w:rFonts w:cs="Arial"/>
                <w:lang w:eastAsia="en-NZ"/>
              </w:rPr>
              <w:t xml:space="preserve">The nurse practitioner interviewed stated the standard of care was satisfactory. Residents interviewed, including Māori, were happy with the care provided. Whānau and EPOA interviewed stated they would like more involvement in care planning and communication from staff when their family members </w:t>
            </w:r>
            <w:r w:rsidR="00B618AA" w:rsidRPr="00BE00C7">
              <w:rPr>
                <w:rFonts w:cs="Arial"/>
                <w:lang w:eastAsia="en-NZ"/>
              </w:rPr>
              <w:t>need</w:t>
            </w:r>
            <w:r w:rsidRPr="00BE00C7">
              <w:rPr>
                <w:rFonts w:cs="Arial"/>
                <w:lang w:eastAsia="en-NZ"/>
              </w:rPr>
              <w:t xml:space="preserve"> change; the corrective action raised at the last audit remains open, refer criterion 3.2.5.</w:t>
            </w:r>
          </w:p>
        </w:tc>
      </w:tr>
      <w:tr w:rsidR="004D2B32" w14:paraId="2DE09D36" w14:textId="77777777">
        <w:tc>
          <w:tcPr>
            <w:tcW w:w="0" w:type="auto"/>
          </w:tcPr>
          <w:p w14:paraId="0D4400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4DD58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AA3CFBE" w14:textId="77777777" w:rsidR="00000000" w:rsidRPr="00BE00C7" w:rsidRDefault="00000000" w:rsidP="00BE00C7">
            <w:pPr>
              <w:pStyle w:val="OutcomeDescription"/>
              <w:spacing w:before="120" w:after="120"/>
              <w:rPr>
                <w:rFonts w:cs="Arial"/>
                <w:lang w:eastAsia="en-NZ"/>
              </w:rPr>
            </w:pPr>
          </w:p>
        </w:tc>
        <w:tc>
          <w:tcPr>
            <w:tcW w:w="0" w:type="auto"/>
          </w:tcPr>
          <w:p w14:paraId="396572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F041F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dementia unit had their activity needs assessed and documented by the diversional therapist. This included a personal profile and completion of a leisure/activities plan which was individualised for each resident. In four of four files reviewed, a 24-hour care plan was documented that recorded the residents’ previous lifestyle patterns and reflected the residents’ daily routines.  The corrective action raised at the last certification audit under criterion 3.3.1. is now closed.</w:t>
            </w:r>
          </w:p>
          <w:p w14:paraId="331E5646" w14:textId="77777777" w:rsidR="00000000" w:rsidRPr="00BE00C7" w:rsidRDefault="00000000" w:rsidP="00BE00C7">
            <w:pPr>
              <w:pStyle w:val="OutcomeDescription"/>
              <w:spacing w:before="120" w:after="120"/>
              <w:rPr>
                <w:rFonts w:cs="Arial"/>
                <w:lang w:eastAsia="en-NZ"/>
              </w:rPr>
            </w:pPr>
          </w:p>
        </w:tc>
      </w:tr>
      <w:tr w:rsidR="004D2B32" w14:paraId="7E6860F4" w14:textId="77777777">
        <w:tc>
          <w:tcPr>
            <w:tcW w:w="0" w:type="auto"/>
          </w:tcPr>
          <w:p w14:paraId="1CFBFC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A0089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1A64371" w14:textId="77777777" w:rsidR="00000000" w:rsidRPr="00BE00C7" w:rsidRDefault="00000000" w:rsidP="00BE00C7">
            <w:pPr>
              <w:pStyle w:val="OutcomeDescription"/>
              <w:spacing w:before="120" w:after="120"/>
              <w:rPr>
                <w:rFonts w:cs="Arial"/>
                <w:lang w:eastAsia="en-NZ"/>
              </w:rPr>
            </w:pPr>
          </w:p>
        </w:tc>
        <w:tc>
          <w:tcPr>
            <w:tcW w:w="0" w:type="auto"/>
          </w:tcPr>
          <w:p w14:paraId="72761C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2285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1F7A3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were stored safely, including controlled drugs. The required stock checks had been completed. Medicines stored were within the recommended temperature range. </w:t>
            </w:r>
          </w:p>
          <w:p w14:paraId="2F6A50EB"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Medicine-related allergies or sensitivities were recorded, and any adverse events responded to appropriately.  The required three-monthly general or nurse practitioner review was consistently recorded on the medicine chart.</w:t>
            </w:r>
          </w:p>
          <w:p w14:paraId="1CAF03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w:t>
            </w:r>
          </w:p>
          <w:p w14:paraId="0121D9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residents were self-administering medications at the time of audit. The registered nurse described how this would be facilitated and managed safely, should the need arise. Residents in the dementia unit do not self-administer medications.  </w:t>
            </w:r>
          </w:p>
          <w:p w14:paraId="0AABDDCB" w14:textId="77777777" w:rsidR="00000000" w:rsidRPr="00BE00C7" w:rsidRDefault="00000000" w:rsidP="00BE00C7">
            <w:pPr>
              <w:pStyle w:val="OutcomeDescription"/>
              <w:spacing w:before="120" w:after="120"/>
              <w:rPr>
                <w:rFonts w:cs="Arial"/>
                <w:lang w:eastAsia="en-NZ"/>
              </w:rPr>
            </w:pPr>
          </w:p>
        </w:tc>
      </w:tr>
      <w:tr w:rsidR="004D2B32" w14:paraId="67C7A5CF" w14:textId="77777777">
        <w:tc>
          <w:tcPr>
            <w:tcW w:w="0" w:type="auto"/>
          </w:tcPr>
          <w:p w14:paraId="055C5C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35293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1F13711" w14:textId="77777777" w:rsidR="00000000" w:rsidRPr="00BE00C7" w:rsidRDefault="00000000" w:rsidP="00BE00C7">
            <w:pPr>
              <w:pStyle w:val="OutcomeDescription"/>
              <w:spacing w:before="120" w:after="120"/>
              <w:rPr>
                <w:rFonts w:cs="Arial"/>
                <w:lang w:eastAsia="en-NZ"/>
              </w:rPr>
            </w:pPr>
          </w:p>
        </w:tc>
        <w:tc>
          <w:tcPr>
            <w:tcW w:w="0" w:type="auto"/>
          </w:tcPr>
          <w:p w14:paraId="2DDA6F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F08F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preferences, dietary needs, intolerances, allergies and cultural preferences of those using the service. Evidence of resident satisfaction with meals was verified from residents and whānau interviews, satisfaction surveys and resident meeting minutes. Hot and cold drinks together with sandwiches and snacks are available 24 hours a day in the dementia unit.</w:t>
            </w:r>
          </w:p>
          <w:p w14:paraId="3AB618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with an expiry date of 21 February 2026.</w:t>
            </w:r>
          </w:p>
          <w:p w14:paraId="76C4679B" w14:textId="77777777" w:rsidR="00000000" w:rsidRPr="00BE00C7" w:rsidRDefault="00000000" w:rsidP="00BE00C7">
            <w:pPr>
              <w:pStyle w:val="OutcomeDescription"/>
              <w:spacing w:before="120" w:after="120"/>
              <w:rPr>
                <w:rFonts w:cs="Arial"/>
                <w:lang w:eastAsia="en-NZ"/>
              </w:rPr>
            </w:pPr>
          </w:p>
        </w:tc>
      </w:tr>
      <w:tr w:rsidR="004D2B32" w14:paraId="6DC5A0F0" w14:textId="77777777">
        <w:tc>
          <w:tcPr>
            <w:tcW w:w="0" w:type="auto"/>
          </w:tcPr>
          <w:p w14:paraId="7130E3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BA0BF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0D27A02" w14:textId="77777777" w:rsidR="00000000" w:rsidRPr="00BE00C7" w:rsidRDefault="00000000" w:rsidP="00BE00C7">
            <w:pPr>
              <w:pStyle w:val="OutcomeDescription"/>
              <w:spacing w:before="120" w:after="120"/>
              <w:rPr>
                <w:rFonts w:cs="Arial"/>
                <w:lang w:eastAsia="en-NZ"/>
              </w:rPr>
            </w:pPr>
          </w:p>
        </w:tc>
        <w:tc>
          <w:tcPr>
            <w:tcW w:w="0" w:type="auto"/>
          </w:tcPr>
          <w:p w14:paraId="059F91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8FF9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with coordination between services and in collaboration with the resident and </w:t>
            </w:r>
            <w:r w:rsidRPr="00BE00C7">
              <w:rPr>
                <w:rFonts w:cs="Arial"/>
                <w:lang w:eastAsia="en-NZ"/>
              </w:rPr>
              <w:lastRenderedPageBreak/>
              <w:t>EPOA/whānau. Risks and current support needs were identified and managed. Planning was documented in progress notes and on an aged care transfer form.  Whānau reported being kept well informed during the transfer of their relative.</w:t>
            </w:r>
          </w:p>
          <w:p w14:paraId="0F73EFDD" w14:textId="77777777" w:rsidR="00000000" w:rsidRPr="00BE00C7" w:rsidRDefault="00000000" w:rsidP="00BE00C7">
            <w:pPr>
              <w:pStyle w:val="OutcomeDescription"/>
              <w:spacing w:before="120" w:after="120"/>
              <w:rPr>
                <w:rFonts w:cs="Arial"/>
                <w:lang w:eastAsia="en-NZ"/>
              </w:rPr>
            </w:pPr>
          </w:p>
        </w:tc>
      </w:tr>
      <w:tr w:rsidR="004D2B32" w14:paraId="5960404F" w14:textId="77777777">
        <w:tc>
          <w:tcPr>
            <w:tcW w:w="0" w:type="auto"/>
          </w:tcPr>
          <w:p w14:paraId="51BC05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51CC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49B0F1" w14:textId="77777777" w:rsidR="00000000" w:rsidRPr="00BE00C7" w:rsidRDefault="00000000" w:rsidP="00BE00C7">
            <w:pPr>
              <w:pStyle w:val="OutcomeDescription"/>
              <w:spacing w:before="120" w:after="120"/>
              <w:rPr>
                <w:rFonts w:cs="Arial"/>
                <w:lang w:eastAsia="en-NZ"/>
              </w:rPr>
            </w:pPr>
          </w:p>
        </w:tc>
        <w:tc>
          <w:tcPr>
            <w:tcW w:w="0" w:type="auto"/>
          </w:tcPr>
          <w:p w14:paraId="2215C8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CBAD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comply with relevant legislation. This included a current Building Warrant of Fitness, and electrical and biomedical testing.  </w:t>
            </w:r>
          </w:p>
          <w:p w14:paraId="78CC1E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49C5AE3B"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2024, a partial provisional audit was undertaken when the dementia unit’s capacity was increased by five beds. There was a corrective action from this audit as the code of compliance certificate had not been issued for the building works undertaken. The building works, code of compliance certificate and the producer statement were all sighted and the action is now closed.</w:t>
            </w:r>
          </w:p>
          <w:p w14:paraId="3FB9E3AD" w14:textId="77777777" w:rsidR="00000000" w:rsidRPr="00BE00C7" w:rsidRDefault="00000000" w:rsidP="00BE00C7">
            <w:pPr>
              <w:pStyle w:val="OutcomeDescription"/>
              <w:spacing w:before="120" w:after="120"/>
              <w:rPr>
                <w:rFonts w:cs="Arial"/>
                <w:lang w:eastAsia="en-NZ"/>
              </w:rPr>
            </w:pPr>
          </w:p>
        </w:tc>
      </w:tr>
      <w:tr w:rsidR="004D2B32" w14:paraId="2D033127" w14:textId="77777777">
        <w:tc>
          <w:tcPr>
            <w:tcW w:w="0" w:type="auto"/>
          </w:tcPr>
          <w:p w14:paraId="5C8FF6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9E066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0BEE722" w14:textId="77777777" w:rsidR="00000000" w:rsidRPr="00BE00C7" w:rsidRDefault="00000000" w:rsidP="00BE00C7">
            <w:pPr>
              <w:pStyle w:val="OutcomeDescription"/>
              <w:spacing w:before="120" w:after="120"/>
              <w:rPr>
                <w:rFonts w:cs="Arial"/>
                <w:lang w:eastAsia="en-NZ"/>
              </w:rPr>
            </w:pPr>
          </w:p>
        </w:tc>
        <w:tc>
          <w:tcPr>
            <w:tcW w:w="0" w:type="auto"/>
          </w:tcPr>
          <w:p w14:paraId="46B5ED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C5D76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building since the previous audit. A previous area of improvement regarding call bell response times was reviewed as part of the onsite audit and remains open. Refer to criterion 4.2.5.</w:t>
            </w:r>
          </w:p>
          <w:p w14:paraId="389E53D7" w14:textId="77777777" w:rsidR="00000000" w:rsidRPr="00BE00C7" w:rsidRDefault="00000000" w:rsidP="00BE00C7">
            <w:pPr>
              <w:pStyle w:val="OutcomeDescription"/>
              <w:spacing w:before="120" w:after="120"/>
              <w:rPr>
                <w:rFonts w:cs="Arial"/>
                <w:lang w:eastAsia="en-NZ"/>
              </w:rPr>
            </w:pPr>
          </w:p>
        </w:tc>
      </w:tr>
      <w:tr w:rsidR="004D2B32" w14:paraId="4E96C475" w14:textId="77777777">
        <w:tc>
          <w:tcPr>
            <w:tcW w:w="0" w:type="auto"/>
          </w:tcPr>
          <w:p w14:paraId="6E817B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859E8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2FD351" w14:textId="77777777" w:rsidR="00000000" w:rsidRPr="00BE00C7" w:rsidRDefault="00000000" w:rsidP="00BE00C7">
            <w:pPr>
              <w:pStyle w:val="OutcomeDescription"/>
              <w:spacing w:before="120" w:after="120"/>
              <w:rPr>
                <w:rFonts w:cs="Arial"/>
                <w:lang w:eastAsia="en-NZ"/>
              </w:rPr>
            </w:pPr>
          </w:p>
        </w:tc>
        <w:tc>
          <w:tcPr>
            <w:tcW w:w="0" w:type="auto"/>
          </w:tcPr>
          <w:p w14:paraId="41CA8B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6380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who is a registered nurse, is responsible for overseeing and implementing the IP programme, which has been developed by those with IP expertise and approved by the Heritage governing body. The programme was linked to the quality improvement programme and was reviewed and reported on annually in collaboration with the Heritage national lead for infection prevention. This was confirmed in interview with the IPCC and Heritage national lead for infection prevention and in review of the programme documentation. </w:t>
            </w:r>
          </w:p>
          <w:p w14:paraId="0E46E1E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Staff described ongoing education related to use of personal protective equipment (PPE), hand hygiene and infection precautions; education records showed 25 caregivers had completed the required education. The remainder were being followed up (refer criterion 2.3.2).</w:t>
            </w:r>
          </w:p>
          <w:p w14:paraId="50556ED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were educated about infection prevention in a manner that met their needs.</w:t>
            </w:r>
          </w:p>
          <w:p w14:paraId="788983EB" w14:textId="77777777" w:rsidR="00000000" w:rsidRPr="00BE00C7" w:rsidRDefault="00000000" w:rsidP="00BE00C7">
            <w:pPr>
              <w:pStyle w:val="OutcomeDescription"/>
              <w:spacing w:before="120" w:after="120"/>
              <w:rPr>
                <w:rFonts w:cs="Arial"/>
                <w:lang w:eastAsia="en-NZ"/>
              </w:rPr>
            </w:pPr>
          </w:p>
        </w:tc>
      </w:tr>
      <w:tr w:rsidR="004D2B32" w14:paraId="5E5247FB" w14:textId="77777777">
        <w:tc>
          <w:tcPr>
            <w:tcW w:w="0" w:type="auto"/>
          </w:tcPr>
          <w:p w14:paraId="08FBA0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84A6E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6CD11A" w14:textId="77777777" w:rsidR="00000000" w:rsidRPr="00BE00C7" w:rsidRDefault="00000000" w:rsidP="00BE00C7">
            <w:pPr>
              <w:pStyle w:val="OutcomeDescription"/>
              <w:spacing w:before="120" w:after="120"/>
              <w:rPr>
                <w:rFonts w:cs="Arial"/>
                <w:lang w:eastAsia="en-NZ"/>
              </w:rPr>
            </w:pPr>
          </w:p>
        </w:tc>
        <w:tc>
          <w:tcPr>
            <w:tcW w:w="0" w:type="auto"/>
          </w:tcPr>
          <w:p w14:paraId="5B9E86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A9DE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w:t>
            </w:r>
          </w:p>
          <w:p w14:paraId="6ED24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used standardised definitions. Monthly surveillance data included ethnicity, and was collated and analysed to identify any trends, possible causative factors and required actions. Results of the surveillance programme were reported to governance and shared with staff.  </w:t>
            </w:r>
          </w:p>
          <w:p w14:paraId="154A4C00" w14:textId="77777777" w:rsidR="00000000" w:rsidRPr="00BE00C7" w:rsidRDefault="00000000" w:rsidP="00BE00C7">
            <w:pPr>
              <w:pStyle w:val="OutcomeDescription"/>
              <w:spacing w:before="120" w:after="120"/>
              <w:rPr>
                <w:rFonts w:cs="Arial"/>
                <w:lang w:eastAsia="en-NZ"/>
              </w:rPr>
            </w:pPr>
          </w:p>
        </w:tc>
      </w:tr>
      <w:tr w:rsidR="004D2B32" w14:paraId="50028B13" w14:textId="77777777">
        <w:tc>
          <w:tcPr>
            <w:tcW w:w="0" w:type="auto"/>
          </w:tcPr>
          <w:p w14:paraId="15A059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3A6A8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9EC4B4" w14:textId="77777777" w:rsidR="00000000" w:rsidRPr="00BE00C7" w:rsidRDefault="00000000" w:rsidP="00BE00C7">
            <w:pPr>
              <w:pStyle w:val="OutcomeDescription"/>
              <w:spacing w:before="120" w:after="120"/>
              <w:rPr>
                <w:rFonts w:cs="Arial"/>
                <w:lang w:eastAsia="en-NZ"/>
              </w:rPr>
            </w:pPr>
          </w:p>
        </w:tc>
        <w:tc>
          <w:tcPr>
            <w:tcW w:w="0" w:type="auto"/>
          </w:tcPr>
          <w:p w14:paraId="44ED26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E6F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w:t>
            </w:r>
          </w:p>
          <w:p w14:paraId="30B9BB9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was no restraint in use, and this had been the case since the previous audit. One of the nurses has been appointed as the restraint coordinator for the facility and has received training relevant to this role. The restraint coordinator attends quarterly restraint meetings, which are led by a senior manager who has responsibility for ensuring that restraint elimination is being worked towards. Any use of restraint was reported to the governing body.</w:t>
            </w:r>
          </w:p>
          <w:p w14:paraId="605E35F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not all staff had received training in the least restrictive practice, safe restraint practice, alternative cultural-specific interventions and de-escalation techniques, as required by the organisation training plan. This has been linked to the area of improvement raised relating to staff training (refer criterion 2.3.2).</w:t>
            </w:r>
          </w:p>
          <w:p w14:paraId="194A3C93" w14:textId="77777777" w:rsidR="00000000" w:rsidRPr="00BE00C7" w:rsidRDefault="00000000" w:rsidP="00BE00C7">
            <w:pPr>
              <w:pStyle w:val="OutcomeDescription"/>
              <w:spacing w:before="120" w:after="120"/>
              <w:rPr>
                <w:rFonts w:cs="Arial"/>
                <w:lang w:eastAsia="en-NZ"/>
              </w:rPr>
            </w:pPr>
          </w:p>
        </w:tc>
      </w:tr>
      <w:tr w:rsidR="004D2B32" w14:paraId="16B280A2" w14:textId="77777777">
        <w:tc>
          <w:tcPr>
            <w:tcW w:w="0" w:type="auto"/>
          </w:tcPr>
          <w:p w14:paraId="0C9E3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BAABA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FBE3159" w14:textId="77777777" w:rsidR="00000000" w:rsidRPr="00BE00C7" w:rsidRDefault="00000000" w:rsidP="00BE00C7">
            <w:pPr>
              <w:pStyle w:val="OutcomeDescription"/>
              <w:spacing w:before="120" w:after="120"/>
              <w:rPr>
                <w:rFonts w:cs="Arial"/>
                <w:lang w:eastAsia="en-NZ"/>
              </w:rPr>
            </w:pPr>
          </w:p>
        </w:tc>
        <w:tc>
          <w:tcPr>
            <w:tcW w:w="0" w:type="auto"/>
          </w:tcPr>
          <w:p w14:paraId="4E7810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0CB2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area of improvement from the previous audit relating to the evaluation of restraints has been closed. The organisation has reviewed processes in place to guide practice, As the facility was restraint free at the time of the audit, it was not possible to evidence this, but the staff interviewed were aware of the process to evaluate restraint use.</w:t>
            </w:r>
          </w:p>
          <w:p w14:paraId="55180CDE" w14:textId="77777777" w:rsidR="00000000" w:rsidRPr="00BE00C7" w:rsidRDefault="00000000" w:rsidP="00BE00C7">
            <w:pPr>
              <w:pStyle w:val="OutcomeDescription"/>
              <w:spacing w:before="120" w:after="120"/>
              <w:rPr>
                <w:rFonts w:cs="Arial"/>
                <w:lang w:eastAsia="en-NZ"/>
              </w:rPr>
            </w:pPr>
          </w:p>
        </w:tc>
      </w:tr>
    </w:tbl>
    <w:p w14:paraId="58FD947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335ED0E" w14:textId="77777777" w:rsidR="00000000" w:rsidRDefault="00000000">
      <w:pPr>
        <w:pStyle w:val="Heading1"/>
        <w:rPr>
          <w:rFonts w:cs="Arial"/>
        </w:rPr>
      </w:pPr>
      <w:r>
        <w:rPr>
          <w:rFonts w:cs="Arial"/>
        </w:rPr>
        <w:lastRenderedPageBreak/>
        <w:t>Specific results for criterion where corrective actions are required</w:t>
      </w:r>
    </w:p>
    <w:p w14:paraId="16D3F8A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CF7960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42950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307"/>
        <w:gridCol w:w="3699"/>
        <w:gridCol w:w="3497"/>
        <w:gridCol w:w="2645"/>
      </w:tblGrid>
      <w:tr w:rsidR="004D2B32" w14:paraId="16988A70" w14:textId="77777777">
        <w:tc>
          <w:tcPr>
            <w:tcW w:w="0" w:type="auto"/>
          </w:tcPr>
          <w:p w14:paraId="125D1B1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8E630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D9E0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E84DAB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9C6B1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D2B32" w14:paraId="6291864E" w14:textId="77777777">
        <w:tc>
          <w:tcPr>
            <w:tcW w:w="0" w:type="auto"/>
          </w:tcPr>
          <w:p w14:paraId="7503993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2619CB7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469F711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C17509"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an annual training plan in place that details the training requirements for each staff role. On the day of the audit, there were 49 staff (including 14 casuals) who were employed in either nursing or caregiver roles to provide care and support for residents. A review of training records showed that:</w:t>
            </w:r>
          </w:p>
          <w:p w14:paraId="31B3CEA2"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Ten out of 49 (20.4%) of these staff had completed calming and de-escalation training</w:t>
            </w:r>
          </w:p>
          <w:p w14:paraId="5A0AFA2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Twelve out of 49 (24.5%) of these staff had completed cultural competency training</w:t>
            </w:r>
          </w:p>
          <w:p w14:paraId="722AF00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Fifteen out of 49 (30.6%) of these staff had completed abuse and neglect training</w:t>
            </w:r>
          </w:p>
          <w:p w14:paraId="7446F1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ab/>
              <w:t>Fourteen out of 49 (28.6%) of these staff had completed manual handling training</w:t>
            </w:r>
          </w:p>
          <w:p w14:paraId="60B7BE75"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Twenty five out of 49 (51%) of these staff had completed Infection Prevention training</w:t>
            </w:r>
          </w:p>
          <w:p w14:paraId="04127F20" w14:textId="77777777" w:rsidR="00000000" w:rsidRPr="00BE00C7" w:rsidRDefault="00000000" w:rsidP="00BE00C7">
            <w:pPr>
              <w:pStyle w:val="OutcomeDescription"/>
              <w:spacing w:before="120" w:after="120"/>
              <w:rPr>
                <w:rFonts w:cs="Arial"/>
                <w:lang w:eastAsia="en-NZ"/>
              </w:rPr>
            </w:pPr>
          </w:p>
          <w:p w14:paraId="54A3A253" w14:textId="77777777" w:rsidR="00000000" w:rsidRPr="00BE00C7" w:rsidRDefault="00000000" w:rsidP="00BE00C7">
            <w:pPr>
              <w:pStyle w:val="OutcomeDescription"/>
              <w:spacing w:before="120" w:after="120"/>
              <w:rPr>
                <w:rFonts w:cs="Arial"/>
                <w:lang w:eastAsia="en-NZ"/>
              </w:rPr>
            </w:pPr>
            <w:r w:rsidRPr="00BE00C7">
              <w:rPr>
                <w:rFonts w:cs="Arial"/>
                <w:lang w:eastAsia="en-NZ"/>
              </w:rPr>
              <w:t>It is acknowledged that the service has been working to address gaps in required staff training and still has challenges around staff attendance and the availability of casual staff to complete training. The departure of the CSM in February who was coordinating the training programme, has left a gap until the new CSM commences in the role.</w:t>
            </w:r>
          </w:p>
          <w:p w14:paraId="249730BB" w14:textId="77777777" w:rsidR="00000000" w:rsidRPr="00BE00C7" w:rsidRDefault="00000000" w:rsidP="00BE00C7">
            <w:pPr>
              <w:pStyle w:val="OutcomeDescription"/>
              <w:spacing w:before="120" w:after="120"/>
              <w:rPr>
                <w:rFonts w:cs="Arial"/>
                <w:lang w:eastAsia="en-NZ"/>
              </w:rPr>
            </w:pPr>
          </w:p>
        </w:tc>
        <w:tc>
          <w:tcPr>
            <w:tcW w:w="0" w:type="auto"/>
          </w:tcPr>
          <w:p w14:paraId="573542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annual training and competency plan is in place for staff, based on their role. Records show that not all staff have completed the training and competencies relevant to their role. While progress has been made on this previous corrective action, it remains open, and the risk rating has not been increased in recognition of the progress that has been made.</w:t>
            </w:r>
          </w:p>
          <w:p w14:paraId="3156A6B8" w14:textId="77777777" w:rsidR="00000000" w:rsidRPr="00BE00C7" w:rsidRDefault="00000000" w:rsidP="00BE00C7">
            <w:pPr>
              <w:pStyle w:val="OutcomeDescription"/>
              <w:spacing w:before="120" w:after="120"/>
              <w:rPr>
                <w:rFonts w:cs="Arial"/>
                <w:lang w:eastAsia="en-NZ"/>
              </w:rPr>
            </w:pPr>
          </w:p>
        </w:tc>
        <w:tc>
          <w:tcPr>
            <w:tcW w:w="0" w:type="auto"/>
          </w:tcPr>
          <w:p w14:paraId="6446A20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have completed the training and competencies that are relevant to their role as identified in the organisation training and competency plan.</w:t>
            </w:r>
          </w:p>
          <w:p w14:paraId="04C2E7CC" w14:textId="77777777" w:rsidR="00000000" w:rsidRPr="00BE00C7" w:rsidRDefault="00000000" w:rsidP="00BE00C7">
            <w:pPr>
              <w:pStyle w:val="OutcomeDescription"/>
              <w:spacing w:before="120" w:after="120"/>
              <w:rPr>
                <w:rFonts w:cs="Arial"/>
                <w:lang w:eastAsia="en-NZ"/>
              </w:rPr>
            </w:pPr>
          </w:p>
          <w:p w14:paraId="44433D4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D2B32" w14:paraId="684C35D8" w14:textId="77777777">
        <w:tc>
          <w:tcPr>
            <w:tcW w:w="0" w:type="auto"/>
          </w:tcPr>
          <w:p w14:paraId="03DA582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6A7550C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31A9808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EB443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and enrolled nurses are responsible for assessments and care planning. Initial assessments are completed as part of the interim care plan. However, in seven files reviewed, two residents did not have an interim care plan and four had the interim care plan completed more than 12 days after admission. As a result, no care planning was available to guide non-regulated care staff. </w:t>
            </w:r>
          </w:p>
          <w:p w14:paraId="747D80FF" w14:textId="77777777" w:rsidR="00000000" w:rsidRPr="00BE00C7" w:rsidRDefault="00000000" w:rsidP="00BE00C7">
            <w:pPr>
              <w:pStyle w:val="OutcomeDescription"/>
              <w:spacing w:before="120" w:after="120"/>
              <w:rPr>
                <w:rFonts w:cs="Arial"/>
                <w:lang w:eastAsia="en-NZ"/>
              </w:rPr>
            </w:pPr>
          </w:p>
          <w:p w14:paraId="0DCA9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interRAI assessment is completed once the resident is settled into the facility and known to staff. A long-term care plan is then developed based on </w:t>
            </w:r>
            <w:r w:rsidRPr="00BE00C7">
              <w:rPr>
                <w:rFonts w:cs="Arial"/>
                <w:lang w:eastAsia="en-NZ"/>
              </w:rPr>
              <w:lastRenderedPageBreak/>
              <w:t>the interRAI assessment findings.  In the seven files reviewed, three resident interRAI assessments had not been completed within the 21 days contractually required, one resident admitted in November 2024 did not have a long-term care plan, and two long-term care plans were completed later than 21 days, and up to three months, after admission.</w:t>
            </w:r>
          </w:p>
          <w:p w14:paraId="30C496AB" w14:textId="77777777" w:rsidR="00000000" w:rsidRPr="00BE00C7" w:rsidRDefault="00000000" w:rsidP="00BE00C7">
            <w:pPr>
              <w:pStyle w:val="OutcomeDescription"/>
              <w:spacing w:before="120" w:after="120"/>
              <w:rPr>
                <w:rFonts w:cs="Arial"/>
                <w:lang w:eastAsia="en-NZ"/>
              </w:rPr>
            </w:pPr>
          </w:p>
        </w:tc>
        <w:tc>
          <w:tcPr>
            <w:tcW w:w="0" w:type="auto"/>
          </w:tcPr>
          <w:p w14:paraId="00D4FA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six out of seven files reviewed, initial assessments and interim care planning were not completed in a timely manner on admission.</w:t>
            </w:r>
          </w:p>
          <w:p w14:paraId="058CC64B"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out of seven files reviewed showed the interRAI assessment and long-term care plan were not completed within the contractually required timeframes on admission.</w:t>
            </w:r>
          </w:p>
          <w:p w14:paraId="049FD9DB" w14:textId="77777777" w:rsidR="00000000" w:rsidRPr="00BE00C7" w:rsidRDefault="00000000" w:rsidP="00BE00C7">
            <w:pPr>
              <w:pStyle w:val="OutcomeDescription"/>
              <w:spacing w:before="120" w:after="120"/>
              <w:rPr>
                <w:rFonts w:cs="Arial"/>
                <w:lang w:eastAsia="en-NZ"/>
              </w:rPr>
            </w:pPr>
          </w:p>
        </w:tc>
        <w:tc>
          <w:tcPr>
            <w:tcW w:w="0" w:type="auto"/>
          </w:tcPr>
          <w:p w14:paraId="037564C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residents have an initial assessment and interim care plan completed on admission and that all interRAI assessments and long-term care plans are completed within the contractually required timeframes.</w:t>
            </w:r>
          </w:p>
          <w:p w14:paraId="49A82C64" w14:textId="77777777" w:rsidR="00000000" w:rsidRPr="00BE00C7" w:rsidRDefault="00000000" w:rsidP="00BE00C7">
            <w:pPr>
              <w:pStyle w:val="OutcomeDescription"/>
              <w:spacing w:before="120" w:after="120"/>
              <w:rPr>
                <w:rFonts w:cs="Arial"/>
                <w:lang w:eastAsia="en-NZ"/>
              </w:rPr>
            </w:pPr>
          </w:p>
          <w:p w14:paraId="53BBD7A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D2B32" w14:paraId="6B6F7004" w14:textId="77777777">
        <w:tc>
          <w:tcPr>
            <w:tcW w:w="0" w:type="auto"/>
          </w:tcPr>
          <w:p w14:paraId="4EBA910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65BD45F"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progress is different from expected, the service </w:t>
            </w:r>
            <w:r w:rsidRPr="00BE00C7">
              <w:rPr>
                <w:rFonts w:cs="Arial"/>
                <w:lang w:eastAsia="en-NZ"/>
              </w:rPr>
              <w:lastRenderedPageBreak/>
              <w:t>provider in collaboration with the person receiving services and whānau responds by initiating changes to the care or support plan.</w:t>
            </w:r>
          </w:p>
          <w:p w14:paraId="6BEF3E3D" w14:textId="77777777" w:rsidR="00000000" w:rsidRPr="00BE00C7" w:rsidRDefault="00000000" w:rsidP="00BE00C7">
            <w:pPr>
              <w:pStyle w:val="OutcomeDescription"/>
              <w:spacing w:before="120" w:after="120"/>
              <w:rPr>
                <w:rFonts w:cs="Arial"/>
                <w:lang w:eastAsia="en-NZ"/>
              </w:rPr>
            </w:pPr>
          </w:p>
        </w:tc>
        <w:tc>
          <w:tcPr>
            <w:tcW w:w="0" w:type="auto"/>
          </w:tcPr>
          <w:p w14:paraId="5433A2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BEAD1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was an ongoing process and files reviewed evidenced regular interRAI assessments being completed six-monthly. However, in four of seven files reviewed, the long-term care plan had not been evaluated or updated following the interRAI assessment. Progress notes documented when a resident’s condition changed. However, the care plan was not always updated to reflect the resident's current needs; this included for a rest home resident who required assessment for a change in level of care and for two residents where the care plan did not include all protocols triggered in the interRAI assessment. </w:t>
            </w:r>
          </w:p>
          <w:p w14:paraId="5A6A005A" w14:textId="77777777" w:rsidR="00000000" w:rsidRPr="00BE00C7" w:rsidRDefault="00000000" w:rsidP="00BE00C7">
            <w:pPr>
              <w:pStyle w:val="OutcomeDescription"/>
              <w:spacing w:before="120" w:after="120"/>
              <w:rPr>
                <w:rFonts w:cs="Arial"/>
                <w:lang w:eastAsia="en-NZ"/>
              </w:rPr>
            </w:pPr>
          </w:p>
          <w:p w14:paraId="2F9C6B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planning was in place for short-term problems such as infections of wounds. However, these were not always evaluated or closed once the problem had resolved; </w:t>
            </w:r>
            <w:r w:rsidRPr="00BE00C7">
              <w:rPr>
                <w:rFonts w:cs="Arial"/>
                <w:lang w:eastAsia="en-NZ"/>
              </w:rPr>
              <w:lastRenderedPageBreak/>
              <w:t xml:space="preserve">examples of this occurring were seen in all seven files reviewed. </w:t>
            </w:r>
          </w:p>
          <w:p w14:paraId="1EE0F2B7" w14:textId="77777777" w:rsidR="00000000" w:rsidRPr="00BE00C7" w:rsidRDefault="00000000" w:rsidP="00BE00C7">
            <w:pPr>
              <w:pStyle w:val="OutcomeDescription"/>
              <w:spacing w:before="120" w:after="120"/>
              <w:rPr>
                <w:rFonts w:cs="Arial"/>
                <w:lang w:eastAsia="en-NZ"/>
              </w:rPr>
            </w:pPr>
          </w:p>
          <w:p w14:paraId="36CC1C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EPOA/whānau interviewed stated they had not had input into care planning, and when their needs changed the care plan was not updated in collaboration with them.</w:t>
            </w:r>
          </w:p>
          <w:p w14:paraId="4F69EDDC" w14:textId="77777777" w:rsidR="00000000" w:rsidRPr="00BE00C7" w:rsidRDefault="00000000" w:rsidP="00BE00C7">
            <w:pPr>
              <w:pStyle w:val="OutcomeDescription"/>
              <w:spacing w:before="120" w:after="120"/>
              <w:rPr>
                <w:rFonts w:cs="Arial"/>
                <w:lang w:eastAsia="en-NZ"/>
              </w:rPr>
            </w:pPr>
          </w:p>
        </w:tc>
        <w:tc>
          <w:tcPr>
            <w:tcW w:w="0" w:type="auto"/>
          </w:tcPr>
          <w:p w14:paraId="2DD700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Care planning was not always updated in collaboration with the resident or EPOA and whānau when their needs changed. </w:t>
            </w:r>
          </w:p>
          <w:p w14:paraId="2C34E744"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planning was not always evaluated and closed when the short-term need resolved.</w:t>
            </w:r>
          </w:p>
          <w:p w14:paraId="0498F77F" w14:textId="77777777" w:rsidR="00000000" w:rsidRPr="00BE00C7" w:rsidRDefault="00000000" w:rsidP="00BE00C7">
            <w:pPr>
              <w:pStyle w:val="OutcomeDescription"/>
              <w:spacing w:before="120" w:after="120"/>
              <w:rPr>
                <w:rFonts w:cs="Arial"/>
                <w:lang w:eastAsia="en-NZ"/>
              </w:rPr>
            </w:pPr>
          </w:p>
        </w:tc>
        <w:tc>
          <w:tcPr>
            <w:tcW w:w="0" w:type="auto"/>
          </w:tcPr>
          <w:p w14:paraId="7B5B63C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care planning is updated when a resident’s needs change and that changes are initiated in collaboration with the resident or EPOA and whānau.</w:t>
            </w:r>
          </w:p>
          <w:p w14:paraId="7C10B72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short-term care plans are evaluated and closed when the short-term need has resolved.</w:t>
            </w:r>
          </w:p>
          <w:p w14:paraId="284FC4AA" w14:textId="77777777" w:rsidR="00000000" w:rsidRPr="00BE00C7" w:rsidRDefault="00000000" w:rsidP="00BE00C7">
            <w:pPr>
              <w:pStyle w:val="OutcomeDescription"/>
              <w:spacing w:before="120" w:after="120"/>
              <w:rPr>
                <w:rFonts w:cs="Arial"/>
                <w:lang w:eastAsia="en-NZ"/>
              </w:rPr>
            </w:pPr>
          </w:p>
          <w:p w14:paraId="173871B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D2B32" w14:paraId="02E80933" w14:textId="77777777">
        <w:tc>
          <w:tcPr>
            <w:tcW w:w="0" w:type="auto"/>
          </w:tcPr>
          <w:p w14:paraId="2D2930E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4.2.5</w:t>
            </w:r>
          </w:p>
          <w:p w14:paraId="2046EE7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5C36C9B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CE5F2D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February 2025 call bell log showed that there were 160 calls that took longer than seven minutes to answer. Five of the calls took over twenty minutes for staff to respond to, with the longest response time being 34 minutes. This corrective action from the previous audit remains open</w:t>
            </w:r>
          </w:p>
          <w:p w14:paraId="5CA2B949" w14:textId="77777777" w:rsidR="00000000" w:rsidRPr="00BE00C7" w:rsidRDefault="00000000" w:rsidP="00BE00C7">
            <w:pPr>
              <w:pStyle w:val="OutcomeDescription"/>
              <w:spacing w:before="120" w:after="120"/>
              <w:rPr>
                <w:rFonts w:cs="Arial"/>
                <w:lang w:eastAsia="en-NZ"/>
              </w:rPr>
            </w:pPr>
          </w:p>
        </w:tc>
        <w:tc>
          <w:tcPr>
            <w:tcW w:w="0" w:type="auto"/>
          </w:tcPr>
          <w:p w14:paraId="69AB1DC7"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appropriate call bell system is available to summon assistance, but the monitoring of response times is not being undertaken to manage and reduce call bell response times.</w:t>
            </w:r>
          </w:p>
          <w:p w14:paraId="64A24996" w14:textId="77777777" w:rsidR="00000000" w:rsidRPr="00BE00C7" w:rsidRDefault="00000000" w:rsidP="00BE00C7">
            <w:pPr>
              <w:pStyle w:val="OutcomeDescription"/>
              <w:spacing w:before="120" w:after="120"/>
              <w:rPr>
                <w:rFonts w:cs="Arial"/>
                <w:lang w:eastAsia="en-NZ"/>
              </w:rPr>
            </w:pPr>
          </w:p>
        </w:tc>
        <w:tc>
          <w:tcPr>
            <w:tcW w:w="0" w:type="auto"/>
          </w:tcPr>
          <w:p w14:paraId="40EDE7B8"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regular review of call bell logs is occurring, and that this information is being used to reduce call bell wait times for residents to acceptable levels.</w:t>
            </w:r>
          </w:p>
          <w:p w14:paraId="01DF4AB9" w14:textId="77777777" w:rsidR="00000000" w:rsidRPr="00BE00C7" w:rsidRDefault="00000000" w:rsidP="00BE00C7">
            <w:pPr>
              <w:pStyle w:val="OutcomeDescription"/>
              <w:spacing w:before="120" w:after="120"/>
              <w:rPr>
                <w:rFonts w:cs="Arial"/>
                <w:lang w:eastAsia="en-NZ"/>
              </w:rPr>
            </w:pPr>
          </w:p>
          <w:p w14:paraId="6E425C9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AB58E0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2161AE7" w14:textId="77777777" w:rsidR="00000000" w:rsidRDefault="00000000">
      <w:pPr>
        <w:pStyle w:val="Heading1"/>
        <w:rPr>
          <w:rFonts w:cs="Arial"/>
        </w:rPr>
      </w:pPr>
      <w:r>
        <w:rPr>
          <w:rFonts w:cs="Arial"/>
        </w:rPr>
        <w:lastRenderedPageBreak/>
        <w:t>Specific results for criterion where a continuous improvement has been recorded</w:t>
      </w:r>
    </w:p>
    <w:p w14:paraId="6512EC8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208E45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2D9E2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2B32" w14:paraId="7F5154BB" w14:textId="77777777">
        <w:tc>
          <w:tcPr>
            <w:tcW w:w="0" w:type="auto"/>
          </w:tcPr>
          <w:p w14:paraId="5318F3E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E2C812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C6341F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150D" w14:textId="77777777" w:rsidR="007531CC" w:rsidRDefault="007531CC">
      <w:r>
        <w:separator/>
      </w:r>
    </w:p>
  </w:endnote>
  <w:endnote w:type="continuationSeparator" w:id="0">
    <w:p w14:paraId="47397528" w14:textId="77777777" w:rsidR="007531CC" w:rsidRDefault="0075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5D33" w14:textId="77777777" w:rsidR="00000000" w:rsidRDefault="00000000">
    <w:pPr>
      <w:pStyle w:val="Footer"/>
    </w:pPr>
  </w:p>
  <w:p w14:paraId="118F3756" w14:textId="77777777" w:rsidR="00000000" w:rsidRDefault="00000000"/>
  <w:p w14:paraId="3E4A8E7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050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Clutha Views Lifecare</w:t>
    </w:r>
    <w:bookmarkEnd w:id="59"/>
    <w:r>
      <w:rPr>
        <w:rFonts w:cs="Arial"/>
        <w:sz w:val="16"/>
        <w:szCs w:val="20"/>
      </w:rPr>
      <w:tab/>
      <w:t xml:space="preserve">Date of Audit: </w:t>
    </w:r>
    <w:bookmarkStart w:id="60" w:name="AuditStartDate1"/>
    <w:r>
      <w:rPr>
        <w:rFonts w:cs="Arial"/>
        <w:sz w:val="16"/>
        <w:szCs w:val="20"/>
      </w:rPr>
      <w:t>19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505B7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DDC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A21E" w14:textId="77777777" w:rsidR="007531CC" w:rsidRDefault="007531CC">
      <w:r>
        <w:separator/>
      </w:r>
    </w:p>
  </w:footnote>
  <w:footnote w:type="continuationSeparator" w:id="0">
    <w:p w14:paraId="1F167EF6" w14:textId="77777777" w:rsidR="007531CC" w:rsidRDefault="0075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75EE" w14:textId="77777777" w:rsidR="00000000" w:rsidRDefault="00000000">
    <w:pPr>
      <w:pStyle w:val="Header"/>
    </w:pPr>
  </w:p>
  <w:p w14:paraId="39B3123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B486" w14:textId="77777777" w:rsidR="00000000" w:rsidRDefault="00000000">
    <w:pPr>
      <w:pStyle w:val="Header"/>
    </w:pPr>
  </w:p>
  <w:p w14:paraId="048D60F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BF5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B7A28A0">
      <w:start w:val="1"/>
      <w:numFmt w:val="decimal"/>
      <w:lvlText w:val="%1."/>
      <w:lvlJc w:val="left"/>
      <w:pPr>
        <w:ind w:left="360" w:hanging="360"/>
      </w:pPr>
    </w:lvl>
    <w:lvl w:ilvl="1" w:tplc="EF1EED6C" w:tentative="1">
      <w:start w:val="1"/>
      <w:numFmt w:val="lowerLetter"/>
      <w:lvlText w:val="%2."/>
      <w:lvlJc w:val="left"/>
      <w:pPr>
        <w:ind w:left="1080" w:hanging="360"/>
      </w:pPr>
    </w:lvl>
    <w:lvl w:ilvl="2" w:tplc="CA245650" w:tentative="1">
      <w:start w:val="1"/>
      <w:numFmt w:val="lowerRoman"/>
      <w:lvlText w:val="%3."/>
      <w:lvlJc w:val="right"/>
      <w:pPr>
        <w:ind w:left="1800" w:hanging="180"/>
      </w:pPr>
    </w:lvl>
    <w:lvl w:ilvl="3" w:tplc="D30278F0" w:tentative="1">
      <w:start w:val="1"/>
      <w:numFmt w:val="decimal"/>
      <w:lvlText w:val="%4."/>
      <w:lvlJc w:val="left"/>
      <w:pPr>
        <w:ind w:left="2520" w:hanging="360"/>
      </w:pPr>
    </w:lvl>
    <w:lvl w:ilvl="4" w:tplc="F2C4EB90" w:tentative="1">
      <w:start w:val="1"/>
      <w:numFmt w:val="lowerLetter"/>
      <w:lvlText w:val="%5."/>
      <w:lvlJc w:val="left"/>
      <w:pPr>
        <w:ind w:left="3240" w:hanging="360"/>
      </w:pPr>
    </w:lvl>
    <w:lvl w:ilvl="5" w:tplc="78B89790" w:tentative="1">
      <w:start w:val="1"/>
      <w:numFmt w:val="lowerRoman"/>
      <w:lvlText w:val="%6."/>
      <w:lvlJc w:val="right"/>
      <w:pPr>
        <w:ind w:left="3960" w:hanging="180"/>
      </w:pPr>
    </w:lvl>
    <w:lvl w:ilvl="6" w:tplc="099AD610" w:tentative="1">
      <w:start w:val="1"/>
      <w:numFmt w:val="decimal"/>
      <w:lvlText w:val="%7."/>
      <w:lvlJc w:val="left"/>
      <w:pPr>
        <w:ind w:left="4680" w:hanging="360"/>
      </w:pPr>
    </w:lvl>
    <w:lvl w:ilvl="7" w:tplc="CB2AB4CA" w:tentative="1">
      <w:start w:val="1"/>
      <w:numFmt w:val="lowerLetter"/>
      <w:lvlText w:val="%8."/>
      <w:lvlJc w:val="left"/>
      <w:pPr>
        <w:ind w:left="5400" w:hanging="360"/>
      </w:pPr>
    </w:lvl>
    <w:lvl w:ilvl="8" w:tplc="465450F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852E6E4">
      <w:start w:val="1"/>
      <w:numFmt w:val="bullet"/>
      <w:lvlText w:val=""/>
      <w:lvlJc w:val="left"/>
      <w:pPr>
        <w:ind w:left="720" w:hanging="360"/>
      </w:pPr>
      <w:rPr>
        <w:rFonts w:ascii="Symbol" w:hAnsi="Symbol" w:hint="default"/>
      </w:rPr>
    </w:lvl>
    <w:lvl w:ilvl="1" w:tplc="45EE4A9A" w:tentative="1">
      <w:start w:val="1"/>
      <w:numFmt w:val="bullet"/>
      <w:lvlText w:val="o"/>
      <w:lvlJc w:val="left"/>
      <w:pPr>
        <w:ind w:left="1440" w:hanging="360"/>
      </w:pPr>
      <w:rPr>
        <w:rFonts w:ascii="Courier New" w:hAnsi="Courier New" w:cs="Courier New" w:hint="default"/>
      </w:rPr>
    </w:lvl>
    <w:lvl w:ilvl="2" w:tplc="731A49CA" w:tentative="1">
      <w:start w:val="1"/>
      <w:numFmt w:val="bullet"/>
      <w:lvlText w:val=""/>
      <w:lvlJc w:val="left"/>
      <w:pPr>
        <w:ind w:left="2160" w:hanging="360"/>
      </w:pPr>
      <w:rPr>
        <w:rFonts w:ascii="Wingdings" w:hAnsi="Wingdings" w:hint="default"/>
      </w:rPr>
    </w:lvl>
    <w:lvl w:ilvl="3" w:tplc="25EA0444" w:tentative="1">
      <w:start w:val="1"/>
      <w:numFmt w:val="bullet"/>
      <w:lvlText w:val=""/>
      <w:lvlJc w:val="left"/>
      <w:pPr>
        <w:ind w:left="2880" w:hanging="360"/>
      </w:pPr>
      <w:rPr>
        <w:rFonts w:ascii="Symbol" w:hAnsi="Symbol" w:hint="default"/>
      </w:rPr>
    </w:lvl>
    <w:lvl w:ilvl="4" w:tplc="038C7D32" w:tentative="1">
      <w:start w:val="1"/>
      <w:numFmt w:val="bullet"/>
      <w:lvlText w:val="o"/>
      <w:lvlJc w:val="left"/>
      <w:pPr>
        <w:ind w:left="3600" w:hanging="360"/>
      </w:pPr>
      <w:rPr>
        <w:rFonts w:ascii="Courier New" w:hAnsi="Courier New" w:cs="Courier New" w:hint="default"/>
      </w:rPr>
    </w:lvl>
    <w:lvl w:ilvl="5" w:tplc="680ABE0E" w:tentative="1">
      <w:start w:val="1"/>
      <w:numFmt w:val="bullet"/>
      <w:lvlText w:val=""/>
      <w:lvlJc w:val="left"/>
      <w:pPr>
        <w:ind w:left="4320" w:hanging="360"/>
      </w:pPr>
      <w:rPr>
        <w:rFonts w:ascii="Wingdings" w:hAnsi="Wingdings" w:hint="default"/>
      </w:rPr>
    </w:lvl>
    <w:lvl w:ilvl="6" w:tplc="C71ACAB8" w:tentative="1">
      <w:start w:val="1"/>
      <w:numFmt w:val="bullet"/>
      <w:lvlText w:val=""/>
      <w:lvlJc w:val="left"/>
      <w:pPr>
        <w:ind w:left="5040" w:hanging="360"/>
      </w:pPr>
      <w:rPr>
        <w:rFonts w:ascii="Symbol" w:hAnsi="Symbol" w:hint="default"/>
      </w:rPr>
    </w:lvl>
    <w:lvl w:ilvl="7" w:tplc="80FE1A02" w:tentative="1">
      <w:start w:val="1"/>
      <w:numFmt w:val="bullet"/>
      <w:lvlText w:val="o"/>
      <w:lvlJc w:val="left"/>
      <w:pPr>
        <w:ind w:left="5760" w:hanging="360"/>
      </w:pPr>
      <w:rPr>
        <w:rFonts w:ascii="Courier New" w:hAnsi="Courier New" w:cs="Courier New" w:hint="default"/>
      </w:rPr>
    </w:lvl>
    <w:lvl w:ilvl="8" w:tplc="377E6F92" w:tentative="1">
      <w:start w:val="1"/>
      <w:numFmt w:val="bullet"/>
      <w:lvlText w:val=""/>
      <w:lvlJc w:val="left"/>
      <w:pPr>
        <w:ind w:left="6480" w:hanging="360"/>
      </w:pPr>
      <w:rPr>
        <w:rFonts w:ascii="Wingdings" w:hAnsi="Wingdings" w:hint="default"/>
      </w:rPr>
    </w:lvl>
  </w:abstractNum>
  <w:num w:numId="1" w16cid:durableId="191842240">
    <w:abstractNumId w:val="1"/>
  </w:num>
  <w:num w:numId="2" w16cid:durableId="28809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32"/>
    <w:rsid w:val="00214AD2"/>
    <w:rsid w:val="004D2B32"/>
    <w:rsid w:val="007531CC"/>
    <w:rsid w:val="00800E1E"/>
    <w:rsid w:val="009818D9"/>
    <w:rsid w:val="00B618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F281"/>
  <w15:docId w15:val="{7552E9E6-8C6C-4A34-9681-DE9B2D85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8458</Words>
  <Characters>48215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2025-05-12T20:22:00Z</dcterms:created>
  <dcterms:modified xsi:type="dcterms:W3CDTF">2025-05-12T20:25:00Z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