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2EC7" w14:textId="77777777" w:rsidR="00151FD2" w:rsidRDefault="00151FD2">
      <w:pPr>
        <w:pStyle w:val="Heading1"/>
        <w:rPr>
          <w:rFonts w:cs="Arial"/>
        </w:rPr>
      </w:pPr>
      <w:bookmarkStart w:id="0" w:name="PRMS_RIName"/>
      <w:r>
        <w:rPr>
          <w:rFonts w:cs="Arial"/>
        </w:rPr>
        <w:t>CHT Healthcare Trust - Carnarvon Private Hospital</w:t>
      </w:r>
      <w:bookmarkEnd w:id="0"/>
    </w:p>
    <w:p w14:paraId="425A5982" w14:textId="77777777" w:rsidR="00151FD2" w:rsidRDefault="00151FD2">
      <w:pPr>
        <w:pStyle w:val="Heading2"/>
        <w:spacing w:after="0"/>
        <w:rPr>
          <w:rFonts w:cs="Arial"/>
        </w:rPr>
      </w:pPr>
      <w:r>
        <w:rPr>
          <w:rFonts w:cs="Arial"/>
        </w:rPr>
        <w:t>Introduction</w:t>
      </w:r>
    </w:p>
    <w:p w14:paraId="1F2896EC" w14:textId="77777777" w:rsidR="00151FD2" w:rsidRDefault="00151FD2">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332B0DA" w14:textId="77777777" w:rsidR="00151FD2" w:rsidRDefault="00151FD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AB78238" w14:textId="77777777" w:rsidR="00151FD2" w:rsidRDefault="00151FD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D0B9541" w14:textId="77777777" w:rsidR="00151FD2" w:rsidRDefault="00151FD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069C2A4" w14:textId="77777777" w:rsidR="00151FD2" w:rsidRDefault="00151FD2">
      <w:pPr>
        <w:spacing w:before="240" w:after="240"/>
        <w:rPr>
          <w:rFonts w:cs="Arial"/>
          <w:lang w:eastAsia="en-NZ"/>
        </w:rPr>
      </w:pPr>
      <w:r>
        <w:rPr>
          <w:rFonts w:cs="Arial"/>
          <w:lang w:eastAsia="en-NZ"/>
        </w:rPr>
        <w:t>The specifics of this audit included:</w:t>
      </w:r>
    </w:p>
    <w:p w14:paraId="245CFA4D" w14:textId="77777777" w:rsidR="00151FD2" w:rsidRPr="009D18F5" w:rsidRDefault="00151FD2" w:rsidP="009D18F5">
      <w:pPr>
        <w:pBdr>
          <w:top w:val="single" w:sz="4" w:space="1" w:color="auto"/>
          <w:left w:val="single" w:sz="4" w:space="4" w:color="auto"/>
          <w:bottom w:val="single" w:sz="4" w:space="1" w:color="auto"/>
          <w:right w:val="single" w:sz="4" w:space="4" w:color="auto"/>
        </w:pBdr>
        <w:rPr>
          <w:rFonts w:cs="Arial"/>
        </w:rPr>
      </w:pPr>
    </w:p>
    <w:p w14:paraId="1DFB2508" w14:textId="77777777" w:rsidR="00151FD2" w:rsidRPr="009418D4" w:rsidRDefault="00151FD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46C85B34" w14:textId="77777777" w:rsidR="00151FD2" w:rsidRPr="009418D4" w:rsidRDefault="00151F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Carnarvon Private Hospital</w:t>
      </w:r>
      <w:bookmarkEnd w:id="5"/>
    </w:p>
    <w:p w14:paraId="0F5FB5AE" w14:textId="77777777" w:rsidR="00151FD2" w:rsidRPr="009418D4" w:rsidRDefault="00151F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5C99B3E" w14:textId="77777777" w:rsidR="00151FD2" w:rsidRPr="009418D4" w:rsidRDefault="00151F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March 2025</w:t>
      </w:r>
      <w:bookmarkEnd w:id="7"/>
      <w:r w:rsidRPr="009418D4">
        <w:rPr>
          <w:rFonts w:cs="Arial"/>
        </w:rPr>
        <w:tab/>
      </w:r>
      <w:r w:rsidRPr="009418D4">
        <w:rPr>
          <w:rFonts w:cs="Arial"/>
        </w:rPr>
        <w:t xml:space="preserve">End date: </w:t>
      </w:r>
      <w:bookmarkStart w:id="8" w:name="AuditEndDate"/>
      <w:r>
        <w:rPr>
          <w:rFonts w:cs="Arial"/>
        </w:rPr>
        <w:t>12 March 2025</w:t>
      </w:r>
      <w:bookmarkEnd w:id="8"/>
    </w:p>
    <w:p w14:paraId="02557ADC" w14:textId="77777777" w:rsidR="00151FD2" w:rsidRPr="009418D4" w:rsidRDefault="00151FD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456FB87" w14:textId="77777777" w:rsidR="00100079" w:rsidRPr="009418D4" w:rsidRDefault="00151FD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37FC26F6" w14:textId="77777777" w:rsidR="00151FD2" w:rsidRDefault="00151FD2" w:rsidP="009D18F5">
      <w:pPr>
        <w:pBdr>
          <w:top w:val="single" w:sz="4" w:space="1" w:color="auto"/>
          <w:left w:val="single" w:sz="4" w:space="4" w:color="auto"/>
          <w:bottom w:val="single" w:sz="4" w:space="1" w:color="auto"/>
          <w:right w:val="single" w:sz="4" w:space="4" w:color="auto"/>
        </w:pBdr>
        <w:rPr>
          <w:rFonts w:cs="Arial"/>
          <w:lang w:eastAsia="en-NZ"/>
        </w:rPr>
      </w:pPr>
    </w:p>
    <w:p w14:paraId="5F6F8FB2" w14:textId="77777777" w:rsidR="00151FD2" w:rsidRDefault="00151FD2">
      <w:pPr>
        <w:pStyle w:val="Heading1"/>
        <w:rPr>
          <w:rFonts w:cs="Arial"/>
        </w:rPr>
      </w:pPr>
      <w:r>
        <w:rPr>
          <w:rFonts w:cs="Arial"/>
        </w:rPr>
        <w:lastRenderedPageBreak/>
        <w:t>Executive summary of the audit</w:t>
      </w:r>
    </w:p>
    <w:p w14:paraId="55E881D2" w14:textId="77777777" w:rsidR="00151FD2" w:rsidRDefault="00151FD2">
      <w:pPr>
        <w:pStyle w:val="Heading2"/>
        <w:rPr>
          <w:rFonts w:cs="Arial"/>
        </w:rPr>
      </w:pPr>
      <w:r>
        <w:rPr>
          <w:rFonts w:cs="Arial"/>
        </w:rPr>
        <w:t>Introduction</w:t>
      </w:r>
    </w:p>
    <w:p w14:paraId="53C92D2E" w14:textId="77777777" w:rsidR="00151FD2" w:rsidRDefault="00151FD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7D71A05" w14:textId="77777777" w:rsidR="00151FD2" w:rsidRDefault="00151FD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20E29A0" w14:textId="77777777" w:rsidR="00151FD2" w:rsidRDefault="00151FD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45FC9F9" w14:textId="77777777" w:rsidR="00151FD2" w:rsidRDefault="00151FD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9D4300B" w14:textId="77777777" w:rsidR="00151FD2" w:rsidRDefault="00151FD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C4406FD" w14:textId="77777777" w:rsidR="00151FD2" w:rsidRDefault="00151FD2"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8CCEE74" w14:textId="77777777" w:rsidR="00151FD2" w:rsidRDefault="00151FD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8E4AA1E" w14:textId="77777777" w:rsidR="00151FD2" w:rsidRDefault="00151FD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75EE96F" w14:textId="77777777" w:rsidR="00151FD2" w:rsidRDefault="00151FD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00079" w14:paraId="0D719D34" w14:textId="77777777">
        <w:trPr>
          <w:cantSplit/>
          <w:tblHeader/>
        </w:trPr>
        <w:tc>
          <w:tcPr>
            <w:tcW w:w="1260" w:type="dxa"/>
            <w:tcBorders>
              <w:bottom w:val="single" w:sz="4" w:space="0" w:color="000000"/>
            </w:tcBorders>
            <w:vAlign w:val="center"/>
          </w:tcPr>
          <w:p w14:paraId="1F2E2B6E" w14:textId="77777777" w:rsidR="00151FD2" w:rsidRDefault="00151FD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944E836" w14:textId="77777777" w:rsidR="00151FD2" w:rsidRDefault="00151FD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38D43DE" w14:textId="77777777" w:rsidR="00151FD2" w:rsidRDefault="00151FD2">
            <w:pPr>
              <w:spacing w:before="60" w:after="60"/>
              <w:rPr>
                <w:rFonts w:eastAsia="Calibri"/>
                <w:b/>
                <w:szCs w:val="24"/>
              </w:rPr>
            </w:pPr>
            <w:r>
              <w:rPr>
                <w:rFonts w:eastAsia="Calibri"/>
                <w:b/>
                <w:szCs w:val="24"/>
              </w:rPr>
              <w:t>Definition</w:t>
            </w:r>
          </w:p>
        </w:tc>
      </w:tr>
      <w:tr w:rsidR="00100079" w14:paraId="22A4B685" w14:textId="77777777">
        <w:trPr>
          <w:cantSplit/>
          <w:trHeight w:val="964"/>
        </w:trPr>
        <w:tc>
          <w:tcPr>
            <w:tcW w:w="1260" w:type="dxa"/>
            <w:tcBorders>
              <w:bottom w:val="single" w:sz="4" w:space="0" w:color="000000"/>
            </w:tcBorders>
            <w:shd w:val="clear" w:color="0066FF" w:fill="0000FF"/>
            <w:vAlign w:val="center"/>
          </w:tcPr>
          <w:p w14:paraId="5AA8899D" w14:textId="77777777" w:rsidR="00151FD2" w:rsidRDefault="00151FD2">
            <w:pPr>
              <w:spacing w:before="60" w:after="60"/>
              <w:rPr>
                <w:rFonts w:eastAsia="Calibri"/>
                <w:szCs w:val="24"/>
              </w:rPr>
            </w:pPr>
          </w:p>
        </w:tc>
        <w:tc>
          <w:tcPr>
            <w:tcW w:w="7095" w:type="dxa"/>
            <w:tcBorders>
              <w:bottom w:val="single" w:sz="4" w:space="0" w:color="000000"/>
            </w:tcBorders>
            <w:shd w:val="clear" w:color="auto" w:fill="auto"/>
            <w:vAlign w:val="center"/>
          </w:tcPr>
          <w:p w14:paraId="0EB42EF2" w14:textId="77777777" w:rsidR="00151FD2" w:rsidRDefault="00151FD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179A466" w14:textId="77777777" w:rsidR="00151FD2" w:rsidRDefault="00151FD2">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100079" w14:paraId="545F8DCF" w14:textId="77777777">
        <w:trPr>
          <w:cantSplit/>
          <w:trHeight w:val="964"/>
        </w:trPr>
        <w:tc>
          <w:tcPr>
            <w:tcW w:w="1260" w:type="dxa"/>
            <w:shd w:val="clear" w:color="33CC33" w:fill="00FF00"/>
            <w:vAlign w:val="center"/>
          </w:tcPr>
          <w:p w14:paraId="23FAE183" w14:textId="77777777" w:rsidR="00151FD2" w:rsidRDefault="00151FD2">
            <w:pPr>
              <w:spacing w:before="60" w:after="60"/>
              <w:rPr>
                <w:rFonts w:eastAsia="Calibri"/>
                <w:szCs w:val="24"/>
              </w:rPr>
            </w:pPr>
          </w:p>
        </w:tc>
        <w:tc>
          <w:tcPr>
            <w:tcW w:w="7095" w:type="dxa"/>
            <w:shd w:val="clear" w:color="auto" w:fill="auto"/>
            <w:vAlign w:val="center"/>
          </w:tcPr>
          <w:p w14:paraId="6AAA2638" w14:textId="77777777" w:rsidR="00151FD2" w:rsidRDefault="00151FD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C892510" w14:textId="77777777" w:rsidR="00151FD2" w:rsidRDefault="00151FD2">
            <w:pPr>
              <w:spacing w:before="60" w:after="60"/>
              <w:ind w:left="50"/>
              <w:rPr>
                <w:rFonts w:eastAsia="Calibri"/>
                <w:szCs w:val="24"/>
              </w:rPr>
            </w:pPr>
            <w:r w:rsidRPr="00FB778F">
              <w:rPr>
                <w:rFonts w:eastAsia="Calibri"/>
                <w:szCs w:val="24"/>
              </w:rPr>
              <w:t>Subsections applicable to this service fully attained</w:t>
            </w:r>
          </w:p>
        </w:tc>
      </w:tr>
      <w:tr w:rsidR="00100079" w14:paraId="08BF8589" w14:textId="77777777">
        <w:trPr>
          <w:cantSplit/>
          <w:trHeight w:val="964"/>
        </w:trPr>
        <w:tc>
          <w:tcPr>
            <w:tcW w:w="1260" w:type="dxa"/>
            <w:tcBorders>
              <w:bottom w:val="single" w:sz="4" w:space="0" w:color="000000"/>
            </w:tcBorders>
            <w:shd w:val="clear" w:color="auto" w:fill="FFFF00"/>
            <w:vAlign w:val="center"/>
          </w:tcPr>
          <w:p w14:paraId="70D02479" w14:textId="77777777" w:rsidR="00151FD2" w:rsidRDefault="00151FD2">
            <w:pPr>
              <w:spacing w:before="60" w:after="60"/>
              <w:rPr>
                <w:rFonts w:eastAsia="Calibri"/>
                <w:szCs w:val="24"/>
              </w:rPr>
            </w:pPr>
          </w:p>
        </w:tc>
        <w:tc>
          <w:tcPr>
            <w:tcW w:w="7095" w:type="dxa"/>
            <w:shd w:val="clear" w:color="auto" w:fill="auto"/>
            <w:vAlign w:val="center"/>
          </w:tcPr>
          <w:p w14:paraId="7C1433D5" w14:textId="77777777" w:rsidR="00151FD2" w:rsidRDefault="00151FD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E157894" w14:textId="77777777" w:rsidR="00151FD2" w:rsidRDefault="00151FD2">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100079" w14:paraId="243834D5" w14:textId="77777777">
        <w:trPr>
          <w:cantSplit/>
          <w:trHeight w:val="964"/>
        </w:trPr>
        <w:tc>
          <w:tcPr>
            <w:tcW w:w="1260" w:type="dxa"/>
            <w:tcBorders>
              <w:bottom w:val="single" w:sz="4" w:space="0" w:color="000000"/>
            </w:tcBorders>
            <w:shd w:val="clear" w:color="auto" w:fill="FFC800"/>
            <w:vAlign w:val="center"/>
          </w:tcPr>
          <w:p w14:paraId="36727BFD" w14:textId="77777777" w:rsidR="00151FD2" w:rsidRDefault="00151FD2">
            <w:pPr>
              <w:spacing w:before="60" w:after="60"/>
              <w:rPr>
                <w:rFonts w:eastAsia="Calibri"/>
                <w:szCs w:val="24"/>
              </w:rPr>
            </w:pPr>
          </w:p>
        </w:tc>
        <w:tc>
          <w:tcPr>
            <w:tcW w:w="7095" w:type="dxa"/>
            <w:tcBorders>
              <w:bottom w:val="single" w:sz="4" w:space="0" w:color="000000"/>
            </w:tcBorders>
            <w:shd w:val="clear" w:color="auto" w:fill="auto"/>
            <w:vAlign w:val="center"/>
          </w:tcPr>
          <w:p w14:paraId="610B5A9F" w14:textId="77777777" w:rsidR="00151FD2" w:rsidRDefault="00151FD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BA06B11" w14:textId="77777777" w:rsidR="00151FD2" w:rsidRDefault="00151FD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00079" w14:paraId="40D38B43" w14:textId="77777777">
        <w:trPr>
          <w:cantSplit/>
          <w:trHeight w:val="964"/>
        </w:trPr>
        <w:tc>
          <w:tcPr>
            <w:tcW w:w="1260" w:type="dxa"/>
            <w:shd w:val="clear" w:color="auto" w:fill="FF0000"/>
            <w:vAlign w:val="center"/>
          </w:tcPr>
          <w:p w14:paraId="1B4F9810" w14:textId="77777777" w:rsidR="00151FD2" w:rsidRDefault="00151FD2">
            <w:pPr>
              <w:spacing w:before="60" w:after="60"/>
              <w:rPr>
                <w:rFonts w:eastAsia="Calibri"/>
                <w:szCs w:val="24"/>
              </w:rPr>
            </w:pPr>
          </w:p>
        </w:tc>
        <w:tc>
          <w:tcPr>
            <w:tcW w:w="7095" w:type="dxa"/>
            <w:shd w:val="clear" w:color="auto" w:fill="auto"/>
            <w:vAlign w:val="center"/>
          </w:tcPr>
          <w:p w14:paraId="578958A1" w14:textId="77777777" w:rsidR="00151FD2" w:rsidRDefault="00151FD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B1A08E1" w14:textId="77777777" w:rsidR="00151FD2" w:rsidRDefault="00151FD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E9255EB" w14:textId="77777777" w:rsidR="00151FD2" w:rsidRDefault="00151FD2">
      <w:pPr>
        <w:pStyle w:val="Heading2"/>
        <w:spacing w:after="0"/>
        <w:rPr>
          <w:rFonts w:cs="Arial"/>
        </w:rPr>
      </w:pPr>
      <w:r>
        <w:rPr>
          <w:rFonts w:cs="Arial"/>
        </w:rPr>
        <w:t>General overview of the audit</w:t>
      </w:r>
    </w:p>
    <w:p w14:paraId="1EF6E447" w14:textId="77777777" w:rsidR="00151FD2" w:rsidRDefault="00151FD2">
      <w:pPr>
        <w:spacing w:before="240" w:line="276" w:lineRule="auto"/>
        <w:rPr>
          <w:rFonts w:eastAsia="Calibri"/>
        </w:rPr>
      </w:pPr>
      <w:bookmarkStart w:id="13" w:name="GeneralOverview"/>
      <w:r w:rsidRPr="00A4268A">
        <w:rPr>
          <w:rFonts w:eastAsia="Calibri"/>
        </w:rPr>
        <w:t xml:space="preserve">CHT Carnarvon is owned and operated by the CHT Healthcare Trust. The service cares for up to 60 residents at hospital, and rest home levels of care. On the day of the audit, there were 58 residents. Residents and family/whānau interviewed spoke positively about the service provided. The general practitioner was unavailable for interview at the time of audit. </w:t>
      </w:r>
    </w:p>
    <w:p w14:paraId="00A02B59" w14:textId="77777777" w:rsidR="00100079" w:rsidRPr="00A4268A" w:rsidRDefault="00151FD2">
      <w:pPr>
        <w:spacing w:before="240" w:line="276" w:lineRule="auto"/>
        <w:rPr>
          <w:rFonts w:eastAsia="Calibri"/>
        </w:rPr>
      </w:pPr>
      <w:r w:rsidRPr="00A4268A">
        <w:rPr>
          <w:rFonts w:eastAsia="Calibri"/>
        </w:rPr>
        <w:t>This surveillance audit was conducted against the Ngā Paerewa Health and Disability Services Standard NZS 8134:2021 and the service’s contract with Health New Zealand – Te Whatu Ora. The audit process included reviewing policies and procedures, reviewing residents’ and staff records, and observing and interviewing residents, family/whānau, staff and management.</w:t>
      </w:r>
    </w:p>
    <w:p w14:paraId="1BABA79D" w14:textId="77777777" w:rsidR="00100079" w:rsidRPr="00A4268A" w:rsidRDefault="00151FD2">
      <w:pPr>
        <w:spacing w:before="240" w:line="276" w:lineRule="auto"/>
        <w:rPr>
          <w:rFonts w:eastAsia="Calibri"/>
        </w:rPr>
      </w:pPr>
      <w:r w:rsidRPr="00A4268A">
        <w:rPr>
          <w:rFonts w:eastAsia="Calibri"/>
        </w:rPr>
        <w:t>The care home manager oversees the service with the support of the area manager and clinical coordinator. Quality systems and processes are being implemented. An induction and in-service training programme are in place to provide staff with appropriate knowledge and skills to deliver care.</w:t>
      </w:r>
    </w:p>
    <w:p w14:paraId="2349E0F2" w14:textId="77777777" w:rsidR="00100079" w:rsidRPr="00A4268A" w:rsidRDefault="00151FD2">
      <w:pPr>
        <w:spacing w:before="240" w:line="276" w:lineRule="auto"/>
        <w:rPr>
          <w:rFonts w:eastAsia="Calibri"/>
        </w:rPr>
      </w:pPr>
      <w:r w:rsidRPr="00A4268A">
        <w:rPr>
          <w:rFonts w:eastAsia="Calibri"/>
        </w:rPr>
        <w:t xml:space="preserve">The partial attainment identified at the previous audit related to meetings has been satisfied, and the continuous improvement rating for recognition of Māori and implementation and integration of the Māori health plan into day-to-day service delivery awarded at the previous audit has been maintained. </w:t>
      </w:r>
    </w:p>
    <w:p w14:paraId="644757A6" w14:textId="77777777" w:rsidR="00100079" w:rsidRPr="00A4268A" w:rsidRDefault="00151FD2">
      <w:pPr>
        <w:spacing w:before="240" w:line="276" w:lineRule="auto"/>
        <w:rPr>
          <w:rFonts w:eastAsia="Calibri"/>
        </w:rPr>
      </w:pPr>
      <w:r w:rsidRPr="00A4268A">
        <w:rPr>
          <w:rFonts w:eastAsia="Calibri"/>
        </w:rPr>
        <w:t>This audit identified that the service meets the required subset of the Ngā Paerewa Standard.</w:t>
      </w:r>
    </w:p>
    <w:bookmarkEnd w:id="13"/>
    <w:p w14:paraId="1FFA788D" w14:textId="77777777" w:rsidR="00100079" w:rsidRPr="00A4268A" w:rsidRDefault="00100079">
      <w:pPr>
        <w:spacing w:before="240" w:line="276" w:lineRule="auto"/>
        <w:rPr>
          <w:rFonts w:eastAsia="Calibri"/>
        </w:rPr>
      </w:pPr>
    </w:p>
    <w:p w14:paraId="66EF70F8" w14:textId="77777777" w:rsidR="00151FD2" w:rsidRDefault="00151FD2"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079" w14:paraId="7045F062" w14:textId="77777777" w:rsidTr="00A4268A">
        <w:trPr>
          <w:cantSplit/>
        </w:trPr>
        <w:tc>
          <w:tcPr>
            <w:tcW w:w="10206" w:type="dxa"/>
            <w:vAlign w:val="center"/>
          </w:tcPr>
          <w:p w14:paraId="0ACDB955" w14:textId="77777777" w:rsidR="00151FD2" w:rsidRPr="00FB778F" w:rsidRDefault="00151FD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14BA030" w14:textId="77777777" w:rsidR="00151FD2" w:rsidRPr="00621629" w:rsidRDefault="00151FD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D4D0EA8" w14:textId="77777777" w:rsidR="00151FD2" w:rsidRPr="00621629" w:rsidRDefault="00151FD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03805DE" w14:textId="77777777" w:rsidR="00151FD2" w:rsidRPr="00621629" w:rsidRDefault="00151FD2" w:rsidP="008F3634">
            <w:pPr>
              <w:spacing w:before="60" w:after="60" w:line="276" w:lineRule="auto"/>
              <w:rPr>
                <w:rFonts w:eastAsia="Calibri"/>
              </w:rPr>
            </w:pPr>
            <w:bookmarkStart w:id="15" w:name="IndicatorDescription1_1"/>
            <w:bookmarkEnd w:id="15"/>
            <w:r>
              <w:t>Subsections applicable to this service fully attained.</w:t>
            </w:r>
          </w:p>
        </w:tc>
      </w:tr>
    </w:tbl>
    <w:p w14:paraId="4623DE88" w14:textId="77777777" w:rsidR="00151FD2" w:rsidRDefault="00151FD2">
      <w:pPr>
        <w:spacing w:before="240" w:line="276" w:lineRule="auto"/>
        <w:rPr>
          <w:rFonts w:eastAsia="Calibri"/>
        </w:rPr>
      </w:pPr>
      <w:bookmarkStart w:id="16" w:name="ConsumerRights"/>
      <w:r w:rsidRPr="00A4268A">
        <w:rPr>
          <w:rFonts w:eastAsia="Calibri"/>
        </w:rPr>
        <w:t xml:space="preserve">CHT Carnarvon has a Māori and Pacific peoples’ health policy in place. The policy outlines CHT Carnarvon ’s commitment to Te Tiriti o Waitangi and Te Whare Tapa Whā model of care.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 and are culturally safe. </w:t>
      </w:r>
      <w:r w:rsidRPr="00A4268A">
        <w:rPr>
          <w:rFonts w:eastAsia="Calibri"/>
        </w:rPr>
        <w:t>Residents and staff stated that culturally appropriate care is provided.</w:t>
      </w:r>
    </w:p>
    <w:p w14:paraId="691CD5DB" w14:textId="77777777" w:rsidR="00100079" w:rsidRPr="00A4268A" w:rsidRDefault="00151FD2">
      <w:pPr>
        <w:spacing w:before="240" w:line="276" w:lineRule="auto"/>
        <w:rPr>
          <w:rFonts w:eastAsia="Calibri"/>
        </w:rPr>
      </w:pPr>
      <w:r w:rsidRPr="00A4268A">
        <w:rPr>
          <w:rFonts w:eastAsia="Calibri"/>
        </w:rPr>
        <w:t xml:space="preserve">Residents receive services in a manner that considers their dignity, privacy, and independence. The service provides services and support to people inclusively and respects their identity and experiences. The service listens to and respects the residents' voices and effectively communicates with them about their choices. Care plans accommodate the choices of residents and their family/whānau. </w:t>
      </w:r>
    </w:p>
    <w:p w14:paraId="12451338" w14:textId="77777777" w:rsidR="00100079" w:rsidRPr="00A4268A" w:rsidRDefault="00151FD2">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7EFF0AF4" w14:textId="77777777" w:rsidR="00100079" w:rsidRPr="00A4268A" w:rsidRDefault="00100079">
      <w:pPr>
        <w:spacing w:before="240" w:line="276" w:lineRule="auto"/>
        <w:rPr>
          <w:rFonts w:eastAsia="Calibri"/>
        </w:rPr>
      </w:pPr>
    </w:p>
    <w:p w14:paraId="19543B03" w14:textId="77777777" w:rsidR="00151FD2" w:rsidRDefault="00151FD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079" w14:paraId="08026C57" w14:textId="77777777" w:rsidTr="00A4268A">
        <w:trPr>
          <w:cantSplit/>
        </w:trPr>
        <w:tc>
          <w:tcPr>
            <w:tcW w:w="10206" w:type="dxa"/>
            <w:vAlign w:val="center"/>
          </w:tcPr>
          <w:p w14:paraId="4F68AC0B" w14:textId="77777777" w:rsidR="00151FD2" w:rsidRPr="00621629" w:rsidRDefault="00151FD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D9D068C" w14:textId="77777777" w:rsidR="00151FD2" w:rsidRPr="00621629" w:rsidRDefault="00151FD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C111FED" w14:textId="77777777" w:rsidR="00151FD2" w:rsidRPr="00621629" w:rsidRDefault="00151FD2" w:rsidP="00621629">
            <w:pPr>
              <w:spacing w:before="60" w:after="60" w:line="276" w:lineRule="auto"/>
              <w:rPr>
                <w:rFonts w:eastAsia="Calibri"/>
              </w:rPr>
            </w:pPr>
            <w:bookmarkStart w:id="18" w:name="IndicatorDescription1_2"/>
            <w:bookmarkEnd w:id="18"/>
            <w:r>
              <w:t>Subsections applicable to this service fully attained.</w:t>
            </w:r>
          </w:p>
        </w:tc>
      </w:tr>
    </w:tbl>
    <w:p w14:paraId="600303A5" w14:textId="77777777" w:rsidR="00151FD2" w:rsidRDefault="00151FD2">
      <w:pPr>
        <w:spacing w:before="240" w:line="276" w:lineRule="auto"/>
        <w:rPr>
          <w:rFonts w:eastAsia="Calibri"/>
        </w:rPr>
      </w:pPr>
      <w:bookmarkStart w:id="19" w:name="OrganisationalManagement"/>
      <w:r w:rsidRPr="00A4268A">
        <w:rPr>
          <w:rFonts w:eastAsia="Calibri"/>
        </w:rPr>
        <w:lastRenderedPageBreak/>
        <w:t xml:space="preserve">The business organisational plan includes a mission statement and operational objectives. The quality and risk management systems are focused on quality service provision and care. The quality and risk management processes use a risk-based approach. Policies and procedures are current. </w:t>
      </w:r>
    </w:p>
    <w:p w14:paraId="6EAFBA10" w14:textId="77777777" w:rsidR="00100079" w:rsidRPr="00A4268A" w:rsidRDefault="00151FD2">
      <w:pPr>
        <w:spacing w:before="240" w:line="276" w:lineRule="auto"/>
        <w:rPr>
          <w:rFonts w:eastAsia="Calibri"/>
        </w:rPr>
      </w:pPr>
      <w:r w:rsidRPr="00A4268A">
        <w:rPr>
          <w:rFonts w:eastAsia="Calibri"/>
        </w:rPr>
        <w:t>The service and management ensure the best outcomes for residents and that their health and safety are a priority. Actual and potential risks are identified and mitigated. The service complies with all statutory and regulatory reporting obligations and meets the contract's requirements with Health New Zealand -Te Whatu Ora.</w:t>
      </w:r>
    </w:p>
    <w:p w14:paraId="6681F1F2" w14:textId="77777777" w:rsidR="00100079" w:rsidRPr="00A4268A" w:rsidRDefault="00151FD2">
      <w:pPr>
        <w:spacing w:before="240" w:line="276" w:lineRule="auto"/>
        <w:rPr>
          <w:rFonts w:eastAsia="Calibri"/>
        </w:rPr>
      </w:pPr>
      <w:r w:rsidRPr="00A4268A">
        <w:rPr>
          <w:rFonts w:eastAsia="Calibri"/>
        </w:rPr>
        <w:t>Staff coverage is maintained for all shifts. Residents' acuity is considered when planning and ensuring adequate coverage. Staff employed are provided with orientation, job descriptions and receive education. All employed and contracted health professionals maintain a current practising certificate.</w:t>
      </w:r>
    </w:p>
    <w:bookmarkEnd w:id="19"/>
    <w:p w14:paraId="222BADC1" w14:textId="77777777" w:rsidR="00100079" w:rsidRPr="00A4268A" w:rsidRDefault="00100079">
      <w:pPr>
        <w:spacing w:before="240" w:line="276" w:lineRule="auto"/>
        <w:rPr>
          <w:rFonts w:eastAsia="Calibri"/>
        </w:rPr>
      </w:pPr>
    </w:p>
    <w:p w14:paraId="00B57A9E" w14:textId="77777777" w:rsidR="00151FD2" w:rsidRDefault="00151FD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079" w14:paraId="730F0626" w14:textId="77777777" w:rsidTr="00A4268A">
        <w:trPr>
          <w:cantSplit/>
        </w:trPr>
        <w:tc>
          <w:tcPr>
            <w:tcW w:w="10206" w:type="dxa"/>
            <w:vAlign w:val="center"/>
          </w:tcPr>
          <w:p w14:paraId="4D2DA709" w14:textId="77777777" w:rsidR="00151FD2" w:rsidRPr="00621629" w:rsidRDefault="00151FD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B6DE17B" w14:textId="77777777" w:rsidR="00151FD2" w:rsidRPr="00621629" w:rsidRDefault="00151FD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1700F7C" w14:textId="77777777" w:rsidR="00151FD2" w:rsidRPr="00621629" w:rsidRDefault="00151FD2" w:rsidP="00621629">
            <w:pPr>
              <w:spacing w:before="60" w:after="60" w:line="276" w:lineRule="auto"/>
              <w:rPr>
                <w:rFonts w:eastAsia="Calibri"/>
              </w:rPr>
            </w:pPr>
            <w:bookmarkStart w:id="21" w:name="IndicatorDescription1_3"/>
            <w:bookmarkEnd w:id="21"/>
            <w:r>
              <w:t>Subsections applicable to this service fully attained.</w:t>
            </w:r>
          </w:p>
        </w:tc>
      </w:tr>
    </w:tbl>
    <w:p w14:paraId="226BD49F" w14:textId="77777777" w:rsidR="00151FD2" w:rsidRPr="005E14A4" w:rsidRDefault="00151FD2"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1DC89222" w14:textId="77777777" w:rsidR="00100079" w:rsidRPr="00A4268A" w:rsidRDefault="00151FD2"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329AE8EF" w14:textId="77777777" w:rsidR="00100079" w:rsidRPr="00A4268A" w:rsidRDefault="00151FD2"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7BE6F6B5" w14:textId="77777777" w:rsidR="00100079" w:rsidRPr="00A4268A" w:rsidRDefault="00151FD2" w:rsidP="00621629">
      <w:pPr>
        <w:spacing w:before="240" w:line="276" w:lineRule="auto"/>
        <w:rPr>
          <w:rFonts w:eastAsia="Calibri"/>
        </w:rPr>
      </w:pPr>
      <w:r w:rsidRPr="00A4268A">
        <w:rPr>
          <w:rFonts w:eastAsia="Calibri"/>
        </w:rPr>
        <w:lastRenderedPageBreak/>
        <w:t xml:space="preserve">All residents’ transfers and </w:t>
      </w:r>
      <w:r w:rsidRPr="00A4268A">
        <w:rPr>
          <w:rFonts w:eastAsia="Calibri"/>
        </w:rPr>
        <w:t>referrals are coordinated with residents and families/whānau.</w:t>
      </w:r>
    </w:p>
    <w:bookmarkEnd w:id="22"/>
    <w:p w14:paraId="66936E72" w14:textId="77777777" w:rsidR="00100079" w:rsidRPr="00A4268A" w:rsidRDefault="00100079" w:rsidP="00621629">
      <w:pPr>
        <w:spacing w:before="240" w:line="276" w:lineRule="auto"/>
        <w:rPr>
          <w:rFonts w:eastAsia="Calibri"/>
        </w:rPr>
      </w:pPr>
    </w:p>
    <w:p w14:paraId="4100EC72" w14:textId="77777777" w:rsidR="00151FD2" w:rsidRDefault="00151FD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079" w14:paraId="6B3D632F" w14:textId="77777777" w:rsidTr="00A4268A">
        <w:trPr>
          <w:cantSplit/>
        </w:trPr>
        <w:tc>
          <w:tcPr>
            <w:tcW w:w="10206" w:type="dxa"/>
            <w:vAlign w:val="center"/>
          </w:tcPr>
          <w:p w14:paraId="5B7BB3DE" w14:textId="77777777" w:rsidR="00151FD2" w:rsidRPr="00621629" w:rsidRDefault="00151FD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3B03F6A" w14:textId="77777777" w:rsidR="00151FD2" w:rsidRPr="00621629" w:rsidRDefault="00151FD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B7D9157" w14:textId="77777777" w:rsidR="00151FD2" w:rsidRPr="00621629" w:rsidRDefault="00151FD2" w:rsidP="00621629">
            <w:pPr>
              <w:spacing w:before="60" w:after="60" w:line="276" w:lineRule="auto"/>
              <w:rPr>
                <w:rFonts w:eastAsia="Calibri"/>
              </w:rPr>
            </w:pPr>
            <w:bookmarkStart w:id="24" w:name="IndicatorDescription1_4"/>
            <w:bookmarkEnd w:id="24"/>
            <w:r>
              <w:t>Subsections applicable to this service fully attained.</w:t>
            </w:r>
          </w:p>
        </w:tc>
      </w:tr>
    </w:tbl>
    <w:p w14:paraId="2D130533" w14:textId="77777777" w:rsidR="00151FD2" w:rsidRDefault="00151FD2">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bookmarkEnd w:id="25"/>
    <w:p w14:paraId="4DBB4A92" w14:textId="77777777" w:rsidR="00100079" w:rsidRPr="00A4268A" w:rsidRDefault="00100079">
      <w:pPr>
        <w:spacing w:before="240" w:line="276" w:lineRule="auto"/>
        <w:rPr>
          <w:rFonts w:eastAsia="Calibri"/>
        </w:rPr>
      </w:pPr>
    </w:p>
    <w:p w14:paraId="2528A319" w14:textId="77777777" w:rsidR="00151FD2" w:rsidRDefault="00151FD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079" w14:paraId="1860BD05" w14:textId="77777777" w:rsidTr="00A4268A">
        <w:trPr>
          <w:cantSplit/>
        </w:trPr>
        <w:tc>
          <w:tcPr>
            <w:tcW w:w="10206" w:type="dxa"/>
            <w:vAlign w:val="center"/>
          </w:tcPr>
          <w:p w14:paraId="2305CAAE" w14:textId="77777777" w:rsidR="00151FD2" w:rsidRPr="00621629" w:rsidRDefault="00151FD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03D2B76" w14:textId="77777777" w:rsidR="00151FD2" w:rsidRPr="00621629" w:rsidRDefault="00151FD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5B914D3" w14:textId="77777777" w:rsidR="00151FD2" w:rsidRPr="00621629" w:rsidRDefault="00151FD2" w:rsidP="00621629">
            <w:pPr>
              <w:spacing w:before="60" w:after="60" w:line="276" w:lineRule="auto"/>
              <w:rPr>
                <w:rFonts w:eastAsia="Calibri"/>
              </w:rPr>
            </w:pPr>
            <w:bookmarkStart w:id="27" w:name="IndicatorDescription2"/>
            <w:bookmarkEnd w:id="27"/>
            <w:r>
              <w:t>Subsections applicable to this service fully attained.</w:t>
            </w:r>
          </w:p>
        </w:tc>
      </w:tr>
    </w:tbl>
    <w:p w14:paraId="52401E8A" w14:textId="77777777" w:rsidR="00151FD2" w:rsidRDefault="00151FD2">
      <w:pPr>
        <w:spacing w:before="240" w:line="276" w:lineRule="auto"/>
        <w:rPr>
          <w:rFonts w:eastAsia="Calibri"/>
        </w:rPr>
      </w:pPr>
      <w:bookmarkStart w:id="28" w:name="RestraintMinimisationAndSafePractice"/>
      <w:r w:rsidRPr="00A4268A">
        <w:rPr>
          <w:rFonts w:eastAsia="Calibri"/>
        </w:rPr>
        <w:t xml:space="preserve">A comprehensive infection control programme in in place which has been reviewed annually. Staff orientation and ongoing education are maintained. </w:t>
      </w:r>
    </w:p>
    <w:p w14:paraId="00E0770B" w14:textId="77777777" w:rsidR="00100079" w:rsidRPr="00A4268A" w:rsidRDefault="00151FD2">
      <w:pPr>
        <w:spacing w:before="240" w:line="276" w:lineRule="auto"/>
        <w:rPr>
          <w:rFonts w:eastAsia="Calibri"/>
        </w:rPr>
      </w:pPr>
      <w:r w:rsidRPr="00A4268A">
        <w:rPr>
          <w:rFonts w:eastAsia="Calibri"/>
        </w:rPr>
        <w:t>Surveillance of health care-associated infections is undertaken, and results shared with all staff. Follow-up action is taken as and when required. There have been no outbreaks since the previous audit.</w:t>
      </w:r>
    </w:p>
    <w:bookmarkEnd w:id="28"/>
    <w:p w14:paraId="3E438B7B" w14:textId="77777777" w:rsidR="00100079" w:rsidRPr="00A4268A" w:rsidRDefault="00100079">
      <w:pPr>
        <w:spacing w:before="240" w:line="276" w:lineRule="auto"/>
        <w:rPr>
          <w:rFonts w:eastAsia="Calibri"/>
        </w:rPr>
      </w:pPr>
    </w:p>
    <w:p w14:paraId="404AC726" w14:textId="77777777" w:rsidR="00151FD2" w:rsidRDefault="00151FD2"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079" w14:paraId="4EDFD746" w14:textId="77777777" w:rsidTr="00A4268A">
        <w:trPr>
          <w:cantSplit/>
        </w:trPr>
        <w:tc>
          <w:tcPr>
            <w:tcW w:w="10206" w:type="dxa"/>
            <w:vAlign w:val="center"/>
          </w:tcPr>
          <w:p w14:paraId="0FC6DD77" w14:textId="77777777" w:rsidR="00151FD2" w:rsidRPr="00621629" w:rsidRDefault="00151FD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B2ADDD8" w14:textId="77777777" w:rsidR="00151FD2" w:rsidRPr="00621629" w:rsidRDefault="00151FD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68D897A" w14:textId="77777777" w:rsidR="00151FD2" w:rsidRPr="00621629" w:rsidRDefault="00151FD2" w:rsidP="00621629">
            <w:pPr>
              <w:spacing w:before="60" w:after="60" w:line="276" w:lineRule="auto"/>
              <w:rPr>
                <w:rFonts w:eastAsia="Calibri"/>
              </w:rPr>
            </w:pPr>
            <w:bookmarkStart w:id="30" w:name="IndicatorDescription3"/>
            <w:bookmarkEnd w:id="30"/>
            <w:r>
              <w:t>Subsections applicable to this service fully attained.</w:t>
            </w:r>
          </w:p>
        </w:tc>
      </w:tr>
    </w:tbl>
    <w:p w14:paraId="7C527CFB" w14:textId="77777777" w:rsidR="00151FD2" w:rsidRDefault="00151FD2">
      <w:pPr>
        <w:spacing w:before="240" w:line="276" w:lineRule="auto"/>
        <w:rPr>
          <w:rFonts w:eastAsia="Calibri"/>
        </w:rPr>
      </w:pPr>
      <w:bookmarkStart w:id="31" w:name="InfectionPreventionAndControl"/>
      <w:r w:rsidRPr="00A4268A">
        <w:rPr>
          <w:rFonts w:eastAsia="Calibri"/>
        </w:rPr>
        <w:t>The restraint coordinator is a registered nurse. The facility had no residents using restraints at the time of audit. A focus on a restraint 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0391A040" w14:textId="77777777" w:rsidR="00100079" w:rsidRPr="00A4268A" w:rsidRDefault="00100079">
      <w:pPr>
        <w:spacing w:before="240" w:line="276" w:lineRule="auto"/>
        <w:rPr>
          <w:rFonts w:eastAsia="Calibri"/>
        </w:rPr>
      </w:pPr>
    </w:p>
    <w:p w14:paraId="04BD5C7E" w14:textId="77777777" w:rsidR="00151FD2" w:rsidRDefault="00151FD2" w:rsidP="000E6E02">
      <w:pPr>
        <w:pStyle w:val="Heading2"/>
        <w:spacing w:before="0"/>
        <w:rPr>
          <w:rFonts w:cs="Arial"/>
        </w:rPr>
      </w:pPr>
      <w:r>
        <w:rPr>
          <w:rFonts w:cs="Arial"/>
        </w:rPr>
        <w:t>Summary of attainment</w:t>
      </w:r>
    </w:p>
    <w:p w14:paraId="6F920BD0" w14:textId="77777777" w:rsidR="00151FD2" w:rsidRDefault="00151FD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00079" w14:paraId="2C0F50AE" w14:textId="77777777">
        <w:tc>
          <w:tcPr>
            <w:tcW w:w="1384" w:type="dxa"/>
            <w:vAlign w:val="center"/>
          </w:tcPr>
          <w:p w14:paraId="50DC13B0" w14:textId="77777777" w:rsidR="00151FD2" w:rsidRDefault="00151FD2">
            <w:pPr>
              <w:keepNext/>
              <w:spacing w:before="60" w:after="60"/>
              <w:rPr>
                <w:rFonts w:cs="Arial"/>
                <w:b/>
                <w:sz w:val="20"/>
                <w:szCs w:val="20"/>
              </w:rPr>
            </w:pPr>
            <w:r>
              <w:rPr>
                <w:rFonts w:cs="Arial"/>
                <w:b/>
                <w:sz w:val="20"/>
                <w:szCs w:val="20"/>
              </w:rPr>
              <w:t>Attainment Rating</w:t>
            </w:r>
          </w:p>
        </w:tc>
        <w:tc>
          <w:tcPr>
            <w:tcW w:w="1701" w:type="dxa"/>
            <w:vAlign w:val="center"/>
          </w:tcPr>
          <w:p w14:paraId="25EC1AC9" w14:textId="77777777" w:rsidR="00151FD2" w:rsidRDefault="00151FD2">
            <w:pPr>
              <w:keepNext/>
              <w:spacing w:before="60" w:after="60"/>
              <w:jc w:val="center"/>
              <w:rPr>
                <w:rFonts w:cs="Arial"/>
                <w:b/>
                <w:sz w:val="20"/>
                <w:szCs w:val="20"/>
              </w:rPr>
            </w:pPr>
            <w:r>
              <w:rPr>
                <w:rFonts w:cs="Arial"/>
                <w:b/>
                <w:sz w:val="20"/>
                <w:szCs w:val="20"/>
              </w:rPr>
              <w:t>Continuous Improvement</w:t>
            </w:r>
          </w:p>
          <w:p w14:paraId="6DCC4E4F" w14:textId="77777777" w:rsidR="00151FD2" w:rsidRDefault="00151FD2">
            <w:pPr>
              <w:keepNext/>
              <w:spacing w:before="60" w:after="60"/>
              <w:jc w:val="center"/>
              <w:rPr>
                <w:rFonts w:cs="Arial"/>
                <w:b/>
                <w:sz w:val="20"/>
                <w:szCs w:val="20"/>
              </w:rPr>
            </w:pPr>
            <w:r>
              <w:rPr>
                <w:rFonts w:cs="Arial"/>
                <w:b/>
                <w:sz w:val="20"/>
                <w:szCs w:val="20"/>
              </w:rPr>
              <w:t>(CI)</w:t>
            </w:r>
          </w:p>
        </w:tc>
        <w:tc>
          <w:tcPr>
            <w:tcW w:w="1843" w:type="dxa"/>
            <w:vAlign w:val="center"/>
          </w:tcPr>
          <w:p w14:paraId="51E51CDE" w14:textId="77777777" w:rsidR="00151FD2" w:rsidRDefault="00151FD2">
            <w:pPr>
              <w:keepNext/>
              <w:spacing w:before="60" w:after="60"/>
              <w:jc w:val="center"/>
              <w:rPr>
                <w:rFonts w:cs="Arial"/>
                <w:b/>
                <w:sz w:val="20"/>
                <w:szCs w:val="20"/>
              </w:rPr>
            </w:pPr>
            <w:r>
              <w:rPr>
                <w:rFonts w:cs="Arial"/>
                <w:b/>
                <w:sz w:val="20"/>
                <w:szCs w:val="20"/>
              </w:rPr>
              <w:t>Fully Attained</w:t>
            </w:r>
          </w:p>
          <w:p w14:paraId="5D914757" w14:textId="77777777" w:rsidR="00151FD2" w:rsidRDefault="00151FD2">
            <w:pPr>
              <w:keepNext/>
              <w:spacing w:before="60" w:after="60"/>
              <w:jc w:val="center"/>
              <w:rPr>
                <w:rFonts w:cs="Arial"/>
                <w:b/>
                <w:sz w:val="20"/>
                <w:szCs w:val="20"/>
              </w:rPr>
            </w:pPr>
            <w:r>
              <w:rPr>
                <w:rFonts w:cs="Arial"/>
                <w:b/>
                <w:sz w:val="20"/>
                <w:szCs w:val="20"/>
              </w:rPr>
              <w:t>(FA)</w:t>
            </w:r>
          </w:p>
        </w:tc>
        <w:tc>
          <w:tcPr>
            <w:tcW w:w="1843" w:type="dxa"/>
            <w:vAlign w:val="center"/>
          </w:tcPr>
          <w:p w14:paraId="296AB484" w14:textId="77777777" w:rsidR="00151FD2" w:rsidRDefault="00151FD2">
            <w:pPr>
              <w:keepNext/>
              <w:spacing w:before="60" w:after="60"/>
              <w:jc w:val="center"/>
              <w:rPr>
                <w:rFonts w:cs="Arial"/>
                <w:b/>
                <w:sz w:val="20"/>
                <w:szCs w:val="20"/>
              </w:rPr>
            </w:pPr>
            <w:r>
              <w:rPr>
                <w:rFonts w:cs="Arial"/>
                <w:b/>
                <w:sz w:val="20"/>
                <w:szCs w:val="20"/>
              </w:rPr>
              <w:t>Partially Attained Negligible Risk</w:t>
            </w:r>
          </w:p>
          <w:p w14:paraId="7D9BF29B" w14:textId="77777777" w:rsidR="00151FD2" w:rsidRDefault="00151FD2">
            <w:pPr>
              <w:keepNext/>
              <w:spacing w:before="60" w:after="60"/>
              <w:jc w:val="center"/>
              <w:rPr>
                <w:rFonts w:cs="Arial"/>
                <w:b/>
                <w:sz w:val="20"/>
                <w:szCs w:val="20"/>
              </w:rPr>
            </w:pPr>
            <w:r>
              <w:rPr>
                <w:rFonts w:cs="Arial"/>
                <w:b/>
                <w:sz w:val="20"/>
                <w:szCs w:val="20"/>
              </w:rPr>
              <w:t>(PA Negligible)</w:t>
            </w:r>
          </w:p>
        </w:tc>
        <w:tc>
          <w:tcPr>
            <w:tcW w:w="1842" w:type="dxa"/>
            <w:vAlign w:val="center"/>
          </w:tcPr>
          <w:p w14:paraId="62B72F86" w14:textId="77777777" w:rsidR="00151FD2" w:rsidRDefault="00151FD2">
            <w:pPr>
              <w:keepNext/>
              <w:spacing w:before="60" w:after="60"/>
              <w:jc w:val="center"/>
              <w:rPr>
                <w:rFonts w:cs="Arial"/>
                <w:b/>
                <w:sz w:val="20"/>
                <w:szCs w:val="20"/>
              </w:rPr>
            </w:pPr>
            <w:r>
              <w:rPr>
                <w:rFonts w:cs="Arial"/>
                <w:b/>
                <w:sz w:val="20"/>
                <w:szCs w:val="20"/>
              </w:rPr>
              <w:t>Partially Attained Low Risk</w:t>
            </w:r>
          </w:p>
          <w:p w14:paraId="28A71467" w14:textId="77777777" w:rsidR="00151FD2" w:rsidRDefault="00151FD2">
            <w:pPr>
              <w:keepNext/>
              <w:spacing w:before="60" w:after="60"/>
              <w:jc w:val="center"/>
              <w:rPr>
                <w:rFonts w:cs="Arial"/>
                <w:b/>
                <w:sz w:val="20"/>
                <w:szCs w:val="20"/>
              </w:rPr>
            </w:pPr>
            <w:r>
              <w:rPr>
                <w:rFonts w:cs="Arial"/>
                <w:b/>
                <w:sz w:val="20"/>
                <w:szCs w:val="20"/>
              </w:rPr>
              <w:t>(PA Low)</w:t>
            </w:r>
          </w:p>
        </w:tc>
        <w:tc>
          <w:tcPr>
            <w:tcW w:w="1843" w:type="dxa"/>
            <w:vAlign w:val="center"/>
          </w:tcPr>
          <w:p w14:paraId="2CC67C66" w14:textId="77777777" w:rsidR="00151FD2" w:rsidRDefault="00151FD2">
            <w:pPr>
              <w:keepNext/>
              <w:spacing w:before="60" w:after="60"/>
              <w:jc w:val="center"/>
              <w:rPr>
                <w:rFonts w:cs="Arial"/>
                <w:b/>
                <w:sz w:val="20"/>
                <w:szCs w:val="20"/>
              </w:rPr>
            </w:pPr>
            <w:r>
              <w:rPr>
                <w:rFonts w:cs="Arial"/>
                <w:b/>
                <w:sz w:val="20"/>
                <w:szCs w:val="20"/>
              </w:rPr>
              <w:t>Partially Attained Moderate Risk</w:t>
            </w:r>
          </w:p>
          <w:p w14:paraId="559F2BBF" w14:textId="77777777" w:rsidR="00151FD2" w:rsidRDefault="00151FD2">
            <w:pPr>
              <w:keepNext/>
              <w:spacing w:before="60" w:after="60"/>
              <w:jc w:val="center"/>
              <w:rPr>
                <w:rFonts w:cs="Arial"/>
                <w:b/>
                <w:sz w:val="20"/>
                <w:szCs w:val="20"/>
              </w:rPr>
            </w:pPr>
            <w:r>
              <w:rPr>
                <w:rFonts w:cs="Arial"/>
                <w:b/>
                <w:sz w:val="20"/>
                <w:szCs w:val="20"/>
              </w:rPr>
              <w:t>(PA Moderate)</w:t>
            </w:r>
          </w:p>
        </w:tc>
        <w:tc>
          <w:tcPr>
            <w:tcW w:w="1843" w:type="dxa"/>
            <w:vAlign w:val="center"/>
          </w:tcPr>
          <w:p w14:paraId="565E1E4B" w14:textId="77777777" w:rsidR="00151FD2" w:rsidRDefault="00151FD2">
            <w:pPr>
              <w:keepNext/>
              <w:spacing w:before="60" w:after="60"/>
              <w:jc w:val="center"/>
              <w:rPr>
                <w:rFonts w:cs="Arial"/>
                <w:b/>
                <w:sz w:val="20"/>
                <w:szCs w:val="20"/>
              </w:rPr>
            </w:pPr>
            <w:r>
              <w:rPr>
                <w:rFonts w:cs="Arial"/>
                <w:b/>
                <w:sz w:val="20"/>
                <w:szCs w:val="20"/>
              </w:rPr>
              <w:t>Partially Attained High Risk</w:t>
            </w:r>
          </w:p>
          <w:p w14:paraId="73BD1044" w14:textId="77777777" w:rsidR="00151FD2" w:rsidRDefault="00151FD2">
            <w:pPr>
              <w:keepNext/>
              <w:spacing w:before="60" w:after="60"/>
              <w:jc w:val="center"/>
              <w:rPr>
                <w:rFonts w:cs="Arial"/>
                <w:b/>
                <w:sz w:val="20"/>
                <w:szCs w:val="20"/>
              </w:rPr>
            </w:pPr>
            <w:r>
              <w:rPr>
                <w:rFonts w:cs="Arial"/>
                <w:b/>
                <w:sz w:val="20"/>
                <w:szCs w:val="20"/>
              </w:rPr>
              <w:t>(PA High)</w:t>
            </w:r>
          </w:p>
        </w:tc>
        <w:tc>
          <w:tcPr>
            <w:tcW w:w="1843" w:type="dxa"/>
            <w:vAlign w:val="center"/>
          </w:tcPr>
          <w:p w14:paraId="3725E58F" w14:textId="77777777" w:rsidR="00151FD2" w:rsidRDefault="00151FD2">
            <w:pPr>
              <w:keepNext/>
              <w:spacing w:before="60" w:after="60"/>
              <w:jc w:val="center"/>
              <w:rPr>
                <w:rFonts w:cs="Arial"/>
                <w:b/>
                <w:sz w:val="20"/>
                <w:szCs w:val="20"/>
              </w:rPr>
            </w:pPr>
            <w:r>
              <w:rPr>
                <w:rFonts w:cs="Arial"/>
                <w:b/>
                <w:sz w:val="20"/>
                <w:szCs w:val="20"/>
              </w:rPr>
              <w:t>Partially Attained Critical Risk</w:t>
            </w:r>
          </w:p>
          <w:p w14:paraId="43E4654F" w14:textId="77777777" w:rsidR="00151FD2" w:rsidRDefault="00151FD2">
            <w:pPr>
              <w:keepNext/>
              <w:spacing w:before="60" w:after="60"/>
              <w:jc w:val="center"/>
              <w:rPr>
                <w:rFonts w:cs="Arial"/>
                <w:b/>
                <w:sz w:val="20"/>
                <w:szCs w:val="20"/>
              </w:rPr>
            </w:pPr>
            <w:r>
              <w:rPr>
                <w:rFonts w:cs="Arial"/>
                <w:b/>
                <w:sz w:val="20"/>
                <w:szCs w:val="20"/>
              </w:rPr>
              <w:t>(PA Critical)</w:t>
            </w:r>
          </w:p>
        </w:tc>
      </w:tr>
      <w:tr w:rsidR="00100079" w14:paraId="61CD0DF6" w14:textId="77777777">
        <w:tc>
          <w:tcPr>
            <w:tcW w:w="1384" w:type="dxa"/>
            <w:vAlign w:val="center"/>
          </w:tcPr>
          <w:p w14:paraId="6296F9E7" w14:textId="77777777" w:rsidR="00151FD2" w:rsidRDefault="00151FD2">
            <w:pPr>
              <w:keepNext/>
              <w:spacing w:before="60" w:after="60"/>
              <w:rPr>
                <w:rFonts w:cs="Arial"/>
                <w:b/>
                <w:sz w:val="20"/>
                <w:szCs w:val="20"/>
              </w:rPr>
            </w:pPr>
            <w:r>
              <w:rPr>
                <w:rFonts w:cs="Arial"/>
                <w:b/>
                <w:sz w:val="20"/>
                <w:szCs w:val="20"/>
              </w:rPr>
              <w:t>Subsection</w:t>
            </w:r>
          </w:p>
        </w:tc>
        <w:tc>
          <w:tcPr>
            <w:tcW w:w="1701" w:type="dxa"/>
            <w:vAlign w:val="center"/>
          </w:tcPr>
          <w:p w14:paraId="54FDF2D3" w14:textId="77777777" w:rsidR="00151FD2" w:rsidRDefault="00151FD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5975AD" w14:textId="77777777" w:rsidR="00151FD2" w:rsidRDefault="00151FD2"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C042C56" w14:textId="77777777" w:rsidR="00151FD2" w:rsidRDefault="00151FD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725CBD1" w14:textId="77777777" w:rsidR="00151FD2" w:rsidRDefault="00151FD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008CBF7" w14:textId="77777777" w:rsidR="00151FD2" w:rsidRDefault="00151FD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C85C808" w14:textId="77777777" w:rsidR="00151FD2" w:rsidRDefault="00151FD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35793C7" w14:textId="77777777" w:rsidR="00151FD2" w:rsidRDefault="00151FD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00079" w14:paraId="53966E36" w14:textId="77777777">
        <w:tc>
          <w:tcPr>
            <w:tcW w:w="1384" w:type="dxa"/>
            <w:vAlign w:val="center"/>
          </w:tcPr>
          <w:p w14:paraId="129D79F3" w14:textId="77777777" w:rsidR="00151FD2" w:rsidRDefault="00151FD2">
            <w:pPr>
              <w:keepNext/>
              <w:spacing w:before="60" w:after="60"/>
              <w:rPr>
                <w:rFonts w:cs="Arial"/>
                <w:b/>
                <w:sz w:val="20"/>
                <w:szCs w:val="20"/>
              </w:rPr>
            </w:pPr>
            <w:r>
              <w:rPr>
                <w:rFonts w:cs="Arial"/>
                <w:b/>
                <w:sz w:val="20"/>
                <w:szCs w:val="20"/>
              </w:rPr>
              <w:t>Criteria</w:t>
            </w:r>
          </w:p>
        </w:tc>
        <w:tc>
          <w:tcPr>
            <w:tcW w:w="1701" w:type="dxa"/>
            <w:vAlign w:val="center"/>
          </w:tcPr>
          <w:p w14:paraId="3E5C221D" w14:textId="77777777" w:rsidR="00151FD2" w:rsidRDefault="00151FD2">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F958D45" w14:textId="77777777" w:rsidR="00151FD2" w:rsidRDefault="00151FD2"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57598EFE" w14:textId="77777777" w:rsidR="00151FD2" w:rsidRDefault="00151FD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1CF9B17" w14:textId="77777777" w:rsidR="00151FD2" w:rsidRDefault="00151FD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47D7BA7" w14:textId="77777777" w:rsidR="00151FD2" w:rsidRDefault="00151FD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CFD7548" w14:textId="77777777" w:rsidR="00151FD2" w:rsidRDefault="00151FD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2892D2A" w14:textId="77777777" w:rsidR="00151FD2" w:rsidRDefault="00151FD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D0EF22C" w14:textId="77777777" w:rsidR="00151FD2" w:rsidRDefault="00151FD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00079" w14:paraId="357B5124" w14:textId="77777777">
        <w:tc>
          <w:tcPr>
            <w:tcW w:w="1384" w:type="dxa"/>
            <w:vAlign w:val="center"/>
          </w:tcPr>
          <w:p w14:paraId="516D52AE" w14:textId="77777777" w:rsidR="00151FD2" w:rsidRDefault="00151FD2">
            <w:pPr>
              <w:keepNext/>
              <w:spacing w:before="60" w:after="60"/>
              <w:rPr>
                <w:rFonts w:cs="Arial"/>
                <w:b/>
                <w:sz w:val="20"/>
                <w:szCs w:val="20"/>
              </w:rPr>
            </w:pPr>
            <w:r>
              <w:rPr>
                <w:rFonts w:cs="Arial"/>
                <w:b/>
                <w:sz w:val="20"/>
                <w:szCs w:val="20"/>
              </w:rPr>
              <w:t>Attainment Rating</w:t>
            </w:r>
          </w:p>
        </w:tc>
        <w:tc>
          <w:tcPr>
            <w:tcW w:w="1701" w:type="dxa"/>
            <w:vAlign w:val="center"/>
          </w:tcPr>
          <w:p w14:paraId="6A09CF1A" w14:textId="77777777" w:rsidR="00151FD2" w:rsidRDefault="00151FD2">
            <w:pPr>
              <w:keepNext/>
              <w:spacing w:before="60" w:after="60"/>
              <w:jc w:val="center"/>
              <w:rPr>
                <w:rFonts w:cs="Arial"/>
                <w:b/>
                <w:sz w:val="20"/>
                <w:szCs w:val="20"/>
              </w:rPr>
            </w:pPr>
            <w:r>
              <w:rPr>
                <w:rFonts w:cs="Arial"/>
                <w:b/>
                <w:sz w:val="20"/>
                <w:szCs w:val="20"/>
              </w:rPr>
              <w:t>Unattained Negligible Risk</w:t>
            </w:r>
          </w:p>
          <w:p w14:paraId="155AF5E2" w14:textId="77777777" w:rsidR="00151FD2" w:rsidRDefault="00151FD2">
            <w:pPr>
              <w:keepNext/>
              <w:spacing w:before="60" w:after="60"/>
              <w:jc w:val="center"/>
              <w:rPr>
                <w:rFonts w:cs="Arial"/>
                <w:b/>
                <w:sz w:val="20"/>
                <w:szCs w:val="20"/>
              </w:rPr>
            </w:pPr>
            <w:r>
              <w:rPr>
                <w:rFonts w:cs="Arial"/>
                <w:b/>
                <w:sz w:val="20"/>
                <w:szCs w:val="20"/>
              </w:rPr>
              <w:t>(UA Negligible)</w:t>
            </w:r>
          </w:p>
        </w:tc>
        <w:tc>
          <w:tcPr>
            <w:tcW w:w="1843" w:type="dxa"/>
            <w:vAlign w:val="center"/>
          </w:tcPr>
          <w:p w14:paraId="5D97A5FB" w14:textId="77777777" w:rsidR="00151FD2" w:rsidRDefault="00151FD2">
            <w:pPr>
              <w:keepNext/>
              <w:spacing w:before="60" w:after="60"/>
              <w:jc w:val="center"/>
              <w:rPr>
                <w:rFonts w:cs="Arial"/>
                <w:b/>
                <w:sz w:val="20"/>
                <w:szCs w:val="20"/>
              </w:rPr>
            </w:pPr>
            <w:r>
              <w:rPr>
                <w:rFonts w:cs="Arial"/>
                <w:b/>
                <w:sz w:val="20"/>
                <w:szCs w:val="20"/>
              </w:rPr>
              <w:t>Unattained Low Risk</w:t>
            </w:r>
          </w:p>
          <w:p w14:paraId="1DC787F2" w14:textId="77777777" w:rsidR="00151FD2" w:rsidRDefault="00151FD2">
            <w:pPr>
              <w:keepNext/>
              <w:spacing w:before="60" w:after="60"/>
              <w:jc w:val="center"/>
              <w:rPr>
                <w:rFonts w:cs="Arial"/>
                <w:b/>
                <w:sz w:val="20"/>
                <w:szCs w:val="20"/>
              </w:rPr>
            </w:pPr>
            <w:r>
              <w:rPr>
                <w:rFonts w:cs="Arial"/>
                <w:b/>
                <w:sz w:val="20"/>
                <w:szCs w:val="20"/>
              </w:rPr>
              <w:t>(UA Low)</w:t>
            </w:r>
          </w:p>
        </w:tc>
        <w:tc>
          <w:tcPr>
            <w:tcW w:w="1843" w:type="dxa"/>
            <w:vAlign w:val="center"/>
          </w:tcPr>
          <w:p w14:paraId="0AB708C3" w14:textId="77777777" w:rsidR="00151FD2" w:rsidRDefault="00151FD2">
            <w:pPr>
              <w:keepNext/>
              <w:spacing w:before="60" w:after="60"/>
              <w:jc w:val="center"/>
              <w:rPr>
                <w:rFonts w:cs="Arial"/>
                <w:b/>
                <w:sz w:val="20"/>
                <w:szCs w:val="20"/>
              </w:rPr>
            </w:pPr>
            <w:r>
              <w:rPr>
                <w:rFonts w:cs="Arial"/>
                <w:b/>
                <w:sz w:val="20"/>
                <w:szCs w:val="20"/>
              </w:rPr>
              <w:t>Unattained Moderate Risk</w:t>
            </w:r>
          </w:p>
          <w:p w14:paraId="2AD7DD02" w14:textId="77777777" w:rsidR="00151FD2" w:rsidRDefault="00151FD2">
            <w:pPr>
              <w:keepNext/>
              <w:spacing w:before="60" w:after="60"/>
              <w:jc w:val="center"/>
              <w:rPr>
                <w:rFonts w:cs="Arial"/>
                <w:b/>
                <w:sz w:val="20"/>
                <w:szCs w:val="20"/>
              </w:rPr>
            </w:pPr>
            <w:r>
              <w:rPr>
                <w:rFonts w:cs="Arial"/>
                <w:b/>
                <w:sz w:val="20"/>
                <w:szCs w:val="20"/>
              </w:rPr>
              <w:t>(UA Moderate)</w:t>
            </w:r>
          </w:p>
        </w:tc>
        <w:tc>
          <w:tcPr>
            <w:tcW w:w="1842" w:type="dxa"/>
            <w:vAlign w:val="center"/>
          </w:tcPr>
          <w:p w14:paraId="36466A19" w14:textId="77777777" w:rsidR="00151FD2" w:rsidRDefault="00151FD2">
            <w:pPr>
              <w:keepNext/>
              <w:spacing w:before="60" w:after="60"/>
              <w:jc w:val="center"/>
              <w:rPr>
                <w:rFonts w:cs="Arial"/>
                <w:b/>
                <w:sz w:val="20"/>
                <w:szCs w:val="20"/>
              </w:rPr>
            </w:pPr>
            <w:r>
              <w:rPr>
                <w:rFonts w:cs="Arial"/>
                <w:b/>
                <w:sz w:val="20"/>
                <w:szCs w:val="20"/>
              </w:rPr>
              <w:t>Unattained High Risk</w:t>
            </w:r>
          </w:p>
          <w:p w14:paraId="466108CA" w14:textId="77777777" w:rsidR="00151FD2" w:rsidRDefault="00151FD2">
            <w:pPr>
              <w:keepNext/>
              <w:spacing w:before="60" w:after="60"/>
              <w:jc w:val="center"/>
              <w:rPr>
                <w:rFonts w:cs="Arial"/>
                <w:b/>
                <w:sz w:val="20"/>
                <w:szCs w:val="20"/>
              </w:rPr>
            </w:pPr>
            <w:r>
              <w:rPr>
                <w:rFonts w:cs="Arial"/>
                <w:b/>
                <w:sz w:val="20"/>
                <w:szCs w:val="20"/>
              </w:rPr>
              <w:t>(UA High)</w:t>
            </w:r>
          </w:p>
        </w:tc>
        <w:tc>
          <w:tcPr>
            <w:tcW w:w="1843" w:type="dxa"/>
            <w:vAlign w:val="center"/>
          </w:tcPr>
          <w:p w14:paraId="139B00B5" w14:textId="77777777" w:rsidR="00151FD2" w:rsidRDefault="00151FD2">
            <w:pPr>
              <w:keepNext/>
              <w:spacing w:before="60" w:after="60"/>
              <w:jc w:val="center"/>
              <w:rPr>
                <w:rFonts w:cs="Arial"/>
                <w:b/>
                <w:sz w:val="20"/>
                <w:szCs w:val="20"/>
              </w:rPr>
            </w:pPr>
            <w:r>
              <w:rPr>
                <w:rFonts w:cs="Arial"/>
                <w:b/>
                <w:sz w:val="20"/>
                <w:szCs w:val="20"/>
              </w:rPr>
              <w:t>Unattained Critical Risk</w:t>
            </w:r>
          </w:p>
          <w:p w14:paraId="3C76D2A1" w14:textId="77777777" w:rsidR="00151FD2" w:rsidRDefault="00151FD2">
            <w:pPr>
              <w:keepNext/>
              <w:spacing w:before="60" w:after="60"/>
              <w:jc w:val="center"/>
              <w:rPr>
                <w:rFonts w:cs="Arial"/>
                <w:b/>
                <w:sz w:val="20"/>
                <w:szCs w:val="20"/>
              </w:rPr>
            </w:pPr>
            <w:r>
              <w:rPr>
                <w:rFonts w:cs="Arial"/>
                <w:b/>
                <w:sz w:val="20"/>
                <w:szCs w:val="20"/>
              </w:rPr>
              <w:t>(UA Critical)</w:t>
            </w:r>
          </w:p>
        </w:tc>
      </w:tr>
      <w:tr w:rsidR="00100079" w14:paraId="089B3627" w14:textId="77777777">
        <w:tc>
          <w:tcPr>
            <w:tcW w:w="1384" w:type="dxa"/>
            <w:vAlign w:val="center"/>
          </w:tcPr>
          <w:p w14:paraId="56E4A612" w14:textId="77777777" w:rsidR="00151FD2" w:rsidRDefault="00151FD2">
            <w:pPr>
              <w:keepNext/>
              <w:spacing w:before="60" w:after="60"/>
              <w:rPr>
                <w:rFonts w:cs="Arial"/>
                <w:b/>
                <w:sz w:val="20"/>
                <w:szCs w:val="20"/>
              </w:rPr>
            </w:pPr>
            <w:r>
              <w:rPr>
                <w:rFonts w:cs="Arial"/>
                <w:b/>
                <w:sz w:val="20"/>
                <w:szCs w:val="20"/>
              </w:rPr>
              <w:t>Subsection</w:t>
            </w:r>
          </w:p>
        </w:tc>
        <w:tc>
          <w:tcPr>
            <w:tcW w:w="1701" w:type="dxa"/>
            <w:vAlign w:val="center"/>
          </w:tcPr>
          <w:p w14:paraId="1CC3F222" w14:textId="77777777" w:rsidR="00151FD2" w:rsidRDefault="00151FD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42CC3EA" w14:textId="77777777" w:rsidR="00151FD2" w:rsidRDefault="00151FD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464BF5F" w14:textId="77777777" w:rsidR="00151FD2" w:rsidRDefault="00151FD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80E97C6" w14:textId="77777777" w:rsidR="00151FD2" w:rsidRDefault="00151FD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2E14EDD" w14:textId="77777777" w:rsidR="00151FD2" w:rsidRDefault="00151FD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00079" w14:paraId="58314EA3" w14:textId="77777777">
        <w:tc>
          <w:tcPr>
            <w:tcW w:w="1384" w:type="dxa"/>
            <w:vAlign w:val="center"/>
          </w:tcPr>
          <w:p w14:paraId="45791CAE" w14:textId="77777777" w:rsidR="00151FD2" w:rsidRDefault="00151FD2">
            <w:pPr>
              <w:spacing w:before="60" w:after="60"/>
              <w:rPr>
                <w:rFonts w:cs="Arial"/>
                <w:b/>
                <w:sz w:val="20"/>
                <w:szCs w:val="20"/>
              </w:rPr>
            </w:pPr>
            <w:r>
              <w:rPr>
                <w:rFonts w:cs="Arial"/>
                <w:b/>
                <w:sz w:val="20"/>
                <w:szCs w:val="20"/>
              </w:rPr>
              <w:t>Criteria</w:t>
            </w:r>
          </w:p>
        </w:tc>
        <w:tc>
          <w:tcPr>
            <w:tcW w:w="1701" w:type="dxa"/>
            <w:vAlign w:val="center"/>
          </w:tcPr>
          <w:p w14:paraId="524E26FC" w14:textId="77777777" w:rsidR="00151FD2" w:rsidRDefault="00151FD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B3A8158" w14:textId="77777777" w:rsidR="00151FD2" w:rsidRDefault="00151FD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E80C0BF" w14:textId="77777777" w:rsidR="00151FD2" w:rsidRDefault="00151FD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C6F2692" w14:textId="77777777" w:rsidR="00151FD2" w:rsidRDefault="00151FD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F2777F1" w14:textId="77777777" w:rsidR="00151FD2" w:rsidRDefault="00151FD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6A2A73E" w14:textId="77777777" w:rsidR="00151FD2" w:rsidRDefault="00151FD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8F6E22B" w14:textId="77777777" w:rsidR="00151FD2" w:rsidRDefault="00151FD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24F7426" w14:textId="77777777" w:rsidR="00151FD2" w:rsidRDefault="00151FD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D279832" w14:textId="77777777" w:rsidR="00151FD2" w:rsidRDefault="00151FD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1368"/>
        <w:gridCol w:w="6979"/>
      </w:tblGrid>
      <w:tr w:rsidR="00100079" w14:paraId="79DEC4E8" w14:textId="77777777">
        <w:tc>
          <w:tcPr>
            <w:tcW w:w="0" w:type="auto"/>
          </w:tcPr>
          <w:p w14:paraId="43066718" w14:textId="77777777" w:rsidR="00151FD2" w:rsidRPr="00BE00C7" w:rsidRDefault="00151FD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7ADCEA5" w14:textId="77777777" w:rsidR="00151FD2" w:rsidRPr="00BE00C7" w:rsidRDefault="00151FD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1DD825C" w14:textId="77777777" w:rsidR="00151FD2" w:rsidRPr="00BE00C7" w:rsidRDefault="00151FD2" w:rsidP="00BE00C7">
            <w:pPr>
              <w:pStyle w:val="OutcomeDescription"/>
              <w:spacing w:before="120" w:after="120"/>
              <w:rPr>
                <w:rFonts w:cs="Arial"/>
                <w:b/>
                <w:lang w:eastAsia="en-NZ"/>
              </w:rPr>
            </w:pPr>
            <w:r w:rsidRPr="00BE00C7">
              <w:rPr>
                <w:rFonts w:cs="Arial"/>
                <w:b/>
                <w:lang w:eastAsia="en-NZ"/>
              </w:rPr>
              <w:t>Audit Evidence</w:t>
            </w:r>
          </w:p>
        </w:tc>
      </w:tr>
      <w:tr w:rsidR="00100079" w14:paraId="442BF832" w14:textId="77777777">
        <w:tc>
          <w:tcPr>
            <w:tcW w:w="0" w:type="auto"/>
          </w:tcPr>
          <w:p w14:paraId="7234EF0A" w14:textId="77777777" w:rsidR="00151FD2" w:rsidRPr="00BE00C7" w:rsidRDefault="00151FD2" w:rsidP="00BE00C7">
            <w:pPr>
              <w:pStyle w:val="OutcomeDescription"/>
              <w:spacing w:before="120" w:after="120"/>
              <w:rPr>
                <w:rFonts w:cs="Arial"/>
                <w:lang w:eastAsia="en-NZ"/>
              </w:rPr>
            </w:pPr>
            <w:r w:rsidRPr="00BE00C7">
              <w:rPr>
                <w:rFonts w:cs="Arial"/>
                <w:lang w:eastAsia="en-NZ"/>
              </w:rPr>
              <w:t>Subsection 1.1: Pae ora healthy futures</w:t>
            </w:r>
          </w:p>
          <w:p w14:paraId="73C34F16"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6BDF3F5" w14:textId="77777777" w:rsidR="00151FD2" w:rsidRPr="00BE00C7" w:rsidRDefault="00151FD2" w:rsidP="00BE00C7">
            <w:pPr>
              <w:pStyle w:val="OutcomeDescription"/>
              <w:spacing w:before="120" w:after="120"/>
              <w:rPr>
                <w:rFonts w:cs="Arial"/>
                <w:lang w:eastAsia="en-NZ"/>
              </w:rPr>
            </w:pPr>
          </w:p>
        </w:tc>
        <w:tc>
          <w:tcPr>
            <w:tcW w:w="0" w:type="auto"/>
          </w:tcPr>
          <w:p w14:paraId="6044C64F"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4978A967" w14:textId="77777777" w:rsidR="00151FD2" w:rsidRPr="00BE00C7" w:rsidRDefault="00151FD2" w:rsidP="00BE00C7">
            <w:pPr>
              <w:pStyle w:val="OutcomeDescription"/>
              <w:spacing w:before="120" w:after="120"/>
              <w:rPr>
                <w:rFonts w:cs="Arial"/>
                <w:lang w:eastAsia="en-NZ"/>
              </w:rPr>
            </w:pPr>
            <w:r w:rsidRPr="00BE00C7">
              <w:rPr>
                <w:rFonts w:cs="Arial"/>
                <w:lang w:eastAsia="en-NZ"/>
              </w:rPr>
              <w:t>The Māori health plan references local Māori health care providers and recognises Māori values and beliefs. CHT Carnarvon is committed to meeting its obligation under Te Tiriti o Waitangi and seeks to upload the articles and the rights of Tāngata Whenua in accordance with the United Nations Declaration on the Rights of Indigenous Peoples.</w:t>
            </w:r>
          </w:p>
          <w:p w14:paraId="3507B30E"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Family/whānau involvement is encouraged in assessment and care planning, and visiting is encouraged, as evidenced during interviews. Te Whare Tapa Wha health model is incorporated into all Māori and other residents' care. The service currently has residents who identify as Māori. </w:t>
            </w:r>
          </w:p>
          <w:p w14:paraId="036CE360"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management team and staff have completed training on Te Tiriti o Waitangi and health equity. The care home manager (CHM), acting clinical coordinator (CC), two registered nurses (RNs), three healthcare assistants (HCAs), housekeeper, chef manager, maintenance technician, activities coordinator, and administrator interviewed demonstrated awareness of cultural safety and were able to describe ways they apply the principles of Te Tiriti in their roles. </w:t>
            </w:r>
          </w:p>
          <w:p w14:paraId="6AF13FDD" w14:textId="61246FC9" w:rsidR="00151FD2" w:rsidRPr="00BE00C7" w:rsidRDefault="00151FD2" w:rsidP="00BE00C7">
            <w:pPr>
              <w:pStyle w:val="OutcomeDescription"/>
              <w:spacing w:before="120" w:after="120"/>
              <w:rPr>
                <w:rFonts w:cs="Arial"/>
                <w:lang w:eastAsia="en-NZ"/>
              </w:rPr>
            </w:pPr>
            <w:r w:rsidRPr="00BE00C7">
              <w:rPr>
                <w:rFonts w:cs="Arial"/>
                <w:lang w:eastAsia="en-NZ"/>
              </w:rPr>
              <w:t>The service has maintained the continuous improvement around improving services for Māori residents and integrating the Māori health plan into daily practice.</w:t>
            </w:r>
          </w:p>
        </w:tc>
      </w:tr>
      <w:tr w:rsidR="00100079" w14:paraId="5A947750" w14:textId="77777777">
        <w:tc>
          <w:tcPr>
            <w:tcW w:w="0" w:type="auto"/>
          </w:tcPr>
          <w:p w14:paraId="65DD7A31"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CA59672" w14:textId="77777777" w:rsidR="00151FD2" w:rsidRPr="00BE00C7" w:rsidRDefault="00151FD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7897BC9" w14:textId="77777777" w:rsidR="00151FD2" w:rsidRPr="00BE00C7" w:rsidRDefault="00151FD2" w:rsidP="00BE00C7">
            <w:pPr>
              <w:pStyle w:val="OutcomeDescription"/>
              <w:spacing w:before="120" w:after="120"/>
              <w:rPr>
                <w:rFonts w:cs="Arial"/>
                <w:lang w:eastAsia="en-NZ"/>
              </w:rPr>
            </w:pPr>
          </w:p>
        </w:tc>
        <w:tc>
          <w:tcPr>
            <w:tcW w:w="0" w:type="auto"/>
          </w:tcPr>
          <w:p w14:paraId="705ECF45"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004270A6"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There is a Pacific Health and Wellbeing Action Plan 2020-2025 that commits to providing appropriate and equitable care for residents who identify as Pasifika. The Pacific Model of Health (The Fonofale Model) guides on how Pacific people who engage with the service are supported. Cultural assessments and care plans for residents of each Pacific descent are available to implement. The service has current residents and staff who identify as Pasifika. Staff and management interviewed highlighted the importance </w:t>
            </w:r>
            <w:r w:rsidRPr="00BE00C7">
              <w:rPr>
                <w:rFonts w:cs="Arial"/>
                <w:lang w:eastAsia="en-NZ"/>
              </w:rPr>
              <w:t>of understanding and supporting each other’s culture.</w:t>
            </w:r>
          </w:p>
          <w:p w14:paraId="0FE8370C" w14:textId="77777777" w:rsidR="00151FD2" w:rsidRPr="00BE00C7" w:rsidRDefault="00151FD2" w:rsidP="00BE00C7">
            <w:pPr>
              <w:pStyle w:val="OutcomeDescription"/>
              <w:spacing w:before="120" w:after="120"/>
              <w:rPr>
                <w:rFonts w:cs="Arial"/>
                <w:lang w:eastAsia="en-NZ"/>
              </w:rPr>
            </w:pPr>
          </w:p>
        </w:tc>
      </w:tr>
      <w:tr w:rsidR="00100079" w14:paraId="060A09EC" w14:textId="77777777">
        <w:tc>
          <w:tcPr>
            <w:tcW w:w="0" w:type="auto"/>
          </w:tcPr>
          <w:p w14:paraId="0CB229DD" w14:textId="77777777" w:rsidR="00151FD2" w:rsidRPr="00BE00C7" w:rsidRDefault="00151FD2" w:rsidP="00BE00C7">
            <w:pPr>
              <w:pStyle w:val="OutcomeDescription"/>
              <w:spacing w:before="120" w:after="120"/>
              <w:rPr>
                <w:rFonts w:cs="Arial"/>
                <w:lang w:eastAsia="en-NZ"/>
              </w:rPr>
            </w:pPr>
            <w:r w:rsidRPr="00BE00C7">
              <w:rPr>
                <w:rFonts w:cs="Arial"/>
                <w:lang w:eastAsia="en-NZ"/>
              </w:rPr>
              <w:t>Subsection 1.3: My rights during service delivery</w:t>
            </w:r>
          </w:p>
          <w:p w14:paraId="29FCBB42" w14:textId="77777777" w:rsidR="00151FD2" w:rsidRPr="00BE00C7" w:rsidRDefault="00151FD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FA8A0C0" w14:textId="77777777" w:rsidR="00151FD2" w:rsidRPr="00BE00C7" w:rsidRDefault="00151FD2" w:rsidP="00BE00C7">
            <w:pPr>
              <w:pStyle w:val="OutcomeDescription"/>
              <w:spacing w:before="120" w:after="120"/>
              <w:rPr>
                <w:rFonts w:cs="Arial"/>
                <w:lang w:eastAsia="en-NZ"/>
              </w:rPr>
            </w:pPr>
          </w:p>
        </w:tc>
        <w:tc>
          <w:tcPr>
            <w:tcW w:w="0" w:type="auto"/>
          </w:tcPr>
          <w:p w14:paraId="632BD46B"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2380F194"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staff interviewed at the service understood the requirements of the Code of Health and Disability Services Consumers’ Rights (the Code) and were </w:t>
            </w:r>
            <w:r w:rsidRPr="00BE00C7">
              <w:rPr>
                <w:rFonts w:cs="Arial"/>
                <w:lang w:eastAsia="en-NZ"/>
              </w:rPr>
              <w:t>observed supporting residents to follow their wishes. Family/whānau (one rest home, and one hospital) and residents (two hospital, three rest home) interviewed reported being made aware of the Code and the Nationwide Health and Disability Advocacy Service (Advocacy Service), and confirmed they were provided with opportunities to discuss and clarify their rights. The residents and family/whānau interviewed, reported the Code of Rights was adhered to and residents were aware of their rights.</w:t>
            </w:r>
          </w:p>
          <w:p w14:paraId="24C0730A" w14:textId="77777777" w:rsidR="00151FD2" w:rsidRPr="00BE00C7" w:rsidRDefault="00151FD2" w:rsidP="00BE00C7">
            <w:pPr>
              <w:pStyle w:val="OutcomeDescription"/>
              <w:spacing w:before="120" w:after="120"/>
              <w:rPr>
                <w:rFonts w:cs="Arial"/>
                <w:lang w:eastAsia="en-NZ"/>
              </w:rPr>
            </w:pPr>
          </w:p>
        </w:tc>
      </w:tr>
      <w:tr w:rsidR="00100079" w14:paraId="09D9A8FE" w14:textId="77777777">
        <w:tc>
          <w:tcPr>
            <w:tcW w:w="0" w:type="auto"/>
          </w:tcPr>
          <w:p w14:paraId="4A2B5A8E" w14:textId="77777777" w:rsidR="00151FD2" w:rsidRPr="00BE00C7" w:rsidRDefault="00151FD2" w:rsidP="00BE00C7">
            <w:pPr>
              <w:pStyle w:val="OutcomeDescription"/>
              <w:spacing w:before="120" w:after="120"/>
              <w:rPr>
                <w:rFonts w:cs="Arial"/>
                <w:lang w:eastAsia="en-NZ"/>
              </w:rPr>
            </w:pPr>
            <w:r w:rsidRPr="00BE00C7">
              <w:rPr>
                <w:rFonts w:cs="Arial"/>
                <w:lang w:eastAsia="en-NZ"/>
              </w:rPr>
              <w:t>Subsection 1.5: I am protected from abuse</w:t>
            </w:r>
          </w:p>
          <w:p w14:paraId="7C3DDFC9" w14:textId="77777777" w:rsidR="00151FD2" w:rsidRPr="00BE00C7" w:rsidRDefault="00151FD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w:t>
            </w:r>
            <w:r w:rsidRPr="00BE00C7">
              <w:rPr>
                <w:rFonts w:cs="Arial"/>
                <w:lang w:eastAsia="en-NZ"/>
              </w:rPr>
              <w:t>people using our services are safe and protected from abuse.</w:t>
            </w:r>
          </w:p>
          <w:p w14:paraId="6CBF18EE" w14:textId="77777777" w:rsidR="00151FD2" w:rsidRPr="00BE00C7" w:rsidRDefault="00151FD2" w:rsidP="00BE00C7">
            <w:pPr>
              <w:pStyle w:val="OutcomeDescription"/>
              <w:spacing w:before="120" w:after="120"/>
              <w:rPr>
                <w:rFonts w:cs="Arial"/>
                <w:lang w:eastAsia="en-NZ"/>
              </w:rPr>
            </w:pPr>
          </w:p>
        </w:tc>
        <w:tc>
          <w:tcPr>
            <w:tcW w:w="0" w:type="auto"/>
          </w:tcPr>
          <w:p w14:paraId="7A2C467D"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0F991622" w14:textId="77777777" w:rsidR="00151FD2" w:rsidRPr="00BE00C7" w:rsidRDefault="00151FD2"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is provided to staff annually. Residents reported that their property and finances were respected, and professional boundaries were maintained.</w:t>
            </w:r>
          </w:p>
          <w:p w14:paraId="7EF2DF67"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CHM reported that staff are guided by the code of conduct to ensure the environment is safe and free from any form of institutional and/or systemic racism. Family/whānau and residents stated that they were free from any type of discrimination, harassment, physical or sexual abuse or neglect and were safe. Policies and procedures, such as the harassment, </w:t>
            </w:r>
            <w:r w:rsidRPr="00BE00C7">
              <w:rPr>
                <w:rFonts w:cs="Arial"/>
                <w:lang w:eastAsia="en-NZ"/>
              </w:rPr>
              <w:lastRenderedPageBreak/>
              <w:t>discrimination, and bullying policy, are in place. The policy applies to all staff, contractors, visitors, and residents.</w:t>
            </w:r>
          </w:p>
          <w:p w14:paraId="46717671" w14:textId="77777777" w:rsidR="00151FD2" w:rsidRPr="00BE00C7" w:rsidRDefault="00151FD2" w:rsidP="00BE00C7">
            <w:pPr>
              <w:pStyle w:val="OutcomeDescription"/>
              <w:spacing w:before="120" w:after="120"/>
              <w:rPr>
                <w:rFonts w:cs="Arial"/>
                <w:lang w:eastAsia="en-NZ"/>
              </w:rPr>
            </w:pPr>
          </w:p>
        </w:tc>
      </w:tr>
      <w:tr w:rsidR="00100079" w14:paraId="05A2FB7B" w14:textId="77777777">
        <w:tc>
          <w:tcPr>
            <w:tcW w:w="0" w:type="auto"/>
          </w:tcPr>
          <w:p w14:paraId="7E34C6E0"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9BE7ED4" w14:textId="77777777" w:rsidR="00151FD2" w:rsidRPr="00BE00C7" w:rsidRDefault="00151FD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C1463CF" w14:textId="77777777" w:rsidR="00151FD2" w:rsidRPr="00BE00C7" w:rsidRDefault="00151FD2" w:rsidP="00BE00C7">
            <w:pPr>
              <w:pStyle w:val="OutcomeDescription"/>
              <w:spacing w:before="120" w:after="120"/>
              <w:rPr>
                <w:rFonts w:cs="Arial"/>
                <w:lang w:eastAsia="en-NZ"/>
              </w:rPr>
            </w:pPr>
          </w:p>
        </w:tc>
        <w:tc>
          <w:tcPr>
            <w:tcW w:w="0" w:type="auto"/>
          </w:tcPr>
          <w:p w14:paraId="2545B90B"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7ED8A15A" w14:textId="77777777" w:rsidR="00151FD2" w:rsidRPr="00BE00C7" w:rsidRDefault="00151FD2" w:rsidP="00BE00C7">
            <w:pPr>
              <w:pStyle w:val="OutcomeDescription"/>
              <w:spacing w:before="120" w:after="120"/>
              <w:rPr>
                <w:rFonts w:cs="Arial"/>
                <w:lang w:eastAsia="en-NZ"/>
              </w:rPr>
            </w:pPr>
            <w:r w:rsidRPr="00BE00C7">
              <w:rPr>
                <w:rFonts w:cs="Arial"/>
                <w:lang w:eastAsia="en-NZ"/>
              </w:rPr>
              <w:t>Signed admission agreements were evidenced in the sampled residents’ records. Informed consent for specific procedures had been gained appropriately. All residents’ files reviewed contained appropriately signed consent forms. Family/whānau (with resident consent) are involved in decision making. This was verified in interviews with residents and family/whānau. Staff reported that they are encouraged to refer to the Māori health policy on tikanga best practice. Staff have received training on cultural safety</w:t>
            </w:r>
            <w:r w:rsidRPr="00BE00C7">
              <w:rPr>
                <w:rFonts w:cs="Arial"/>
                <w:lang w:eastAsia="en-NZ"/>
              </w:rPr>
              <w:t xml:space="preserve"> and tikanga best practice. Training has been provided to staff around Code of Rights, informed consent, and enduring power of attorney.</w:t>
            </w:r>
          </w:p>
          <w:p w14:paraId="57B2E90A" w14:textId="77777777" w:rsidR="00151FD2" w:rsidRPr="00BE00C7" w:rsidRDefault="00151FD2" w:rsidP="00BE00C7">
            <w:pPr>
              <w:pStyle w:val="OutcomeDescription"/>
              <w:spacing w:before="120" w:after="120"/>
              <w:rPr>
                <w:rFonts w:cs="Arial"/>
                <w:lang w:eastAsia="en-NZ"/>
              </w:rPr>
            </w:pPr>
          </w:p>
        </w:tc>
      </w:tr>
      <w:tr w:rsidR="00100079" w14:paraId="56677AD1" w14:textId="77777777">
        <w:tc>
          <w:tcPr>
            <w:tcW w:w="0" w:type="auto"/>
          </w:tcPr>
          <w:p w14:paraId="58963ECD" w14:textId="77777777" w:rsidR="00151FD2" w:rsidRPr="00BE00C7" w:rsidRDefault="00151FD2" w:rsidP="00BE00C7">
            <w:pPr>
              <w:pStyle w:val="OutcomeDescription"/>
              <w:spacing w:before="120" w:after="120"/>
              <w:rPr>
                <w:rFonts w:cs="Arial"/>
                <w:lang w:eastAsia="en-NZ"/>
              </w:rPr>
            </w:pPr>
            <w:r w:rsidRPr="00BE00C7">
              <w:rPr>
                <w:rFonts w:cs="Arial"/>
                <w:lang w:eastAsia="en-NZ"/>
              </w:rPr>
              <w:t>Subsection 1.8: I have the right to complain</w:t>
            </w:r>
          </w:p>
          <w:p w14:paraId="16F42341"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people: I feel it is easy to make a </w:t>
            </w:r>
            <w:r w:rsidRPr="00BE00C7">
              <w:rPr>
                <w:rFonts w:cs="Arial"/>
                <w:lang w:eastAsia="en-NZ"/>
              </w:rPr>
              <w:t>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EF933DB" w14:textId="77777777" w:rsidR="00151FD2" w:rsidRPr="00BE00C7" w:rsidRDefault="00151FD2" w:rsidP="00BE00C7">
            <w:pPr>
              <w:pStyle w:val="OutcomeDescription"/>
              <w:spacing w:before="120" w:after="120"/>
              <w:rPr>
                <w:rFonts w:cs="Arial"/>
                <w:lang w:eastAsia="en-NZ"/>
              </w:rPr>
            </w:pPr>
          </w:p>
        </w:tc>
        <w:tc>
          <w:tcPr>
            <w:tcW w:w="0" w:type="auto"/>
          </w:tcPr>
          <w:p w14:paraId="294717BA"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2765F2C5"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complaints/compliments management policy and procedures were clearly documented to guide staff. The process complies with Right 10 of the Code of Rights, which is the right to complain, to be taken seriously and respected, and to receive a timely response. The service has a complaint register in place. There were two complaints lodged in 2023, six in 2024, and four in 2025 year to date since the previous audit in August 2023. </w:t>
            </w:r>
          </w:p>
          <w:p w14:paraId="0D1F2BE3" w14:textId="77777777" w:rsidR="00151FD2" w:rsidRPr="00BE00C7" w:rsidRDefault="00151FD2" w:rsidP="00BE00C7">
            <w:pPr>
              <w:pStyle w:val="OutcomeDescription"/>
              <w:spacing w:before="120" w:after="120"/>
              <w:rPr>
                <w:rFonts w:cs="Arial"/>
                <w:lang w:eastAsia="en-NZ"/>
              </w:rPr>
            </w:pPr>
            <w:r w:rsidRPr="00BE00C7">
              <w:rPr>
                <w:rFonts w:cs="Arial"/>
                <w:lang w:eastAsia="en-NZ"/>
              </w:rPr>
              <w:t>There was one complaint received via the Health and Disability Commissioner in August 2024, which was closed with no actions required by the facility. The CHM reported that the complaint process timeframes are adhered to, and service improvement measures are implemented as required. Documentation, including follow-up letters and resolutions, was completed, and managed in accordance with guidelines set by the Health and Disability Commissioner. Discussions with residents and family/whānau confirmed that they</w:t>
            </w:r>
            <w:r w:rsidRPr="00BE00C7">
              <w:rPr>
                <w:rFonts w:cs="Arial"/>
                <w:lang w:eastAsia="en-NZ"/>
              </w:rPr>
              <w:t xml:space="preserve"> are provided with information on the complaints process </w:t>
            </w:r>
            <w:r w:rsidRPr="00BE00C7">
              <w:rPr>
                <w:rFonts w:cs="Arial"/>
                <w:lang w:eastAsia="en-NZ"/>
              </w:rPr>
              <w:lastRenderedPageBreak/>
              <w:t>and that any concerns or issues they had, are addressed promptly. There were several compliments received from residents and family/whānau.</w:t>
            </w:r>
          </w:p>
          <w:p w14:paraId="7FE35F67" w14:textId="77777777" w:rsidR="00151FD2" w:rsidRPr="00BE00C7" w:rsidRDefault="00151FD2" w:rsidP="00BE00C7">
            <w:pPr>
              <w:pStyle w:val="OutcomeDescription"/>
              <w:spacing w:before="120" w:after="120"/>
              <w:rPr>
                <w:rFonts w:cs="Arial"/>
                <w:lang w:eastAsia="en-NZ"/>
              </w:rPr>
            </w:pPr>
            <w:r w:rsidRPr="00BE00C7">
              <w:rPr>
                <w:rFonts w:cs="Arial"/>
                <w:lang w:eastAsia="en-NZ"/>
              </w:rPr>
              <w:t>Families/whānau and residents making complaints can involve an independent support person. The complaints process is linked to advocacy services. The Code of Health and Disability Services Consumers’ Rights is visible and available in te reo Māori and English. Residents and family/whānau interviewed expressed satisfaction with the complaint process. In the event of a complaint from a Māori resident or family/whanau member, the service would seek the assistance of an interpreter or cultural advisor if needed</w:t>
            </w:r>
            <w:r w:rsidRPr="00BE00C7">
              <w:rPr>
                <w:rFonts w:cs="Arial"/>
                <w:lang w:eastAsia="en-NZ"/>
              </w:rPr>
              <w:t xml:space="preserve">. </w:t>
            </w:r>
          </w:p>
          <w:p w14:paraId="50CFFE9C" w14:textId="77777777" w:rsidR="00151FD2" w:rsidRPr="00BE00C7" w:rsidRDefault="00151FD2" w:rsidP="00BE00C7">
            <w:pPr>
              <w:pStyle w:val="OutcomeDescription"/>
              <w:spacing w:before="120" w:after="120"/>
              <w:rPr>
                <w:rFonts w:cs="Arial"/>
                <w:lang w:eastAsia="en-NZ"/>
              </w:rPr>
            </w:pPr>
          </w:p>
        </w:tc>
      </w:tr>
      <w:tr w:rsidR="00100079" w14:paraId="785CA599" w14:textId="77777777">
        <w:tc>
          <w:tcPr>
            <w:tcW w:w="0" w:type="auto"/>
          </w:tcPr>
          <w:p w14:paraId="5ADF7D17"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Subsection 2.1: Governance</w:t>
            </w:r>
          </w:p>
          <w:p w14:paraId="4ACEBB0A" w14:textId="77777777" w:rsidR="00151FD2" w:rsidRPr="00BE00C7" w:rsidRDefault="00151FD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7EA46BF" w14:textId="77777777" w:rsidR="00151FD2" w:rsidRPr="00BE00C7" w:rsidRDefault="00151FD2" w:rsidP="00BE00C7">
            <w:pPr>
              <w:pStyle w:val="OutcomeDescription"/>
              <w:spacing w:before="120" w:after="120"/>
              <w:rPr>
                <w:rFonts w:cs="Arial"/>
                <w:lang w:eastAsia="en-NZ"/>
              </w:rPr>
            </w:pPr>
          </w:p>
        </w:tc>
        <w:tc>
          <w:tcPr>
            <w:tcW w:w="0" w:type="auto"/>
          </w:tcPr>
          <w:p w14:paraId="71A8FE9A"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7B3C4577"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CHT Carnarvon is part of CHT Healthcare Trust (CHT). The service provides rest home, and  hospital level care for up to 60 residents. On the day of the audit, there were 58 residents in total. There were eight residents requiring rest home level of care; 50 hospital-level residents, including one resident on a younger person with a disability (YPD) contract, and one resident funded by the Accident Compensation Corporation (ACC). </w:t>
            </w:r>
          </w:p>
          <w:p w14:paraId="5241D93F" w14:textId="77777777" w:rsidR="00151FD2" w:rsidRPr="00BE00C7" w:rsidRDefault="00151FD2" w:rsidP="00BE00C7">
            <w:pPr>
              <w:pStyle w:val="OutcomeDescription"/>
              <w:spacing w:before="120" w:after="120"/>
              <w:rPr>
                <w:rFonts w:cs="Arial"/>
                <w:lang w:eastAsia="en-NZ"/>
              </w:rPr>
            </w:pPr>
            <w:r w:rsidRPr="00BE00C7">
              <w:rPr>
                <w:rFonts w:cs="Arial"/>
                <w:lang w:eastAsia="en-NZ"/>
              </w:rPr>
              <w:t>The organisational plan (2024/2025) includes values, operational objectives, and organisational and site-specific goals related to community connections, resident satisfaction, staff satisfaction, and the environment. Regular milestone reports ensure that care home managers are current with progress and achievements. The CHM reports to the area manager, who oversees other sister sites area. The board and the senior leadership team are aware of legislative, contractual, and regulatory requirements.</w:t>
            </w:r>
          </w:p>
          <w:p w14:paraId="433818D5"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governance body of the CHT charitable trust consists of six trustees. Each trustee contributes their areas of expertise to the Board, including legal, accounting, medical, human resources, marketing, and business management. The Chairperson of the Board is also an experienced director and chairs other organisational Boards. The chief executive officer (CEO) is available for support anytime. The CHM interviewed explained the strategic plan, its reflection of collaboration with Māori that aligns with the </w:t>
            </w:r>
            <w:r w:rsidRPr="00BE00C7">
              <w:rPr>
                <w:rFonts w:cs="Arial"/>
                <w:lang w:eastAsia="en-NZ"/>
              </w:rPr>
              <w:t xml:space="preserve">Ministry of Health strategies and addresses barriers to equitable service delivery. The Quality Health &amp; Safety Committee (QHSC), which is a sub-committee of the Board and reports to the Board, includes ‘Monitor CHT’s compliance with its policies and procedures on quality, health and safety and relevant </w:t>
            </w:r>
            <w:r w:rsidRPr="00BE00C7">
              <w:rPr>
                <w:rFonts w:cs="Arial"/>
                <w:lang w:eastAsia="en-NZ"/>
              </w:rPr>
              <w:lastRenderedPageBreak/>
              <w:t>legislation and contractual requirements’, as a part of its responsibilities. The quality programme includes a quality programme policy and quality goals (including site-specific business goals) that are rev</w:t>
            </w:r>
            <w:r w:rsidRPr="00BE00C7">
              <w:rPr>
                <w:rFonts w:cs="Arial"/>
                <w:lang w:eastAsia="en-NZ"/>
              </w:rPr>
              <w:t>iewed monthly in unit review meetings and discussed in the monthly staff/quality meetings. The Audit and Risk Committee assists the Board in fulfilling its accounting, reporting, and risk management responsibilities.</w:t>
            </w:r>
          </w:p>
          <w:p w14:paraId="5A1D8024" w14:textId="77777777" w:rsidR="00151FD2" w:rsidRPr="00BE00C7" w:rsidRDefault="00151FD2" w:rsidP="00BE00C7">
            <w:pPr>
              <w:pStyle w:val="OutcomeDescription"/>
              <w:spacing w:before="120" w:after="120"/>
              <w:rPr>
                <w:rFonts w:cs="Arial"/>
                <w:lang w:eastAsia="en-NZ"/>
              </w:rPr>
            </w:pPr>
            <w:r w:rsidRPr="00BE00C7">
              <w:rPr>
                <w:rFonts w:cs="Arial"/>
                <w:lang w:eastAsia="en-NZ"/>
              </w:rPr>
              <w:t>CHT’s Māori health plan incorporates the principles of Te Tiriti o Waitangi principles, including partnership in recognising all cultures as partners and valuing each culture for their contributions. Cultural advisors at the governance level ensure Māori have meaningful representation and substantive input into organisational operational policies. CHT’s Māori Health Plan has a set of actions to address barriers to Māori accessing care and employment within CHT. The principles of these actions are also appli</w:t>
            </w:r>
            <w:r w:rsidRPr="00BE00C7">
              <w:rPr>
                <w:rFonts w:cs="Arial"/>
                <w:lang w:eastAsia="en-NZ"/>
              </w:rPr>
              <w:t>ed to people with disabilities. One of the actions from the Māori health plan is to develop meaningful relationships with kaumātua/kuia/koroua at governance, operational and service levels. CHT has an established Māori working party to complement this action, including respected kaumātua.</w:t>
            </w:r>
          </w:p>
          <w:p w14:paraId="38C9B9F9" w14:textId="77777777" w:rsidR="00151FD2" w:rsidRPr="00BE00C7" w:rsidRDefault="00151FD2" w:rsidP="00BE00C7">
            <w:pPr>
              <w:pStyle w:val="OutcomeDescription"/>
              <w:spacing w:before="120" w:after="120"/>
              <w:rPr>
                <w:rFonts w:cs="Arial"/>
                <w:lang w:eastAsia="en-NZ"/>
              </w:rPr>
            </w:pPr>
            <w:r w:rsidRPr="00BE00C7">
              <w:rPr>
                <w:rFonts w:cs="Arial"/>
                <w:lang w:eastAsia="en-NZ"/>
              </w:rPr>
              <w:t>The clinical governance structure in place is responsible for overseeing clinical issues.</w:t>
            </w:r>
          </w:p>
          <w:p w14:paraId="2DF05794" w14:textId="77777777" w:rsidR="00151FD2" w:rsidRPr="00BE00C7" w:rsidRDefault="00151FD2" w:rsidP="00BE00C7">
            <w:pPr>
              <w:pStyle w:val="OutcomeDescription"/>
              <w:spacing w:before="120" w:after="120"/>
              <w:rPr>
                <w:rFonts w:cs="Arial"/>
                <w:lang w:eastAsia="en-NZ"/>
              </w:rPr>
            </w:pPr>
          </w:p>
        </w:tc>
      </w:tr>
      <w:tr w:rsidR="00100079" w14:paraId="1D7B12CD" w14:textId="77777777">
        <w:tc>
          <w:tcPr>
            <w:tcW w:w="0" w:type="auto"/>
          </w:tcPr>
          <w:p w14:paraId="1549E0CF"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E423359"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and </w:t>
            </w:r>
            <w:r w:rsidRPr="00BE00C7">
              <w:rPr>
                <w:rFonts w:cs="Arial"/>
                <w:lang w:eastAsia="en-NZ"/>
              </w:rPr>
              <w:t>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CB8C87A" w14:textId="77777777" w:rsidR="00151FD2" w:rsidRPr="00BE00C7" w:rsidRDefault="00151FD2" w:rsidP="00BE00C7">
            <w:pPr>
              <w:pStyle w:val="OutcomeDescription"/>
              <w:spacing w:before="120" w:after="120"/>
              <w:rPr>
                <w:rFonts w:cs="Arial"/>
                <w:lang w:eastAsia="en-NZ"/>
              </w:rPr>
            </w:pPr>
          </w:p>
        </w:tc>
        <w:tc>
          <w:tcPr>
            <w:tcW w:w="0" w:type="auto"/>
          </w:tcPr>
          <w:p w14:paraId="37EFE6C8"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0975672B" w14:textId="77777777" w:rsidR="00151FD2" w:rsidRPr="00BE00C7" w:rsidRDefault="00151FD2" w:rsidP="00BE00C7">
            <w:pPr>
              <w:pStyle w:val="OutcomeDescription"/>
              <w:spacing w:before="120" w:after="120"/>
              <w:rPr>
                <w:rFonts w:cs="Arial"/>
                <w:lang w:eastAsia="en-NZ"/>
              </w:rPr>
            </w:pPr>
            <w:r w:rsidRPr="00BE00C7">
              <w:rPr>
                <w:rFonts w:cs="Arial"/>
                <w:lang w:eastAsia="en-NZ"/>
              </w:rPr>
              <w:t>CHT Carnarvon has an established quality and risk management programme. The quality and risk management systems include performance monitoring through internal audits and the collection of clinical indicator data. Clinical indicator data (eg, falls, skin tears, infections, episodes of behaviours that challenge) is collected, analysed at the facility level, and benchmarked within the organisation. Meeting minutes reviewed evidence that quality data is shared in staff meetings. Internal audits are completed s</w:t>
            </w:r>
            <w:r w:rsidRPr="00BE00C7">
              <w:rPr>
                <w:rFonts w:cs="Arial"/>
                <w:lang w:eastAsia="en-NZ"/>
              </w:rPr>
              <w:t xml:space="preserve">ix-monthly by the area manager. Corrective actions are documented to address service improvements, with evidence of progress and sign-off when achieved. </w:t>
            </w:r>
          </w:p>
          <w:p w14:paraId="78038E4C"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Combined staff/quality meetings provide an avenue for discussions in relation to (but not limited to) quality data; health and safety; infection control/pandemic strategies; complaints; compliments; staffing; and education. These are held according to schedule, and the partial attainment identified at the previous audit relating to HDSS:2021 #2.2.4 has been </w:t>
            </w:r>
            <w:r w:rsidRPr="00BE00C7">
              <w:rPr>
                <w:rFonts w:cs="Arial"/>
                <w:lang w:eastAsia="en-NZ"/>
              </w:rPr>
              <w:lastRenderedPageBreak/>
              <w:t>satisfied. Resident/family satisfaction surveys are completed monthly, with a selection invited each month (on the yearly anniversary of their admission), to cover all residents and families/whānau in a calendar year. Surveys completed most recently in July 2024 reflect high resident/family satisfaction levels. No corrective actions have arisen from the surveys completed.</w:t>
            </w:r>
          </w:p>
          <w:p w14:paraId="3B76E3DC" w14:textId="77777777" w:rsidR="00151FD2" w:rsidRPr="00BE00C7" w:rsidRDefault="00151FD2" w:rsidP="00BE00C7">
            <w:pPr>
              <w:pStyle w:val="OutcomeDescription"/>
              <w:spacing w:before="120" w:after="120"/>
              <w:rPr>
                <w:rFonts w:cs="Arial"/>
                <w:lang w:eastAsia="en-NZ"/>
              </w:rPr>
            </w:pPr>
            <w:r w:rsidRPr="00BE00C7">
              <w:rPr>
                <w:rFonts w:cs="Arial"/>
                <w:lang w:eastAsia="en-NZ"/>
              </w:rPr>
              <w:t>The risk mitigation plan, policies, and procedures clearly describe all potential internal and external risks and corresponding mitigation strategies in line with the National Adverse Event Reporting Policy. A health and safety system with identified health and safety goals is in place. Hazard identification forms were held at the entrance, and an up-to-date hazard register was sighted. The health and safety officer implements and monitors health and safety policies. There are regular manual handling sessio</w:t>
            </w:r>
            <w:r w:rsidRPr="00BE00C7">
              <w:rPr>
                <w:rFonts w:cs="Arial"/>
                <w:lang w:eastAsia="en-NZ"/>
              </w:rPr>
              <w:t xml:space="preserve">ns for staff. Staff are kept informed on health and safety issues and updates. </w:t>
            </w:r>
          </w:p>
          <w:p w14:paraId="5B103846" w14:textId="77777777" w:rsidR="00151FD2" w:rsidRPr="00BE00C7" w:rsidRDefault="00151FD2" w:rsidP="00BE00C7">
            <w:pPr>
              <w:pStyle w:val="OutcomeDescription"/>
              <w:spacing w:before="120" w:after="120"/>
              <w:rPr>
                <w:rFonts w:cs="Arial"/>
                <w:lang w:eastAsia="en-NZ"/>
              </w:rPr>
            </w:pPr>
            <w:r w:rsidRPr="00BE00C7">
              <w:rPr>
                <w:rFonts w:cs="Arial"/>
                <w:lang w:eastAsia="en-NZ"/>
              </w:rPr>
              <w:t>Individual reports are completed for each incident/accident. Incident and accident data is collated monthly and analysed for trends. Results are discussed at the meetings. Ten resident-related accident/incident forms were reviewed, which evidenced that each event involving a resident reflected a clinical assessment and follow-up by a clinical coordinator.</w:t>
            </w:r>
          </w:p>
          <w:p w14:paraId="184BCEF7" w14:textId="77777777" w:rsidR="00151FD2" w:rsidRPr="00BE00C7" w:rsidRDefault="00151FD2" w:rsidP="00BE00C7">
            <w:pPr>
              <w:pStyle w:val="OutcomeDescription"/>
              <w:spacing w:before="120" w:after="120"/>
              <w:rPr>
                <w:rFonts w:cs="Arial"/>
                <w:lang w:eastAsia="en-NZ"/>
              </w:rPr>
            </w:pPr>
            <w:r w:rsidRPr="00BE00C7">
              <w:rPr>
                <w:rFonts w:cs="Arial"/>
                <w:lang w:eastAsia="en-NZ"/>
              </w:rPr>
              <w:t>Discussions with the CHM, and acting CC evidenced awareness of their requirement to notify relevant authorities in relation to essential notifications. There were Section 31 notifications completed related to historical registered nurse shortages, and changes in management. No severity assessment code (SAC) reports have required submission since their introduction in July 2024. There have been no outbreaks since the previous audit.</w:t>
            </w:r>
          </w:p>
          <w:p w14:paraId="2F4FA509" w14:textId="77777777" w:rsidR="00151FD2" w:rsidRPr="00BE00C7" w:rsidRDefault="00151FD2" w:rsidP="00BE00C7">
            <w:pPr>
              <w:pStyle w:val="OutcomeDescription"/>
              <w:spacing w:before="120" w:after="120"/>
              <w:rPr>
                <w:rFonts w:cs="Arial"/>
                <w:lang w:eastAsia="en-NZ"/>
              </w:rPr>
            </w:pPr>
          </w:p>
        </w:tc>
      </w:tr>
      <w:tr w:rsidR="00100079" w14:paraId="62BFA74C" w14:textId="77777777">
        <w:tc>
          <w:tcPr>
            <w:tcW w:w="0" w:type="auto"/>
          </w:tcPr>
          <w:p w14:paraId="158D15B9"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087061D" w14:textId="77777777" w:rsidR="00151FD2" w:rsidRPr="00BE00C7" w:rsidRDefault="00151FD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3702714F" w14:textId="77777777" w:rsidR="00151FD2" w:rsidRPr="00BE00C7" w:rsidRDefault="00151FD2" w:rsidP="00BE00C7">
            <w:pPr>
              <w:pStyle w:val="OutcomeDescription"/>
              <w:spacing w:before="120" w:after="120"/>
              <w:rPr>
                <w:rFonts w:cs="Arial"/>
                <w:lang w:eastAsia="en-NZ"/>
              </w:rPr>
            </w:pPr>
          </w:p>
        </w:tc>
        <w:tc>
          <w:tcPr>
            <w:tcW w:w="0" w:type="auto"/>
          </w:tcPr>
          <w:p w14:paraId="73C1B751"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A29389" w14:textId="77777777" w:rsidR="00151FD2" w:rsidRPr="00BE00C7" w:rsidRDefault="00151FD2"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organisation adjusts staffing levels to meet the changing needs of residents. Staff reported that there were adequate staff to complete the work allocated to them, and residents and family/whānau confirmed this in interviews.</w:t>
            </w:r>
          </w:p>
          <w:p w14:paraId="1D02EB61"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service is fully staffed with registered nurses, providing 24/7 cover for hospital level residents. </w:t>
            </w:r>
          </w:p>
          <w:p w14:paraId="140C9E57"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 xml:space="preserve">A significant number of staff maintain current first aid certificates, so there is always a first aider on site. Care staff have either completed, commenced or are due to commence a New Zealand Qualification Authority education programme to meet the provider’s funding and service agreement requirements. Staff records were reviewed to confirm completion of the required training and competency assessments. Each staff member interviewed reported feeling well-supported and safe in the workplace. </w:t>
            </w:r>
          </w:p>
          <w:p w14:paraId="432328A0" w14:textId="77777777" w:rsidR="00151FD2" w:rsidRPr="00BE00C7" w:rsidRDefault="00151FD2" w:rsidP="00BE00C7">
            <w:pPr>
              <w:pStyle w:val="OutcomeDescription"/>
              <w:spacing w:before="120" w:after="120"/>
              <w:rPr>
                <w:rFonts w:cs="Arial"/>
                <w:lang w:eastAsia="en-NZ"/>
              </w:rPr>
            </w:pPr>
            <w:r w:rsidRPr="00BE00C7">
              <w:rPr>
                <w:rFonts w:cs="Arial"/>
                <w:lang w:eastAsia="en-NZ"/>
              </w:rPr>
              <w:t>Continuing education, including mandatory training requirements, is planned annually. Related competencies are assessed to support equitable service delivery. The six staff records reviewed demonstrated that the staff completed the required training and competency assessments, including cultural, first aid, hand hygiene, hoist, and medication competencies. An annual training programme covers mandatory and elective topics and meets the obligations of the service contract. Online learning opportunities are al</w:t>
            </w:r>
            <w:r w:rsidRPr="00BE00C7">
              <w:rPr>
                <w:rFonts w:cs="Arial"/>
                <w:lang w:eastAsia="en-NZ"/>
              </w:rPr>
              <w:t xml:space="preserve">so available for staff to complete independently. Staff felt well supported with development opportunities. </w:t>
            </w:r>
          </w:p>
          <w:p w14:paraId="36DA64BB" w14:textId="77777777" w:rsidR="00151FD2" w:rsidRPr="00BE00C7" w:rsidRDefault="00151FD2" w:rsidP="00BE00C7">
            <w:pPr>
              <w:pStyle w:val="OutcomeDescription"/>
              <w:spacing w:before="120" w:after="120"/>
              <w:rPr>
                <w:rFonts w:cs="Arial"/>
                <w:lang w:eastAsia="en-NZ"/>
              </w:rPr>
            </w:pPr>
            <w:r w:rsidRPr="00BE00C7">
              <w:rPr>
                <w:rFonts w:cs="Arial"/>
                <w:lang w:eastAsia="en-NZ"/>
              </w:rPr>
              <w:t>Clinical advice is always available when required, ensuring a secure care provision. An out-of-hours on-call policy explains how and when to contact the general practitioner and the management team.</w:t>
            </w:r>
          </w:p>
          <w:p w14:paraId="73573545"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Registered nurses are accredited and </w:t>
            </w:r>
            <w:r w:rsidRPr="00BE00C7">
              <w:rPr>
                <w:rFonts w:cs="Arial"/>
                <w:lang w:eastAsia="en-NZ"/>
              </w:rPr>
              <w:t>maintain competencies to conduct interRAI assessments.</w:t>
            </w:r>
          </w:p>
          <w:p w14:paraId="73A38203" w14:textId="77777777" w:rsidR="00151FD2" w:rsidRPr="00BE00C7" w:rsidRDefault="00151FD2" w:rsidP="00BE00C7">
            <w:pPr>
              <w:pStyle w:val="OutcomeDescription"/>
              <w:spacing w:before="120" w:after="120"/>
              <w:rPr>
                <w:rFonts w:cs="Arial"/>
                <w:lang w:eastAsia="en-NZ"/>
              </w:rPr>
            </w:pPr>
          </w:p>
        </w:tc>
      </w:tr>
      <w:tr w:rsidR="00100079" w14:paraId="2BE9FA5F" w14:textId="77777777">
        <w:tc>
          <w:tcPr>
            <w:tcW w:w="0" w:type="auto"/>
          </w:tcPr>
          <w:p w14:paraId="6D81F256"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D3AC461"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w:t>
            </w:r>
            <w:r w:rsidRPr="00BE00C7">
              <w:rPr>
                <w:rFonts w:cs="Arial"/>
                <w:lang w:eastAsia="en-NZ"/>
              </w:rPr>
              <w:t>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28C8FE2" w14:textId="77777777" w:rsidR="00151FD2" w:rsidRPr="00BE00C7" w:rsidRDefault="00151FD2" w:rsidP="00BE00C7">
            <w:pPr>
              <w:pStyle w:val="OutcomeDescription"/>
              <w:spacing w:before="120" w:after="120"/>
              <w:rPr>
                <w:rFonts w:cs="Arial"/>
                <w:lang w:eastAsia="en-NZ"/>
              </w:rPr>
            </w:pPr>
          </w:p>
        </w:tc>
        <w:tc>
          <w:tcPr>
            <w:tcW w:w="0" w:type="auto"/>
          </w:tcPr>
          <w:p w14:paraId="2578B85B"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453A13"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including recruitment, selection, orientation, and staff training and development. Qualifications are validated prior to employment. Thereafter, a register of annual practising certificates (APCs) is maintained for registered nurses and associated health contractors (GP, pharmacists, physiotherapist, podiatrist, and dietitian). </w:t>
            </w:r>
          </w:p>
          <w:p w14:paraId="31D1BB87"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A sample of staff records reviewed confirmed that the organisation’s policies are being consistently implemented. All staff records reviewed evidenced completed induction and orientation. Five staff files (one registered nurse, acting clinical coordinator, administrator, healthcare assistant, and activities coordinator) were reviewed. Staff files included: reference checks; police checks; appraisals; competencies; individual training plans; professional </w:t>
            </w:r>
            <w:r w:rsidRPr="00BE00C7">
              <w:rPr>
                <w:rFonts w:cs="Arial"/>
                <w:lang w:eastAsia="en-NZ"/>
              </w:rPr>
              <w:lastRenderedPageBreak/>
              <w:t>qualifications; orientation; employment agreements; and position descriptions.</w:t>
            </w:r>
          </w:p>
          <w:p w14:paraId="5613EE9A" w14:textId="77777777" w:rsidR="00151FD2" w:rsidRPr="00BE00C7" w:rsidRDefault="00151FD2"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55B56B80" w14:textId="77777777" w:rsidR="00151FD2" w:rsidRPr="00BE00C7" w:rsidRDefault="00151FD2" w:rsidP="00BE00C7">
            <w:pPr>
              <w:pStyle w:val="OutcomeDescription"/>
              <w:spacing w:before="120" w:after="120"/>
              <w:rPr>
                <w:rFonts w:cs="Arial"/>
                <w:lang w:eastAsia="en-NZ"/>
              </w:rPr>
            </w:pPr>
          </w:p>
        </w:tc>
      </w:tr>
      <w:tr w:rsidR="00100079" w14:paraId="2FF44557" w14:textId="77777777">
        <w:tc>
          <w:tcPr>
            <w:tcW w:w="0" w:type="auto"/>
          </w:tcPr>
          <w:p w14:paraId="4A36E56E"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70C7B69" w14:textId="77777777" w:rsidR="00151FD2" w:rsidRPr="00BE00C7" w:rsidRDefault="00151FD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4E74BCD" w14:textId="77777777" w:rsidR="00151FD2" w:rsidRPr="00BE00C7" w:rsidRDefault="00151FD2" w:rsidP="00BE00C7">
            <w:pPr>
              <w:pStyle w:val="OutcomeDescription"/>
              <w:spacing w:before="120" w:after="120"/>
              <w:rPr>
                <w:rFonts w:cs="Arial"/>
                <w:lang w:eastAsia="en-NZ"/>
              </w:rPr>
            </w:pPr>
          </w:p>
        </w:tc>
        <w:tc>
          <w:tcPr>
            <w:tcW w:w="0" w:type="auto"/>
          </w:tcPr>
          <w:p w14:paraId="6853DD73"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746366DB" w14:textId="77777777" w:rsidR="00151FD2" w:rsidRPr="00BE00C7" w:rsidRDefault="00151FD2" w:rsidP="00BE00C7">
            <w:pPr>
              <w:pStyle w:val="OutcomeDescription"/>
              <w:spacing w:before="120" w:after="120"/>
              <w:rPr>
                <w:rFonts w:cs="Arial"/>
                <w:lang w:eastAsia="en-NZ"/>
              </w:rPr>
            </w:pPr>
            <w:r w:rsidRPr="00BE00C7">
              <w:rPr>
                <w:rFonts w:cs="Arial"/>
                <w:lang w:eastAsia="en-NZ"/>
              </w:rPr>
              <w:t>Six resident files were reviewed: four hospital; including one YPD, and one ACC, and two rest home. The registered nurses (RN) are responsible for all resident assessments, care planning and evaluation. Care plans are based on data collected during the initial nursing assessments, which include dietary needs, pressure injury, falls risk, social history, and information from pre-entry assessments. All residents apart from the YPD, and ACC had an interRAI assessment. These residents had a full suite of assess</w:t>
            </w:r>
            <w:r w:rsidRPr="00BE00C7">
              <w:rPr>
                <w:rFonts w:cs="Arial"/>
                <w:lang w:eastAsia="en-NZ"/>
              </w:rPr>
              <w:t>ments completed in the electronic resident management system, which incorporates, skin integrity, pressure injury risk, dietary requirements, communication needs, emotional, psychological, and behavioural support needs.</w:t>
            </w:r>
          </w:p>
          <w:p w14:paraId="246DD6D9" w14:textId="77777777" w:rsidR="00151FD2" w:rsidRPr="00BE00C7" w:rsidRDefault="00151FD2"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within 24 hours of admission. The individualised long-term care plans (LTCPs) are developed with information gathered during the initial assessments and the interRAI assessments. All LTCP and interRAI sampled had been completed within three weeks of the residents’ admission to the facility. Documented interventions and early warning signs meet the residents’ assessed needs and are sufficiently detaile</w:t>
            </w:r>
            <w:r w:rsidRPr="00BE00C7">
              <w:rPr>
                <w:rFonts w:cs="Arial"/>
                <w:lang w:eastAsia="en-NZ"/>
              </w:rPr>
              <w:t xml:space="preserve">d to guide care staff in care delivery. The activity assessments include a cultural assessment, which gathers information about cultural needs, values, and beliefs. Information from these assessments is used to develop the resident’s individual activity care plan. </w:t>
            </w:r>
          </w:p>
          <w:p w14:paraId="24D7FCE7"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electronic progress notes. If any change is noted, it is reported to the RN. Long-term care plans are formally evaluated every six months in conjunction with the interRAI re-assessments and when there is a change in the resident’s condition. Evaluations are </w:t>
            </w:r>
            <w:r w:rsidRPr="00BE00C7">
              <w:rPr>
                <w:rFonts w:cs="Arial"/>
                <w:lang w:eastAsia="en-NZ"/>
              </w:rPr>
              <w:lastRenderedPageBreak/>
              <w:t>documented by an RN and include the degree of achievement towards meeting desired goals and outcomes. Residents interviewed confirmed that assessments are completed according to their needs and in the privacy of their bedrooms.</w:t>
            </w:r>
          </w:p>
          <w:p w14:paraId="0D0DFAFE"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There was evidence of family involvement in care planning and documented ongoing communication of health status updates. Family interviews and resident records provide evidence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6C62AA47"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w:t>
            </w:r>
            <w:r w:rsidRPr="00BE00C7">
              <w:rPr>
                <w:rFonts w:cs="Arial"/>
                <w:lang w:eastAsia="en-NZ"/>
              </w:rPr>
              <w:t>admission. Residents have ongoing reviews by the GP within required timeframes and when their health status changes. There are two GP visits per week and as required. Medical documentation and records reviewed were current. The contracted GP is also available on-call after hours for the facility. A physiotherapist visits the facility weekly and on request to review residents referred by the registered nurses. There is access to a continence specialist as required. A podiatrist visits regularly, and a dietit</w:t>
            </w:r>
            <w:r w:rsidRPr="00BE00C7">
              <w:rPr>
                <w:rFonts w:cs="Arial"/>
                <w:lang w:eastAsia="en-NZ"/>
              </w:rPr>
              <w:t>ian, speech-language therapist, hospice, wound care nurse specialist, and medical specialist are available as required through Health New Zealand.</w:t>
            </w:r>
          </w:p>
          <w:p w14:paraId="202B54FD"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nine active wounds, including one stage 2 pressure injury. </w:t>
            </w:r>
          </w:p>
          <w:p w14:paraId="4BA5BA98" w14:textId="5BB98B29" w:rsidR="00151FD2" w:rsidRPr="00BE00C7" w:rsidRDefault="00151FD2" w:rsidP="00151FD2">
            <w:pPr>
              <w:pStyle w:val="OutcomeDescription"/>
              <w:spacing w:before="120" w:after="120"/>
              <w:rPr>
                <w:rFonts w:cs="Arial"/>
                <w:lang w:eastAsia="en-NZ"/>
              </w:rPr>
            </w:pPr>
            <w:r w:rsidRPr="00BE00C7">
              <w:rPr>
                <w:rFonts w:cs="Arial"/>
                <w:lang w:eastAsia="en-NZ"/>
              </w:rPr>
              <w:t>The progress notes are recorded and maintained in the integrated electronic records. Monthly observations such as weight and blood pressure were completed and are up to date. Neurological observations are recorded following un-witnessed falls as per policy. A range of electronic monitoring charts are available for the care staff to utilise. These include, (but are not limited to) monthly blood pressure and weight monitoring, bowel records and repositioning records. Staff interviews confirmed they are famili</w:t>
            </w:r>
            <w:r w:rsidRPr="00BE00C7">
              <w:rPr>
                <w:rFonts w:cs="Arial"/>
                <w:lang w:eastAsia="en-NZ"/>
              </w:rPr>
              <w:t xml:space="preserve">ar with the needs of all residents in the facility and that they have access to the </w:t>
            </w:r>
            <w:r w:rsidRPr="00BE00C7">
              <w:rPr>
                <w:rFonts w:cs="Arial"/>
                <w:lang w:eastAsia="en-NZ"/>
              </w:rPr>
              <w:lastRenderedPageBreak/>
              <w:t xml:space="preserve">supplies and products they require to meet those needs. Staff receive handover at the beginning of their shift. </w:t>
            </w:r>
          </w:p>
        </w:tc>
      </w:tr>
      <w:tr w:rsidR="00100079" w14:paraId="431382F5" w14:textId="77777777">
        <w:tc>
          <w:tcPr>
            <w:tcW w:w="0" w:type="auto"/>
          </w:tcPr>
          <w:p w14:paraId="4914F891"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Subsection 3.4: My medication</w:t>
            </w:r>
          </w:p>
          <w:p w14:paraId="4490A3F9"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people: I receive my </w:t>
            </w:r>
            <w:r w:rsidRPr="00BE00C7">
              <w:rPr>
                <w:rFonts w:cs="Arial"/>
                <w:lang w:eastAsia="en-NZ"/>
              </w:rPr>
              <w:t>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BEF645D" w14:textId="77777777" w:rsidR="00151FD2" w:rsidRPr="00BE00C7" w:rsidRDefault="00151FD2" w:rsidP="00BE00C7">
            <w:pPr>
              <w:pStyle w:val="OutcomeDescription"/>
              <w:spacing w:before="120" w:after="120"/>
              <w:rPr>
                <w:rFonts w:cs="Arial"/>
                <w:lang w:eastAsia="en-NZ"/>
              </w:rPr>
            </w:pPr>
          </w:p>
        </w:tc>
        <w:tc>
          <w:tcPr>
            <w:tcW w:w="0" w:type="auto"/>
          </w:tcPr>
          <w:p w14:paraId="29EA4CFB"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1C980324"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0EBD3A46"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medication-competent HCAs interviewed could describe their role regarding medication administration. All medications are checked on delivery against the medication chart and any discrepancies are fed back to the supplying pharmacy. </w:t>
            </w:r>
          </w:p>
          <w:p w14:paraId="0C7139C5"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 The medication fridge and medication room temperatures are monitored daily. All stored medications are checked weekly. Eyedrops are dated on opening. </w:t>
            </w:r>
          </w:p>
          <w:p w14:paraId="6EC1DFBA" w14:textId="77777777" w:rsidR="00151FD2" w:rsidRPr="00BE00C7" w:rsidRDefault="00151FD2" w:rsidP="00BE00C7">
            <w:pPr>
              <w:pStyle w:val="OutcomeDescription"/>
              <w:spacing w:before="120" w:after="120"/>
              <w:rPr>
                <w:rFonts w:cs="Arial"/>
                <w:lang w:eastAsia="en-NZ"/>
              </w:rPr>
            </w:pPr>
            <w:r w:rsidRPr="00BE00C7">
              <w:rPr>
                <w:rFonts w:cs="Arial"/>
                <w:lang w:eastAsia="en-NZ"/>
              </w:rPr>
              <w:t>Twelve electronic medication charts were reviewed. The medication charts reviewed identified that the GP had reviewed all resident medication charts three-monthly, and each drug chart has a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w:t>
            </w:r>
            <w:r w:rsidRPr="00BE00C7">
              <w:rPr>
                <w:rFonts w:cs="Arial"/>
                <w:lang w:eastAsia="en-NZ"/>
              </w:rPr>
              <w:t xml:space="preserve">s notes. There were no residents self-administering medications; however, the service has comprehensive procedures for assessing competence, and safe storage was available as required. No vaccines are kept on site, and no standing orders are used. </w:t>
            </w:r>
          </w:p>
          <w:p w14:paraId="1EB0E65F" w14:textId="77777777" w:rsidR="00151FD2" w:rsidRPr="00BE00C7" w:rsidRDefault="00151FD2"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 on.</w:t>
            </w:r>
          </w:p>
          <w:p w14:paraId="03829179" w14:textId="77777777" w:rsidR="00151FD2" w:rsidRPr="00BE00C7" w:rsidRDefault="00151FD2" w:rsidP="00BE00C7">
            <w:pPr>
              <w:pStyle w:val="OutcomeDescription"/>
              <w:spacing w:before="120" w:after="120"/>
              <w:rPr>
                <w:rFonts w:cs="Arial"/>
                <w:lang w:eastAsia="en-NZ"/>
              </w:rPr>
            </w:pPr>
          </w:p>
        </w:tc>
      </w:tr>
      <w:tr w:rsidR="00100079" w14:paraId="077EBCD2" w14:textId="77777777">
        <w:tc>
          <w:tcPr>
            <w:tcW w:w="0" w:type="auto"/>
          </w:tcPr>
          <w:p w14:paraId="5E93CD17" w14:textId="77777777" w:rsidR="00151FD2" w:rsidRPr="00BE00C7" w:rsidRDefault="00151FD2" w:rsidP="00BE00C7">
            <w:pPr>
              <w:pStyle w:val="OutcomeDescription"/>
              <w:spacing w:before="120" w:after="120"/>
              <w:rPr>
                <w:rFonts w:cs="Arial"/>
                <w:lang w:eastAsia="en-NZ"/>
              </w:rPr>
            </w:pPr>
            <w:r w:rsidRPr="00BE00C7">
              <w:rPr>
                <w:rFonts w:cs="Arial"/>
                <w:lang w:eastAsia="en-NZ"/>
              </w:rPr>
              <w:t>Subsection 3.5: Nutrition to support wellbeing</w:t>
            </w:r>
          </w:p>
          <w:p w14:paraId="672FCE42"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008B130" w14:textId="77777777" w:rsidR="00151FD2" w:rsidRPr="00BE00C7" w:rsidRDefault="00151FD2" w:rsidP="00BE00C7">
            <w:pPr>
              <w:pStyle w:val="OutcomeDescription"/>
              <w:spacing w:before="120" w:after="120"/>
              <w:rPr>
                <w:rFonts w:cs="Arial"/>
                <w:lang w:eastAsia="en-NZ"/>
              </w:rPr>
            </w:pPr>
          </w:p>
        </w:tc>
        <w:tc>
          <w:tcPr>
            <w:tcW w:w="0" w:type="auto"/>
          </w:tcPr>
          <w:p w14:paraId="588257E7"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730E1D"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four-week seasonal menu. The kitchen receives resident dietary forms and is notified of any dietary changes for residents. Dislikes and special dietary </w:t>
            </w:r>
            <w:r w:rsidRPr="00BE00C7">
              <w:rPr>
                <w:rFonts w:cs="Arial"/>
                <w:lang w:eastAsia="en-NZ"/>
              </w:rPr>
              <w:lastRenderedPageBreak/>
              <w:t>requirements are accommodated, including food allergies. The chef manager interviewed reported they accommodate residents’ requests.</w:t>
            </w:r>
          </w:p>
          <w:p w14:paraId="27F1362B" w14:textId="77777777" w:rsidR="00151FD2" w:rsidRPr="00BE00C7" w:rsidRDefault="00151FD2" w:rsidP="00BE00C7">
            <w:pPr>
              <w:pStyle w:val="OutcomeDescription"/>
              <w:spacing w:before="120" w:after="120"/>
              <w:rPr>
                <w:rFonts w:cs="Arial"/>
                <w:lang w:eastAsia="en-NZ"/>
              </w:rPr>
            </w:pPr>
            <w:r w:rsidRPr="00BE00C7">
              <w:rPr>
                <w:rFonts w:cs="Arial"/>
                <w:lang w:eastAsia="en-NZ"/>
              </w:rPr>
              <w:t>There is a verified food control plan expiring 7 April 2025.The residents and family/whānau interviewed were complimentary regarding the standard of food provided.</w:t>
            </w:r>
          </w:p>
          <w:p w14:paraId="6BB7DBF8" w14:textId="77777777" w:rsidR="00151FD2" w:rsidRPr="00BE00C7" w:rsidRDefault="00151FD2" w:rsidP="00BE00C7">
            <w:pPr>
              <w:pStyle w:val="OutcomeDescription"/>
              <w:spacing w:before="120" w:after="120"/>
              <w:rPr>
                <w:rFonts w:cs="Arial"/>
                <w:lang w:eastAsia="en-NZ"/>
              </w:rPr>
            </w:pPr>
          </w:p>
        </w:tc>
      </w:tr>
      <w:tr w:rsidR="00100079" w14:paraId="228E147D" w14:textId="77777777">
        <w:tc>
          <w:tcPr>
            <w:tcW w:w="0" w:type="auto"/>
          </w:tcPr>
          <w:p w14:paraId="241E845B"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1C85626"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people: I work together with my service </w:t>
            </w:r>
            <w:r w:rsidRPr="00BE00C7">
              <w:rPr>
                <w:rFonts w:cs="Arial"/>
                <w:lang w:eastAsia="en-NZ"/>
              </w:rPr>
              <w:t>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D9DC765" w14:textId="77777777" w:rsidR="00151FD2" w:rsidRPr="00BE00C7" w:rsidRDefault="00151FD2" w:rsidP="00BE00C7">
            <w:pPr>
              <w:pStyle w:val="OutcomeDescription"/>
              <w:spacing w:before="120" w:after="120"/>
              <w:rPr>
                <w:rFonts w:cs="Arial"/>
                <w:lang w:eastAsia="en-NZ"/>
              </w:rPr>
            </w:pPr>
          </w:p>
        </w:tc>
        <w:tc>
          <w:tcPr>
            <w:tcW w:w="0" w:type="auto"/>
          </w:tcPr>
          <w:p w14:paraId="68F7547E"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737147B4" w14:textId="77777777" w:rsidR="00151FD2" w:rsidRPr="00BE00C7" w:rsidRDefault="00151FD2"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5BD8ADBD" w14:textId="77777777" w:rsidR="00151FD2" w:rsidRPr="00BE00C7" w:rsidRDefault="00151FD2" w:rsidP="00BE00C7">
            <w:pPr>
              <w:pStyle w:val="OutcomeDescription"/>
              <w:spacing w:before="120" w:after="120"/>
              <w:rPr>
                <w:rFonts w:cs="Arial"/>
                <w:lang w:eastAsia="en-NZ"/>
              </w:rPr>
            </w:pPr>
          </w:p>
        </w:tc>
      </w:tr>
      <w:tr w:rsidR="00100079" w14:paraId="67883999" w14:textId="77777777">
        <w:tc>
          <w:tcPr>
            <w:tcW w:w="0" w:type="auto"/>
          </w:tcPr>
          <w:p w14:paraId="3FB4B74F" w14:textId="77777777" w:rsidR="00151FD2" w:rsidRPr="00BE00C7" w:rsidRDefault="00151FD2" w:rsidP="00BE00C7">
            <w:pPr>
              <w:pStyle w:val="OutcomeDescription"/>
              <w:spacing w:before="120" w:after="120"/>
              <w:rPr>
                <w:rFonts w:cs="Arial"/>
                <w:lang w:eastAsia="en-NZ"/>
              </w:rPr>
            </w:pPr>
            <w:r w:rsidRPr="00BE00C7">
              <w:rPr>
                <w:rFonts w:cs="Arial"/>
                <w:lang w:eastAsia="en-NZ"/>
              </w:rPr>
              <w:t>Subsection 4.1: The facility</w:t>
            </w:r>
          </w:p>
          <w:p w14:paraId="135DFFA8" w14:textId="70BAF6BC" w:rsidR="00151FD2" w:rsidRPr="00BE00C7" w:rsidRDefault="00151FD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0" w:type="auto"/>
          </w:tcPr>
          <w:p w14:paraId="18258E00"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73C551CA"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The buildings, plant, and equipment are fit for purpose at CHT Carnarvon and comply with legislation relevant to the health and disability services being provided. The environment is inclusive of people’s cultures and supports cultural practices. There is a current building warrant of fitness which expires December 2025. An annual maintenance plan includes electrical testing and tagging, equipment checks, call bell checks, medical equipment calibration, and monthly testing of hot water temperatures. </w:t>
            </w:r>
          </w:p>
          <w:p w14:paraId="73DFB0A2" w14:textId="77777777" w:rsidR="00151FD2" w:rsidRPr="00BE00C7" w:rsidRDefault="00151FD2" w:rsidP="00BE00C7">
            <w:pPr>
              <w:pStyle w:val="OutcomeDescription"/>
              <w:spacing w:before="120" w:after="120"/>
              <w:rPr>
                <w:rFonts w:cs="Arial"/>
                <w:lang w:eastAsia="en-NZ"/>
              </w:rPr>
            </w:pPr>
          </w:p>
        </w:tc>
      </w:tr>
      <w:tr w:rsidR="00100079" w14:paraId="566D6647" w14:textId="77777777">
        <w:tc>
          <w:tcPr>
            <w:tcW w:w="0" w:type="auto"/>
          </w:tcPr>
          <w:p w14:paraId="7016A16F"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F3C0D05" w14:textId="77777777" w:rsidR="00151FD2" w:rsidRPr="00BE00C7" w:rsidRDefault="00151FD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DCC4FA9" w14:textId="77777777" w:rsidR="00151FD2" w:rsidRPr="00BE00C7" w:rsidRDefault="00151FD2" w:rsidP="00BE00C7">
            <w:pPr>
              <w:pStyle w:val="OutcomeDescription"/>
              <w:spacing w:before="120" w:after="120"/>
              <w:rPr>
                <w:rFonts w:cs="Arial"/>
                <w:lang w:eastAsia="en-NZ"/>
              </w:rPr>
            </w:pPr>
          </w:p>
        </w:tc>
        <w:tc>
          <w:tcPr>
            <w:tcW w:w="0" w:type="auto"/>
          </w:tcPr>
          <w:p w14:paraId="1218CDE1"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5C9EEF27" w14:textId="77777777" w:rsidR="00151FD2" w:rsidRPr="00BE00C7" w:rsidRDefault="00151FD2" w:rsidP="00BE00C7">
            <w:pPr>
              <w:pStyle w:val="OutcomeDescription"/>
              <w:spacing w:before="120" w:after="120"/>
              <w:rPr>
                <w:rFonts w:cs="Arial"/>
                <w:lang w:eastAsia="en-NZ"/>
              </w:rPr>
            </w:pPr>
            <w:r w:rsidRPr="00BE00C7">
              <w:rPr>
                <w:rFonts w:cs="Arial"/>
                <w:lang w:eastAsia="en-NZ"/>
              </w:rPr>
              <w:t>The service has a clearly defined and documented infection prevention and control (IPC) programme implemented with input from external IPC services. The quality team approved the IPC programme, which is linked to the quality improvement programme and is reviewed annually. The IPC programme was current. The IPC policies were developed by suitably qualified personnel, complied with relevant legislation, and accepted best practices. The IPC policies reflect the requirements of the infection prevention and cont</w:t>
            </w:r>
            <w:r w:rsidRPr="00BE00C7">
              <w:rPr>
                <w:rFonts w:cs="Arial"/>
                <w:lang w:eastAsia="en-NZ"/>
              </w:rPr>
              <w:t>rol standards and include appropriate referencing.</w:t>
            </w:r>
          </w:p>
          <w:p w14:paraId="584990C5" w14:textId="77777777" w:rsidR="00151FD2" w:rsidRPr="00BE00C7" w:rsidRDefault="00151FD2" w:rsidP="00BE00C7">
            <w:pPr>
              <w:pStyle w:val="OutcomeDescription"/>
              <w:spacing w:before="120" w:after="120"/>
              <w:rPr>
                <w:rFonts w:cs="Arial"/>
                <w:lang w:eastAsia="en-NZ"/>
              </w:rPr>
            </w:pPr>
            <w:r w:rsidRPr="00BE00C7">
              <w:rPr>
                <w:rFonts w:cs="Arial"/>
                <w:lang w:eastAsia="en-NZ"/>
              </w:rPr>
              <w:t>Staff have received education in IPC at orientation and through ongoing annual online education sessions. Residents were reminded about handwashing and advised about remaining in their rooms if they are unwell supervised by care staff. This was confirmed in interviews with residents and family/whānau.</w:t>
            </w:r>
          </w:p>
          <w:p w14:paraId="1943BB19" w14:textId="77777777" w:rsidR="00151FD2" w:rsidRPr="00BE00C7" w:rsidRDefault="00151FD2" w:rsidP="00BE00C7">
            <w:pPr>
              <w:pStyle w:val="OutcomeDescription"/>
              <w:spacing w:before="120" w:after="120"/>
              <w:rPr>
                <w:rFonts w:cs="Arial"/>
                <w:lang w:eastAsia="en-NZ"/>
              </w:rPr>
            </w:pPr>
          </w:p>
        </w:tc>
      </w:tr>
      <w:tr w:rsidR="00100079" w14:paraId="6EA5F2E0" w14:textId="77777777">
        <w:tc>
          <w:tcPr>
            <w:tcW w:w="0" w:type="auto"/>
          </w:tcPr>
          <w:p w14:paraId="3DF99479" w14:textId="77777777" w:rsidR="00151FD2" w:rsidRPr="00BE00C7" w:rsidRDefault="00151FD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AC1C844" w14:textId="77777777" w:rsidR="00151FD2" w:rsidRPr="00BE00C7" w:rsidRDefault="00151FD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w:t>
            </w:r>
            <w:r w:rsidRPr="00BE00C7">
              <w:rPr>
                <w:rFonts w:cs="Arial"/>
                <w:lang w:eastAsia="en-NZ"/>
              </w:rPr>
              <w:t>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72C982A" w14:textId="77777777" w:rsidR="00151FD2" w:rsidRPr="00BE00C7" w:rsidRDefault="00151FD2" w:rsidP="00BE00C7">
            <w:pPr>
              <w:pStyle w:val="OutcomeDescription"/>
              <w:spacing w:before="120" w:after="120"/>
              <w:rPr>
                <w:rFonts w:cs="Arial"/>
                <w:lang w:eastAsia="en-NZ"/>
              </w:rPr>
            </w:pPr>
          </w:p>
        </w:tc>
        <w:tc>
          <w:tcPr>
            <w:tcW w:w="0" w:type="auto"/>
          </w:tcPr>
          <w:p w14:paraId="34D67DB1"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23A0C180" w14:textId="77777777" w:rsidR="00151FD2" w:rsidRPr="00BE00C7" w:rsidRDefault="00151FD2"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and action plans are implemented. The HAIs being monitored included urinary tract infections, skin, eyes, respiratory, and wounds. Surveillance tools are used to collect infection data, and standardised surveillance definitions are used. Surveillance of all infections (including organisms) is entere</w:t>
            </w:r>
            <w:r w:rsidRPr="00BE00C7">
              <w:rPr>
                <w:rFonts w:cs="Arial"/>
                <w:lang w:eastAsia="en-NZ"/>
              </w:rPr>
              <w:t>d into a monthly infection summary. This data is monitored and analysed for trends monthly and annually. Infection control surveillance is discussed at quality and staff meetings and sent to CHT head office.</w:t>
            </w:r>
          </w:p>
          <w:p w14:paraId="692C08F0"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Infection prevention audits were completed, and they included cleaning, laundry, personal protective equipment (PPE), donning and doffing, and hand hygiene. Relevant corrective actions were implemented where required. </w:t>
            </w:r>
          </w:p>
          <w:p w14:paraId="595FDD4A"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Staff reported that they are informed of infection rates and regular audit outcomes at staff meetings, and these were sighted in meeting minutes. Records of monthly data sighted confirmed minimal numbers of infections, comparison with the previous month, reason for increase or decrease, and action advised. Any new infections are discussed at shift handovers for early </w:t>
            </w:r>
            <w:r w:rsidRPr="00BE00C7">
              <w:rPr>
                <w:rFonts w:cs="Arial"/>
                <w:lang w:eastAsia="en-NZ"/>
              </w:rPr>
              <w:lastRenderedPageBreak/>
              <w:t>interventions to be implemented. Benchmarking is completed internally and externally with results from previous months and other sister facilities.</w:t>
            </w:r>
          </w:p>
          <w:p w14:paraId="4DB9549F" w14:textId="77777777" w:rsidR="00151FD2" w:rsidRPr="00BE00C7" w:rsidRDefault="00151FD2" w:rsidP="00BE00C7">
            <w:pPr>
              <w:pStyle w:val="OutcomeDescription"/>
              <w:spacing w:before="120" w:after="120"/>
              <w:rPr>
                <w:rFonts w:cs="Arial"/>
                <w:lang w:eastAsia="en-NZ"/>
              </w:rPr>
            </w:pPr>
            <w:r w:rsidRPr="00BE00C7">
              <w:rPr>
                <w:rFonts w:cs="Arial"/>
                <w:lang w:eastAsia="en-NZ"/>
              </w:rPr>
              <w:t>There have been no outbreaks since the previous audit.</w:t>
            </w:r>
          </w:p>
          <w:p w14:paraId="59F03173" w14:textId="77777777" w:rsidR="00151FD2" w:rsidRPr="00BE00C7" w:rsidRDefault="00151FD2" w:rsidP="00BE00C7">
            <w:pPr>
              <w:pStyle w:val="OutcomeDescription"/>
              <w:spacing w:before="120" w:after="120"/>
              <w:rPr>
                <w:rFonts w:cs="Arial"/>
                <w:lang w:eastAsia="en-NZ"/>
              </w:rPr>
            </w:pPr>
          </w:p>
        </w:tc>
      </w:tr>
      <w:tr w:rsidR="00100079" w14:paraId="406A8C11" w14:textId="77777777">
        <w:tc>
          <w:tcPr>
            <w:tcW w:w="0" w:type="auto"/>
          </w:tcPr>
          <w:p w14:paraId="6F635D01" w14:textId="77777777" w:rsidR="00151FD2" w:rsidRPr="00BE00C7" w:rsidRDefault="00151FD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1F3E347" w14:textId="77777777" w:rsidR="00151FD2" w:rsidRPr="00BE00C7" w:rsidRDefault="00151FD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462F4A3" w14:textId="77777777" w:rsidR="00151FD2" w:rsidRPr="00BE00C7" w:rsidRDefault="00151FD2" w:rsidP="00BE00C7">
            <w:pPr>
              <w:pStyle w:val="OutcomeDescription"/>
              <w:spacing w:before="120" w:after="120"/>
              <w:rPr>
                <w:rFonts w:cs="Arial"/>
                <w:lang w:eastAsia="en-NZ"/>
              </w:rPr>
            </w:pPr>
          </w:p>
        </w:tc>
        <w:tc>
          <w:tcPr>
            <w:tcW w:w="0" w:type="auto"/>
          </w:tcPr>
          <w:p w14:paraId="334FBC86" w14:textId="77777777" w:rsidR="00151FD2" w:rsidRPr="00BE00C7" w:rsidRDefault="00151FD2" w:rsidP="00BE00C7">
            <w:pPr>
              <w:pStyle w:val="OutcomeDescription"/>
              <w:spacing w:before="120" w:after="120"/>
              <w:rPr>
                <w:rFonts w:cs="Arial"/>
                <w:lang w:eastAsia="en-NZ"/>
              </w:rPr>
            </w:pPr>
            <w:r w:rsidRPr="00BE00C7">
              <w:rPr>
                <w:rFonts w:cs="Arial"/>
                <w:lang w:eastAsia="en-NZ"/>
              </w:rPr>
              <w:t>FA</w:t>
            </w:r>
          </w:p>
        </w:tc>
        <w:tc>
          <w:tcPr>
            <w:tcW w:w="0" w:type="auto"/>
          </w:tcPr>
          <w:p w14:paraId="15003A12" w14:textId="77777777" w:rsidR="00151FD2" w:rsidRPr="00BE00C7" w:rsidRDefault="00151FD2"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wherever possible. Restraint policy confirms that restraint consideration and application must be done in partnership with families/ whānau, and the choice of device must be the least restrictive possible. The restraint coordinator interviewed described the focus on restraint elimination. At all times when restraint is considered, the facility will work in partnership with Māori, to promote and ensure services are mana</w:t>
            </w:r>
            <w:r w:rsidRPr="00BE00C7">
              <w:rPr>
                <w:rFonts w:cs="Arial"/>
                <w:lang w:eastAsia="en-NZ"/>
              </w:rPr>
              <w:t xml:space="preserve"> enhancing. </w:t>
            </w:r>
          </w:p>
          <w:p w14:paraId="44C092C4"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 </w:t>
            </w:r>
          </w:p>
          <w:p w14:paraId="2ACB34F5" w14:textId="77777777" w:rsidR="00151FD2" w:rsidRPr="00BE00C7" w:rsidRDefault="00151FD2" w:rsidP="00BE00C7">
            <w:pPr>
              <w:pStyle w:val="OutcomeDescription"/>
              <w:spacing w:before="120" w:after="120"/>
              <w:rPr>
                <w:rFonts w:cs="Arial"/>
                <w:lang w:eastAsia="en-NZ"/>
              </w:rPr>
            </w:pPr>
            <w:r w:rsidRPr="00BE00C7">
              <w:rPr>
                <w:rFonts w:cs="Arial"/>
                <w:lang w:eastAsia="en-NZ"/>
              </w:rPr>
              <w:t>Restraint elimination is included as part of the mandatory training plan and orientation programme.</w:t>
            </w:r>
          </w:p>
          <w:p w14:paraId="50BB66FB" w14:textId="77777777" w:rsidR="00151FD2" w:rsidRPr="00BE00C7" w:rsidRDefault="00151FD2" w:rsidP="00BE00C7">
            <w:pPr>
              <w:pStyle w:val="OutcomeDescription"/>
              <w:spacing w:before="120" w:after="120"/>
              <w:rPr>
                <w:rFonts w:cs="Arial"/>
                <w:lang w:eastAsia="en-NZ"/>
              </w:rPr>
            </w:pPr>
          </w:p>
        </w:tc>
      </w:tr>
    </w:tbl>
    <w:p w14:paraId="528C3CB2" w14:textId="77777777" w:rsidR="00151FD2" w:rsidRPr="00BE00C7" w:rsidRDefault="00151FD2" w:rsidP="00BE00C7">
      <w:pPr>
        <w:pStyle w:val="OutcomeDescription"/>
        <w:spacing w:before="120" w:after="120"/>
        <w:rPr>
          <w:rFonts w:cs="Arial"/>
          <w:lang w:eastAsia="en-NZ"/>
        </w:rPr>
      </w:pPr>
      <w:bookmarkStart w:id="56" w:name="AuditSummaryAttainment"/>
      <w:bookmarkEnd w:id="56"/>
    </w:p>
    <w:p w14:paraId="69014E4E" w14:textId="77777777" w:rsidR="00151FD2" w:rsidRDefault="00151FD2">
      <w:pPr>
        <w:pStyle w:val="Heading1"/>
        <w:rPr>
          <w:rFonts w:cs="Arial"/>
        </w:rPr>
      </w:pPr>
      <w:r>
        <w:rPr>
          <w:rFonts w:cs="Arial"/>
        </w:rPr>
        <w:lastRenderedPageBreak/>
        <w:t>Specific results for criterion where corrective actions are required</w:t>
      </w:r>
    </w:p>
    <w:p w14:paraId="7225F7C6" w14:textId="77777777" w:rsidR="00151FD2" w:rsidRDefault="00151FD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59F6748" w14:textId="77777777" w:rsidR="00151FD2" w:rsidRDefault="00151FD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F4A14D7" w14:textId="77777777" w:rsidR="00151FD2" w:rsidRDefault="00151FD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00079" w14:paraId="78C1D98F" w14:textId="77777777">
        <w:tc>
          <w:tcPr>
            <w:tcW w:w="0" w:type="auto"/>
          </w:tcPr>
          <w:p w14:paraId="180E5439" w14:textId="77777777" w:rsidR="00151FD2" w:rsidRPr="00BE00C7" w:rsidRDefault="00151FD2" w:rsidP="00BE00C7">
            <w:pPr>
              <w:pStyle w:val="OutcomeDescription"/>
              <w:spacing w:before="120" w:after="120"/>
              <w:rPr>
                <w:rFonts w:cs="Arial"/>
                <w:lang w:eastAsia="en-NZ"/>
              </w:rPr>
            </w:pPr>
            <w:r w:rsidRPr="00BE00C7">
              <w:rPr>
                <w:rFonts w:cs="Arial"/>
                <w:lang w:eastAsia="en-NZ"/>
              </w:rPr>
              <w:t>No data to display</w:t>
            </w:r>
          </w:p>
        </w:tc>
      </w:tr>
    </w:tbl>
    <w:p w14:paraId="3FC42E66" w14:textId="77777777" w:rsidR="00151FD2" w:rsidRPr="00BE00C7" w:rsidRDefault="00151FD2" w:rsidP="00BE00C7">
      <w:pPr>
        <w:pStyle w:val="OutcomeDescription"/>
        <w:spacing w:before="120" w:after="120"/>
        <w:rPr>
          <w:rFonts w:cs="Arial"/>
          <w:lang w:eastAsia="en-NZ"/>
        </w:rPr>
      </w:pPr>
      <w:bookmarkStart w:id="57" w:name="AuditSummaryCAMCriterion"/>
      <w:bookmarkEnd w:id="57"/>
    </w:p>
    <w:p w14:paraId="6434C4D0" w14:textId="77777777" w:rsidR="00151FD2" w:rsidRDefault="00151FD2">
      <w:pPr>
        <w:pStyle w:val="Heading1"/>
        <w:rPr>
          <w:rFonts w:cs="Arial"/>
        </w:rPr>
      </w:pPr>
      <w:r>
        <w:rPr>
          <w:rFonts w:cs="Arial"/>
        </w:rPr>
        <w:lastRenderedPageBreak/>
        <w:t>Specific results for criterion where a continuous improvement has been recorded</w:t>
      </w:r>
    </w:p>
    <w:p w14:paraId="576F3D85" w14:textId="77777777" w:rsidR="00151FD2" w:rsidRDefault="00151FD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1980EFA" w14:textId="77777777" w:rsidR="00151FD2" w:rsidRDefault="00151FD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18369BC" w14:textId="77777777" w:rsidR="00151FD2" w:rsidRDefault="00151FD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337"/>
        <w:gridCol w:w="4762"/>
        <w:gridCol w:w="4763"/>
      </w:tblGrid>
      <w:tr w:rsidR="00100079" w14:paraId="2BA4D2A1" w14:textId="77777777">
        <w:tc>
          <w:tcPr>
            <w:tcW w:w="0" w:type="auto"/>
          </w:tcPr>
          <w:p w14:paraId="497C0DC4" w14:textId="77777777" w:rsidR="00151FD2" w:rsidRPr="00BE00C7" w:rsidRDefault="00151FD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728E215" w14:textId="77777777" w:rsidR="00151FD2" w:rsidRPr="00BE00C7" w:rsidRDefault="00151FD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6761D37" w14:textId="77777777" w:rsidR="00151FD2" w:rsidRPr="00BE00C7" w:rsidRDefault="00151FD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C4B9BCC" w14:textId="77777777" w:rsidR="00151FD2" w:rsidRPr="00BE00C7" w:rsidRDefault="00151FD2" w:rsidP="00BE00C7">
            <w:pPr>
              <w:pStyle w:val="OutcomeDescription"/>
              <w:spacing w:before="120" w:after="120"/>
              <w:rPr>
                <w:rFonts w:cs="Arial"/>
                <w:b/>
                <w:lang w:eastAsia="en-NZ"/>
              </w:rPr>
            </w:pPr>
            <w:r w:rsidRPr="00BE00C7">
              <w:rPr>
                <w:rFonts w:cs="Arial"/>
                <w:b/>
                <w:lang w:eastAsia="en-NZ"/>
              </w:rPr>
              <w:t>Audit Finding</w:t>
            </w:r>
          </w:p>
        </w:tc>
      </w:tr>
      <w:tr w:rsidR="00100079" w14:paraId="7815B1A9" w14:textId="77777777">
        <w:tc>
          <w:tcPr>
            <w:tcW w:w="0" w:type="auto"/>
          </w:tcPr>
          <w:p w14:paraId="6D312528" w14:textId="77777777" w:rsidR="00151FD2" w:rsidRPr="00BE00C7" w:rsidRDefault="00151FD2" w:rsidP="00BE00C7">
            <w:pPr>
              <w:pStyle w:val="OutcomeDescription"/>
              <w:spacing w:before="120" w:after="120"/>
              <w:rPr>
                <w:rFonts w:cs="Arial"/>
                <w:lang w:eastAsia="en-NZ"/>
              </w:rPr>
            </w:pPr>
            <w:r w:rsidRPr="00BE00C7">
              <w:rPr>
                <w:rFonts w:cs="Arial"/>
                <w:lang w:eastAsia="en-NZ"/>
              </w:rPr>
              <w:t>Criterion 1.1.1</w:t>
            </w:r>
          </w:p>
          <w:p w14:paraId="116B51FD" w14:textId="77777777" w:rsidR="00151FD2" w:rsidRPr="00BE00C7" w:rsidRDefault="00151FD2" w:rsidP="00BE00C7">
            <w:pPr>
              <w:pStyle w:val="OutcomeDescription"/>
              <w:spacing w:before="120" w:after="120"/>
              <w:rPr>
                <w:rFonts w:cs="Arial"/>
                <w:lang w:eastAsia="en-NZ"/>
              </w:rPr>
            </w:pPr>
            <w:r w:rsidRPr="00BE00C7">
              <w:rPr>
                <w:rFonts w:cs="Arial"/>
                <w:lang w:eastAsia="en-NZ"/>
              </w:rPr>
              <w:t xml:space="preserve">My service </w:t>
            </w:r>
            <w:r w:rsidRPr="00BE00C7">
              <w:rPr>
                <w:rFonts w:cs="Arial"/>
                <w:lang w:eastAsia="en-NZ"/>
              </w:rPr>
              <w:t>provider shall embed and enact Te Tiriti o Waitangi within all its work, recognising Māori, and supporting Māori in their aspirations, whatever they are (that is, recognising mana motuhake).</w:t>
            </w:r>
          </w:p>
        </w:tc>
        <w:tc>
          <w:tcPr>
            <w:tcW w:w="0" w:type="auto"/>
          </w:tcPr>
          <w:p w14:paraId="5D352476" w14:textId="77777777" w:rsidR="00151FD2" w:rsidRPr="00BE00C7" w:rsidRDefault="00151FD2" w:rsidP="00BE00C7">
            <w:pPr>
              <w:pStyle w:val="OutcomeDescription"/>
              <w:spacing w:before="120" w:after="120"/>
              <w:rPr>
                <w:rFonts w:cs="Arial"/>
                <w:lang w:eastAsia="en-NZ"/>
              </w:rPr>
            </w:pPr>
            <w:r w:rsidRPr="00BE00C7">
              <w:rPr>
                <w:rFonts w:cs="Arial"/>
                <w:lang w:eastAsia="en-NZ"/>
              </w:rPr>
              <w:t>CI</w:t>
            </w:r>
          </w:p>
        </w:tc>
        <w:tc>
          <w:tcPr>
            <w:tcW w:w="0" w:type="auto"/>
          </w:tcPr>
          <w:p w14:paraId="5AC49CA1" w14:textId="77777777" w:rsidR="00151FD2" w:rsidRPr="00BE00C7" w:rsidRDefault="00151FD2" w:rsidP="00BE00C7">
            <w:pPr>
              <w:pStyle w:val="OutcomeDescription"/>
              <w:spacing w:before="120" w:after="120"/>
              <w:rPr>
                <w:rFonts w:cs="Arial"/>
                <w:lang w:eastAsia="en-NZ"/>
              </w:rPr>
            </w:pPr>
            <w:r w:rsidRPr="00BE00C7">
              <w:rPr>
                <w:rFonts w:cs="Arial"/>
                <w:lang w:eastAsia="en-NZ"/>
              </w:rPr>
              <w:t>A Māori health plan is documented for the service. The service currently has residents who identify as Māori. The service has well established linkages with the local kaumātua via CHT Carnarvon Māori residents, and kaumātua at Health New Zealand. The care home manager described how they built on, and expanded the process related in their previous continuous improvement to support increasing Māori capacity in terms of numbers, aspirations, and mana motuhake by linking with the local hospital’s medical wards,</w:t>
            </w:r>
            <w:r w:rsidRPr="00BE00C7">
              <w:rPr>
                <w:rFonts w:cs="Arial"/>
                <w:lang w:eastAsia="en-NZ"/>
              </w:rPr>
              <w:t xml:space="preserve"> and other CHT sites to share best practice and their tips for success in this field.</w:t>
            </w:r>
          </w:p>
          <w:p w14:paraId="43B9BD8E" w14:textId="77777777" w:rsidR="00151FD2" w:rsidRPr="00BE00C7" w:rsidRDefault="00151FD2" w:rsidP="00BE00C7">
            <w:pPr>
              <w:pStyle w:val="OutcomeDescription"/>
              <w:spacing w:before="120" w:after="120"/>
              <w:rPr>
                <w:rFonts w:cs="Arial"/>
                <w:lang w:eastAsia="en-NZ"/>
              </w:rPr>
            </w:pPr>
          </w:p>
        </w:tc>
        <w:tc>
          <w:tcPr>
            <w:tcW w:w="0" w:type="auto"/>
          </w:tcPr>
          <w:p w14:paraId="47A9CE19" w14:textId="77777777" w:rsidR="00151FD2" w:rsidRPr="00BE00C7" w:rsidRDefault="00151FD2" w:rsidP="00BE00C7">
            <w:pPr>
              <w:pStyle w:val="OutcomeDescription"/>
              <w:spacing w:before="120" w:after="120"/>
              <w:rPr>
                <w:rFonts w:cs="Arial"/>
                <w:lang w:eastAsia="en-NZ"/>
              </w:rPr>
            </w:pPr>
            <w:r w:rsidRPr="00BE00C7">
              <w:rPr>
                <w:rFonts w:cs="Arial"/>
                <w:lang w:eastAsia="en-NZ"/>
              </w:rPr>
              <w:t>CHT Carnarvon has continued to work to identify and reduce barriers when providing access and delivery of care for Māori. This has been by providing culturally appropriate environment, kaumātua specific care, and involvement of resident kaumātua in decision making of systems and processes within the service. This has seen CHT Carnarvon continue to be a safe and welcoming place for kaumātua to live and remain the preferred long-term care facility for Health New Zealand – Waitematā to refer kaumātua to.</w:t>
            </w:r>
          </w:p>
          <w:p w14:paraId="585462EE" w14:textId="77777777" w:rsidR="00151FD2" w:rsidRPr="00BE00C7" w:rsidRDefault="00151FD2" w:rsidP="00BE00C7">
            <w:pPr>
              <w:pStyle w:val="OutcomeDescription"/>
              <w:spacing w:before="120" w:after="120"/>
              <w:rPr>
                <w:rFonts w:cs="Arial"/>
                <w:lang w:eastAsia="en-NZ"/>
              </w:rPr>
            </w:pPr>
            <w:r w:rsidRPr="00BE00C7">
              <w:rPr>
                <w:rFonts w:cs="Arial"/>
                <w:lang w:eastAsia="en-NZ"/>
              </w:rPr>
              <w:t>The ideas and techniques in use at CHT Carnarvon are now being shared with, and implemented at other CHT sites, and by the local public health service.</w:t>
            </w:r>
          </w:p>
          <w:p w14:paraId="38643A19" w14:textId="77777777" w:rsidR="00151FD2" w:rsidRPr="00BE00C7" w:rsidRDefault="00151FD2" w:rsidP="00BE00C7">
            <w:pPr>
              <w:pStyle w:val="OutcomeDescription"/>
              <w:spacing w:before="120" w:after="120"/>
              <w:rPr>
                <w:rFonts w:cs="Arial"/>
                <w:lang w:eastAsia="en-NZ"/>
              </w:rPr>
            </w:pPr>
          </w:p>
        </w:tc>
      </w:tr>
    </w:tbl>
    <w:p w14:paraId="734DA5C4" w14:textId="77777777" w:rsidR="00151FD2" w:rsidRPr="00BE00C7" w:rsidRDefault="00151FD2" w:rsidP="00BE00C7">
      <w:pPr>
        <w:pStyle w:val="OutcomeDescription"/>
        <w:spacing w:before="120" w:after="120"/>
        <w:rPr>
          <w:rFonts w:cs="Arial"/>
          <w:lang w:eastAsia="en-NZ"/>
        </w:rPr>
      </w:pPr>
      <w:bookmarkStart w:id="58" w:name="AuditSummaryCAMImprovment"/>
      <w:bookmarkEnd w:id="58"/>
    </w:p>
    <w:p w14:paraId="04DD3656" w14:textId="77777777" w:rsidR="00151FD2" w:rsidRDefault="00151FD2">
      <w:pPr>
        <w:pStyle w:val="OutcomeDescription"/>
        <w:spacing w:before="240"/>
        <w:rPr>
          <w:rFonts w:cs="Arial"/>
          <w:sz w:val="24"/>
          <w:lang w:eastAsia="en-NZ"/>
        </w:rPr>
      </w:pPr>
      <w:r>
        <w:rPr>
          <w:rFonts w:cs="Arial"/>
          <w:sz w:val="24"/>
          <w:lang w:eastAsia="en-NZ"/>
        </w:rPr>
        <w:lastRenderedPageBreak/>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9A937" w14:textId="77777777" w:rsidR="00151FD2" w:rsidRDefault="00151FD2">
      <w:r>
        <w:separator/>
      </w:r>
    </w:p>
  </w:endnote>
  <w:endnote w:type="continuationSeparator" w:id="0">
    <w:p w14:paraId="59AD8CDA" w14:textId="77777777" w:rsidR="00151FD2" w:rsidRDefault="0015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DA0D" w14:textId="77777777" w:rsidR="00151FD2" w:rsidRDefault="00151FD2">
    <w:pPr>
      <w:pStyle w:val="Footer"/>
    </w:pPr>
  </w:p>
  <w:p w14:paraId="315DE8E9" w14:textId="77777777" w:rsidR="00151FD2" w:rsidRDefault="00151FD2"/>
  <w:p w14:paraId="7ABCF15B" w14:textId="77777777" w:rsidR="00151FD2" w:rsidRDefault="00151FD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29D1" w14:textId="77777777" w:rsidR="00151FD2" w:rsidRPr="000B00BC" w:rsidRDefault="00151FD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CHT Healthcare Trust - </w:t>
    </w:r>
    <w:r>
      <w:rPr>
        <w:rFonts w:cs="Arial"/>
        <w:sz w:val="16"/>
        <w:szCs w:val="20"/>
      </w:rPr>
      <w:t>Carnarvon Private Hospital</w:t>
    </w:r>
    <w:bookmarkEnd w:id="59"/>
    <w:r>
      <w:rPr>
        <w:rFonts w:cs="Arial"/>
        <w:sz w:val="16"/>
        <w:szCs w:val="20"/>
      </w:rPr>
      <w:tab/>
      <w:t xml:space="preserve">Date of Audit: </w:t>
    </w:r>
    <w:bookmarkStart w:id="60" w:name="AuditStartDate1"/>
    <w:r>
      <w:rPr>
        <w:rFonts w:cs="Arial"/>
        <w:sz w:val="16"/>
        <w:szCs w:val="20"/>
      </w:rPr>
      <w:t>11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DE9F09E" w14:textId="77777777" w:rsidR="00151FD2" w:rsidRDefault="00151F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F17D" w14:textId="77777777" w:rsidR="00151FD2" w:rsidRDefault="0015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2489" w14:textId="77777777" w:rsidR="00151FD2" w:rsidRDefault="00151FD2">
      <w:r>
        <w:separator/>
      </w:r>
    </w:p>
  </w:footnote>
  <w:footnote w:type="continuationSeparator" w:id="0">
    <w:p w14:paraId="6D9270F5" w14:textId="77777777" w:rsidR="00151FD2" w:rsidRDefault="00151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47D0" w14:textId="77777777" w:rsidR="00151FD2" w:rsidRDefault="00151FD2">
    <w:pPr>
      <w:pStyle w:val="Header"/>
    </w:pPr>
  </w:p>
  <w:p w14:paraId="5E8ACBE7" w14:textId="77777777" w:rsidR="00151FD2" w:rsidRDefault="00151F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674E" w14:textId="77777777" w:rsidR="00151FD2" w:rsidRDefault="00151FD2">
    <w:pPr>
      <w:pStyle w:val="Header"/>
    </w:pPr>
  </w:p>
  <w:p w14:paraId="74B5F971" w14:textId="77777777" w:rsidR="00151FD2" w:rsidRDefault="00151F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F7AB" w14:textId="77777777" w:rsidR="00151FD2" w:rsidRDefault="00151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8C2E9F6">
      <w:start w:val="1"/>
      <w:numFmt w:val="decimal"/>
      <w:lvlText w:val="%1."/>
      <w:lvlJc w:val="left"/>
      <w:pPr>
        <w:ind w:left="360" w:hanging="360"/>
      </w:pPr>
    </w:lvl>
    <w:lvl w:ilvl="1" w:tplc="3CE68CD4" w:tentative="1">
      <w:start w:val="1"/>
      <w:numFmt w:val="lowerLetter"/>
      <w:lvlText w:val="%2."/>
      <w:lvlJc w:val="left"/>
      <w:pPr>
        <w:ind w:left="1080" w:hanging="360"/>
      </w:pPr>
    </w:lvl>
    <w:lvl w:ilvl="2" w:tplc="3D8C90E4" w:tentative="1">
      <w:start w:val="1"/>
      <w:numFmt w:val="lowerRoman"/>
      <w:lvlText w:val="%3."/>
      <w:lvlJc w:val="right"/>
      <w:pPr>
        <w:ind w:left="1800" w:hanging="180"/>
      </w:pPr>
    </w:lvl>
    <w:lvl w:ilvl="3" w:tplc="22487454" w:tentative="1">
      <w:start w:val="1"/>
      <w:numFmt w:val="decimal"/>
      <w:lvlText w:val="%4."/>
      <w:lvlJc w:val="left"/>
      <w:pPr>
        <w:ind w:left="2520" w:hanging="360"/>
      </w:pPr>
    </w:lvl>
    <w:lvl w:ilvl="4" w:tplc="385EE5A2" w:tentative="1">
      <w:start w:val="1"/>
      <w:numFmt w:val="lowerLetter"/>
      <w:lvlText w:val="%5."/>
      <w:lvlJc w:val="left"/>
      <w:pPr>
        <w:ind w:left="3240" w:hanging="360"/>
      </w:pPr>
    </w:lvl>
    <w:lvl w:ilvl="5" w:tplc="325C7880" w:tentative="1">
      <w:start w:val="1"/>
      <w:numFmt w:val="lowerRoman"/>
      <w:lvlText w:val="%6."/>
      <w:lvlJc w:val="right"/>
      <w:pPr>
        <w:ind w:left="3960" w:hanging="180"/>
      </w:pPr>
    </w:lvl>
    <w:lvl w:ilvl="6" w:tplc="263AE26A" w:tentative="1">
      <w:start w:val="1"/>
      <w:numFmt w:val="decimal"/>
      <w:lvlText w:val="%7."/>
      <w:lvlJc w:val="left"/>
      <w:pPr>
        <w:ind w:left="4680" w:hanging="360"/>
      </w:pPr>
    </w:lvl>
    <w:lvl w:ilvl="7" w:tplc="884C5D7C" w:tentative="1">
      <w:start w:val="1"/>
      <w:numFmt w:val="lowerLetter"/>
      <w:lvlText w:val="%8."/>
      <w:lvlJc w:val="left"/>
      <w:pPr>
        <w:ind w:left="5400" w:hanging="360"/>
      </w:pPr>
    </w:lvl>
    <w:lvl w:ilvl="8" w:tplc="F0B6338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43E59A6">
      <w:start w:val="1"/>
      <w:numFmt w:val="bullet"/>
      <w:lvlText w:val=""/>
      <w:lvlJc w:val="left"/>
      <w:pPr>
        <w:ind w:left="720" w:hanging="360"/>
      </w:pPr>
      <w:rPr>
        <w:rFonts w:ascii="Symbol" w:hAnsi="Symbol" w:hint="default"/>
      </w:rPr>
    </w:lvl>
    <w:lvl w:ilvl="1" w:tplc="97ECBB22" w:tentative="1">
      <w:start w:val="1"/>
      <w:numFmt w:val="bullet"/>
      <w:lvlText w:val="o"/>
      <w:lvlJc w:val="left"/>
      <w:pPr>
        <w:ind w:left="1440" w:hanging="360"/>
      </w:pPr>
      <w:rPr>
        <w:rFonts w:ascii="Courier New" w:hAnsi="Courier New" w:cs="Courier New" w:hint="default"/>
      </w:rPr>
    </w:lvl>
    <w:lvl w:ilvl="2" w:tplc="979A7C78" w:tentative="1">
      <w:start w:val="1"/>
      <w:numFmt w:val="bullet"/>
      <w:lvlText w:val=""/>
      <w:lvlJc w:val="left"/>
      <w:pPr>
        <w:ind w:left="2160" w:hanging="360"/>
      </w:pPr>
      <w:rPr>
        <w:rFonts w:ascii="Wingdings" w:hAnsi="Wingdings" w:hint="default"/>
      </w:rPr>
    </w:lvl>
    <w:lvl w:ilvl="3" w:tplc="94DC496E" w:tentative="1">
      <w:start w:val="1"/>
      <w:numFmt w:val="bullet"/>
      <w:lvlText w:val=""/>
      <w:lvlJc w:val="left"/>
      <w:pPr>
        <w:ind w:left="2880" w:hanging="360"/>
      </w:pPr>
      <w:rPr>
        <w:rFonts w:ascii="Symbol" w:hAnsi="Symbol" w:hint="default"/>
      </w:rPr>
    </w:lvl>
    <w:lvl w:ilvl="4" w:tplc="9468EC1E" w:tentative="1">
      <w:start w:val="1"/>
      <w:numFmt w:val="bullet"/>
      <w:lvlText w:val="o"/>
      <w:lvlJc w:val="left"/>
      <w:pPr>
        <w:ind w:left="3600" w:hanging="360"/>
      </w:pPr>
      <w:rPr>
        <w:rFonts w:ascii="Courier New" w:hAnsi="Courier New" w:cs="Courier New" w:hint="default"/>
      </w:rPr>
    </w:lvl>
    <w:lvl w:ilvl="5" w:tplc="EB6C41A0" w:tentative="1">
      <w:start w:val="1"/>
      <w:numFmt w:val="bullet"/>
      <w:lvlText w:val=""/>
      <w:lvlJc w:val="left"/>
      <w:pPr>
        <w:ind w:left="4320" w:hanging="360"/>
      </w:pPr>
      <w:rPr>
        <w:rFonts w:ascii="Wingdings" w:hAnsi="Wingdings" w:hint="default"/>
      </w:rPr>
    </w:lvl>
    <w:lvl w:ilvl="6" w:tplc="EF984776" w:tentative="1">
      <w:start w:val="1"/>
      <w:numFmt w:val="bullet"/>
      <w:lvlText w:val=""/>
      <w:lvlJc w:val="left"/>
      <w:pPr>
        <w:ind w:left="5040" w:hanging="360"/>
      </w:pPr>
      <w:rPr>
        <w:rFonts w:ascii="Symbol" w:hAnsi="Symbol" w:hint="default"/>
      </w:rPr>
    </w:lvl>
    <w:lvl w:ilvl="7" w:tplc="121C2076" w:tentative="1">
      <w:start w:val="1"/>
      <w:numFmt w:val="bullet"/>
      <w:lvlText w:val="o"/>
      <w:lvlJc w:val="left"/>
      <w:pPr>
        <w:ind w:left="5760" w:hanging="360"/>
      </w:pPr>
      <w:rPr>
        <w:rFonts w:ascii="Courier New" w:hAnsi="Courier New" w:cs="Courier New" w:hint="default"/>
      </w:rPr>
    </w:lvl>
    <w:lvl w:ilvl="8" w:tplc="DAEE967E" w:tentative="1">
      <w:start w:val="1"/>
      <w:numFmt w:val="bullet"/>
      <w:lvlText w:val=""/>
      <w:lvlJc w:val="left"/>
      <w:pPr>
        <w:ind w:left="6480" w:hanging="360"/>
      </w:pPr>
      <w:rPr>
        <w:rFonts w:ascii="Wingdings" w:hAnsi="Wingdings" w:hint="default"/>
      </w:rPr>
    </w:lvl>
  </w:abstractNum>
  <w:num w:numId="1" w16cid:durableId="1534490879">
    <w:abstractNumId w:val="1"/>
  </w:num>
  <w:num w:numId="2" w16cid:durableId="92742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79"/>
    <w:rsid w:val="00100079"/>
    <w:rsid w:val="00151FD2"/>
    <w:rsid w:val="002A0C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6FCA"/>
  <w15:docId w15:val="{B259E801-B69A-4875-BBA4-3F3A499A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7531</Words>
  <Characters>42932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2025-05-01T21:12:00Z</dcterms:created>
  <dcterms:modified xsi:type="dcterms:W3CDTF">2025-05-01T21:13:00Z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