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E575B" w14:textId="77777777" w:rsidR="00000000" w:rsidRDefault="00000000">
      <w:pPr>
        <w:pStyle w:val="Heading1"/>
        <w:rPr>
          <w:rFonts w:cs="Arial"/>
        </w:rPr>
      </w:pPr>
      <w:bookmarkStart w:id="0" w:name="PRMS_RIName"/>
      <w:r>
        <w:rPr>
          <w:rFonts w:cs="Arial"/>
        </w:rPr>
        <w:t>The Ultimate Care Group Limited - Ultimate Care Bishop Selwyn</w:t>
      </w:r>
      <w:bookmarkEnd w:id="0"/>
    </w:p>
    <w:p w14:paraId="76BA090F" w14:textId="77777777" w:rsidR="00000000" w:rsidRDefault="00000000">
      <w:pPr>
        <w:pStyle w:val="Heading2"/>
        <w:spacing w:after="0"/>
        <w:rPr>
          <w:rFonts w:cs="Arial"/>
        </w:rPr>
      </w:pPr>
      <w:r>
        <w:rPr>
          <w:rFonts w:cs="Arial"/>
        </w:rPr>
        <w:t>Introduction</w:t>
      </w:r>
    </w:p>
    <w:p w14:paraId="59FA7DD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9BA381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8075AF1"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D38C88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672FD47" w14:textId="77777777" w:rsidR="00000000" w:rsidRDefault="00000000">
      <w:pPr>
        <w:spacing w:before="240" w:after="240"/>
        <w:rPr>
          <w:rFonts w:cs="Arial"/>
          <w:lang w:eastAsia="en-NZ"/>
        </w:rPr>
      </w:pPr>
      <w:r>
        <w:rPr>
          <w:rFonts w:cs="Arial"/>
          <w:lang w:eastAsia="en-NZ"/>
        </w:rPr>
        <w:t>The specifics of this audit included:</w:t>
      </w:r>
    </w:p>
    <w:p w14:paraId="546B52C6"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45368C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Ultimate Care Group Limited</w:t>
      </w:r>
      <w:bookmarkEnd w:id="4"/>
    </w:p>
    <w:p w14:paraId="7EE81F0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Ultimate Care Bishop Selwyn</w:t>
      </w:r>
      <w:bookmarkEnd w:id="5"/>
    </w:p>
    <w:p w14:paraId="29FBC70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B0F563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6 March 2025</w:t>
      </w:r>
      <w:bookmarkEnd w:id="7"/>
      <w:r w:rsidRPr="009418D4">
        <w:rPr>
          <w:rFonts w:cs="Arial"/>
        </w:rPr>
        <w:tab/>
        <w:t xml:space="preserve">End date: </w:t>
      </w:r>
      <w:bookmarkStart w:id="8" w:name="AuditEndDate"/>
      <w:r>
        <w:rPr>
          <w:rFonts w:cs="Arial"/>
        </w:rPr>
        <w:t>7 March 2025</w:t>
      </w:r>
      <w:bookmarkEnd w:id="8"/>
    </w:p>
    <w:p w14:paraId="566C8EA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DA92F07" w14:textId="77777777" w:rsidR="0094633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48</w:t>
      </w:r>
      <w:bookmarkEnd w:id="10"/>
    </w:p>
    <w:p w14:paraId="7E7DE64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EF7F740" w14:textId="77777777" w:rsidR="00000000" w:rsidRDefault="00000000">
      <w:pPr>
        <w:pStyle w:val="Heading1"/>
        <w:rPr>
          <w:rFonts w:cs="Arial"/>
        </w:rPr>
      </w:pPr>
      <w:r>
        <w:rPr>
          <w:rFonts w:cs="Arial"/>
        </w:rPr>
        <w:lastRenderedPageBreak/>
        <w:t>Executive summary of the audit</w:t>
      </w:r>
    </w:p>
    <w:p w14:paraId="49D53AC6" w14:textId="77777777" w:rsidR="00000000" w:rsidRDefault="00000000">
      <w:pPr>
        <w:pStyle w:val="Heading2"/>
        <w:rPr>
          <w:rFonts w:cs="Arial"/>
        </w:rPr>
      </w:pPr>
      <w:r>
        <w:rPr>
          <w:rFonts w:cs="Arial"/>
        </w:rPr>
        <w:t>Introduction</w:t>
      </w:r>
    </w:p>
    <w:p w14:paraId="143CA6A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5D3388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32B77C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59F72C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103E3F7"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D4D24E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38E08F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AFAB68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F39EDA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946334" w14:paraId="6B111A1C" w14:textId="77777777">
        <w:trPr>
          <w:cantSplit/>
          <w:tblHeader/>
        </w:trPr>
        <w:tc>
          <w:tcPr>
            <w:tcW w:w="1260" w:type="dxa"/>
            <w:tcBorders>
              <w:bottom w:val="single" w:sz="4" w:space="0" w:color="000000"/>
            </w:tcBorders>
            <w:vAlign w:val="center"/>
          </w:tcPr>
          <w:p w14:paraId="4C5FF75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8A18BBF"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87AD384" w14:textId="77777777" w:rsidR="00000000" w:rsidRDefault="00000000">
            <w:pPr>
              <w:spacing w:before="60" w:after="60"/>
              <w:rPr>
                <w:rFonts w:eastAsia="Calibri"/>
                <w:b/>
                <w:szCs w:val="24"/>
              </w:rPr>
            </w:pPr>
            <w:r>
              <w:rPr>
                <w:rFonts w:eastAsia="Calibri"/>
                <w:b/>
                <w:szCs w:val="24"/>
              </w:rPr>
              <w:t>Definition</w:t>
            </w:r>
          </w:p>
        </w:tc>
      </w:tr>
      <w:tr w:rsidR="00946334" w14:paraId="5174B46F" w14:textId="77777777">
        <w:trPr>
          <w:cantSplit/>
          <w:trHeight w:val="964"/>
        </w:trPr>
        <w:tc>
          <w:tcPr>
            <w:tcW w:w="1260" w:type="dxa"/>
            <w:tcBorders>
              <w:bottom w:val="single" w:sz="4" w:space="0" w:color="000000"/>
            </w:tcBorders>
            <w:shd w:val="clear" w:color="0066FF" w:fill="0000FF"/>
            <w:vAlign w:val="center"/>
          </w:tcPr>
          <w:p w14:paraId="0A2395F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23DE175"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AFEF11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46334" w14:paraId="7135A866" w14:textId="77777777">
        <w:trPr>
          <w:cantSplit/>
          <w:trHeight w:val="964"/>
        </w:trPr>
        <w:tc>
          <w:tcPr>
            <w:tcW w:w="1260" w:type="dxa"/>
            <w:shd w:val="clear" w:color="33CC33" w:fill="00FF00"/>
            <w:vAlign w:val="center"/>
          </w:tcPr>
          <w:p w14:paraId="053AEA82" w14:textId="77777777" w:rsidR="00000000" w:rsidRDefault="00000000">
            <w:pPr>
              <w:spacing w:before="60" w:after="60"/>
              <w:rPr>
                <w:rFonts w:eastAsia="Calibri"/>
                <w:szCs w:val="24"/>
              </w:rPr>
            </w:pPr>
          </w:p>
        </w:tc>
        <w:tc>
          <w:tcPr>
            <w:tcW w:w="7095" w:type="dxa"/>
            <w:shd w:val="clear" w:color="auto" w:fill="auto"/>
            <w:vAlign w:val="center"/>
          </w:tcPr>
          <w:p w14:paraId="40432B15"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BD8A4C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46334" w14:paraId="2D43C8B0" w14:textId="77777777">
        <w:trPr>
          <w:cantSplit/>
          <w:trHeight w:val="964"/>
        </w:trPr>
        <w:tc>
          <w:tcPr>
            <w:tcW w:w="1260" w:type="dxa"/>
            <w:tcBorders>
              <w:bottom w:val="single" w:sz="4" w:space="0" w:color="000000"/>
            </w:tcBorders>
            <w:shd w:val="clear" w:color="auto" w:fill="FFFF00"/>
            <w:vAlign w:val="center"/>
          </w:tcPr>
          <w:p w14:paraId="328A500F" w14:textId="77777777" w:rsidR="00000000" w:rsidRDefault="00000000">
            <w:pPr>
              <w:spacing w:before="60" w:after="60"/>
              <w:rPr>
                <w:rFonts w:eastAsia="Calibri"/>
                <w:szCs w:val="24"/>
              </w:rPr>
            </w:pPr>
          </w:p>
        </w:tc>
        <w:tc>
          <w:tcPr>
            <w:tcW w:w="7095" w:type="dxa"/>
            <w:shd w:val="clear" w:color="auto" w:fill="auto"/>
            <w:vAlign w:val="center"/>
          </w:tcPr>
          <w:p w14:paraId="7F2E24C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846555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46334" w14:paraId="38B7D5F2" w14:textId="77777777">
        <w:trPr>
          <w:cantSplit/>
          <w:trHeight w:val="964"/>
        </w:trPr>
        <w:tc>
          <w:tcPr>
            <w:tcW w:w="1260" w:type="dxa"/>
            <w:tcBorders>
              <w:bottom w:val="single" w:sz="4" w:space="0" w:color="000000"/>
            </w:tcBorders>
            <w:shd w:val="clear" w:color="auto" w:fill="FFC800"/>
            <w:vAlign w:val="center"/>
          </w:tcPr>
          <w:p w14:paraId="1C76CDA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4BB23C2"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A577887"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46334" w14:paraId="4267475C" w14:textId="77777777">
        <w:trPr>
          <w:cantSplit/>
          <w:trHeight w:val="964"/>
        </w:trPr>
        <w:tc>
          <w:tcPr>
            <w:tcW w:w="1260" w:type="dxa"/>
            <w:shd w:val="clear" w:color="auto" w:fill="FF0000"/>
            <w:vAlign w:val="center"/>
          </w:tcPr>
          <w:p w14:paraId="7F9764E6" w14:textId="77777777" w:rsidR="00000000" w:rsidRDefault="00000000">
            <w:pPr>
              <w:spacing w:before="60" w:after="60"/>
              <w:rPr>
                <w:rFonts w:eastAsia="Calibri"/>
                <w:szCs w:val="24"/>
              </w:rPr>
            </w:pPr>
          </w:p>
        </w:tc>
        <w:tc>
          <w:tcPr>
            <w:tcW w:w="7095" w:type="dxa"/>
            <w:shd w:val="clear" w:color="auto" w:fill="auto"/>
            <w:vAlign w:val="center"/>
          </w:tcPr>
          <w:p w14:paraId="6E06D06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675DB3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F297CBA" w14:textId="77777777" w:rsidR="00000000" w:rsidRDefault="00000000">
      <w:pPr>
        <w:pStyle w:val="Heading2"/>
        <w:spacing w:after="0"/>
        <w:rPr>
          <w:rFonts w:cs="Arial"/>
        </w:rPr>
      </w:pPr>
      <w:r>
        <w:rPr>
          <w:rFonts w:cs="Arial"/>
        </w:rPr>
        <w:t>General overview of the audit</w:t>
      </w:r>
    </w:p>
    <w:p w14:paraId="45A2990D" w14:textId="77777777" w:rsidR="00000000" w:rsidRDefault="00000000">
      <w:pPr>
        <w:spacing w:before="240" w:line="276" w:lineRule="auto"/>
        <w:rPr>
          <w:rFonts w:eastAsia="Calibri"/>
        </w:rPr>
      </w:pPr>
      <w:bookmarkStart w:id="13" w:name="GeneralOverview"/>
      <w:r w:rsidRPr="00A4268A">
        <w:rPr>
          <w:rFonts w:eastAsia="Calibri"/>
        </w:rPr>
        <w:t xml:space="preserve">Ultimate Care Bishop Selwyn provides rest home and hospital (including geriatric and medical) level care. There are a total of 78 beds in the facility. Occupancy at the time of the audit was 48 residents. </w:t>
      </w:r>
    </w:p>
    <w:p w14:paraId="09D66B62" w14:textId="77777777" w:rsidR="00946334"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the review of policies and procedures; the review of resident and staff files; observations and interviews with residents, family/whānau, management, and staff. </w:t>
      </w:r>
    </w:p>
    <w:p w14:paraId="01E2320C" w14:textId="77777777" w:rsidR="00946334" w:rsidRPr="00A4268A" w:rsidRDefault="00000000">
      <w:pPr>
        <w:spacing w:before="240" w:line="276" w:lineRule="auto"/>
        <w:rPr>
          <w:rFonts w:eastAsia="Calibri"/>
        </w:rPr>
      </w:pPr>
      <w:r w:rsidRPr="00A4268A">
        <w:rPr>
          <w:rFonts w:eastAsia="Calibri"/>
        </w:rPr>
        <w:t>The facility manager is supported by a clinical manager and care staff. There are quality systems and processes being implemented. Feedback from residents and families/whānau was positive about the care and the services provided. An induction and in-service training programme is in place to provide staff with appropriate knowledge and skills to deliver care.</w:t>
      </w:r>
    </w:p>
    <w:p w14:paraId="5DA6A69D" w14:textId="77777777" w:rsidR="00946334" w:rsidRPr="00A4268A" w:rsidRDefault="00000000">
      <w:pPr>
        <w:spacing w:before="240" w:line="276" w:lineRule="auto"/>
        <w:rPr>
          <w:rFonts w:eastAsia="Calibri"/>
        </w:rPr>
      </w:pPr>
      <w:r w:rsidRPr="00A4268A">
        <w:rPr>
          <w:rFonts w:eastAsia="Calibri"/>
        </w:rPr>
        <w:t>The service has addressed one of the previous five audit findings relating to surveillance reporting. Four improvements remain ongoing relating to partnerships with Māori and Pacific communities and complaints management.</w:t>
      </w:r>
    </w:p>
    <w:p w14:paraId="5D52ADFA" w14:textId="77777777" w:rsidR="00946334" w:rsidRPr="00A4268A" w:rsidRDefault="00000000">
      <w:pPr>
        <w:spacing w:before="240" w:line="276" w:lineRule="auto"/>
        <w:rPr>
          <w:rFonts w:eastAsia="Calibri"/>
        </w:rPr>
      </w:pPr>
      <w:r w:rsidRPr="00A4268A">
        <w:rPr>
          <w:rFonts w:eastAsia="Calibri"/>
        </w:rPr>
        <w:t>This surveillance audit identified shortfalls relating to internal audits, training and medication management.</w:t>
      </w:r>
    </w:p>
    <w:bookmarkEnd w:id="13"/>
    <w:p w14:paraId="47E9319A" w14:textId="77777777" w:rsidR="00946334" w:rsidRPr="00A4268A" w:rsidRDefault="00946334">
      <w:pPr>
        <w:spacing w:before="240" w:line="276" w:lineRule="auto"/>
        <w:rPr>
          <w:rFonts w:eastAsia="Calibri"/>
        </w:rPr>
      </w:pPr>
    </w:p>
    <w:p w14:paraId="5820BC5B"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46334" w14:paraId="4762CDE7" w14:textId="77777777" w:rsidTr="00A4268A">
        <w:trPr>
          <w:cantSplit/>
        </w:trPr>
        <w:tc>
          <w:tcPr>
            <w:tcW w:w="10206" w:type="dxa"/>
            <w:vAlign w:val="center"/>
          </w:tcPr>
          <w:p w14:paraId="7AE6DFF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62B4966"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C800"/>
            <w:vAlign w:val="center"/>
          </w:tcPr>
          <w:p w14:paraId="45AB7DE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F0B1649"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medium or high risk and/or unattained and of low risk.</w:t>
            </w:r>
          </w:p>
        </w:tc>
      </w:tr>
    </w:tbl>
    <w:p w14:paraId="3481F986"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service delivery. The service recognises Māori mana motuhake and this is reflected in the Māori health plan and business plan. A Pacific health plan is in place which ensures cultural safety for Pacific peoples, embracing their worldviews, cultural, and spiritual beliefs. Bishop Selwyn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There is a complaints management system in place. </w:t>
      </w:r>
    </w:p>
    <w:bookmarkEnd w:id="16"/>
    <w:p w14:paraId="794E6504" w14:textId="77777777" w:rsidR="00946334" w:rsidRPr="00A4268A" w:rsidRDefault="00946334">
      <w:pPr>
        <w:spacing w:before="240" w:line="276" w:lineRule="auto"/>
        <w:rPr>
          <w:rFonts w:eastAsia="Calibri"/>
        </w:rPr>
      </w:pPr>
    </w:p>
    <w:p w14:paraId="4F863467"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46334" w14:paraId="53FF9DBE" w14:textId="77777777" w:rsidTr="00A4268A">
        <w:trPr>
          <w:cantSplit/>
        </w:trPr>
        <w:tc>
          <w:tcPr>
            <w:tcW w:w="10206" w:type="dxa"/>
            <w:vAlign w:val="center"/>
          </w:tcPr>
          <w:p w14:paraId="6A95274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771018F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F9BB871"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105361EF" w14:textId="77777777" w:rsidR="00000000" w:rsidRDefault="00000000">
      <w:pPr>
        <w:spacing w:before="240" w:line="276" w:lineRule="auto"/>
        <w:rPr>
          <w:rFonts w:eastAsia="Calibri"/>
        </w:rPr>
      </w:pPr>
      <w:bookmarkStart w:id="19" w:name="OrganisationalManagement"/>
      <w:r w:rsidRPr="00A4268A">
        <w:rPr>
          <w:rFonts w:eastAsia="Calibri"/>
        </w:rPr>
        <w:t xml:space="preserve">There is an implemented, well-established and robust governance structure, including clinical governance that is appropriate to the size and complexity of the service provided. The business plan includes a mission statement and operational objectives which are </w:t>
      </w:r>
      <w:r w:rsidRPr="00A4268A">
        <w:rPr>
          <w:rFonts w:eastAsia="Calibri"/>
        </w:rPr>
        <w:lastRenderedPageBreak/>
        <w:t>regularly reviewed. Barriers to health equity are identified, addressed, and services delivered that improve outcomes for Māori. 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Human resources are managed in accordance with good employment practice. An orientation programme and staff training plan are in place to support staff in delivering safe quality care.</w:t>
      </w:r>
    </w:p>
    <w:bookmarkEnd w:id="19"/>
    <w:p w14:paraId="69E0D47B" w14:textId="77777777" w:rsidR="00946334" w:rsidRPr="00A4268A" w:rsidRDefault="00946334">
      <w:pPr>
        <w:spacing w:before="240" w:line="276" w:lineRule="auto"/>
        <w:rPr>
          <w:rFonts w:eastAsia="Calibri"/>
        </w:rPr>
      </w:pPr>
    </w:p>
    <w:p w14:paraId="71445789"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46334" w14:paraId="3442C73B" w14:textId="77777777" w:rsidTr="00A4268A">
        <w:trPr>
          <w:cantSplit/>
        </w:trPr>
        <w:tc>
          <w:tcPr>
            <w:tcW w:w="10206" w:type="dxa"/>
            <w:vAlign w:val="center"/>
          </w:tcPr>
          <w:p w14:paraId="65DF0F5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395C5E17"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79257E5"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00E1F08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general practitioner and visiting allied health professionals. 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The kitchen staff cater to individual cultural and dietary requirements. The service has a current food control plan. All residents’ transfers and referrals are coordinated with residents and families/whānau. </w:t>
      </w:r>
    </w:p>
    <w:bookmarkEnd w:id="22"/>
    <w:p w14:paraId="76D48F67" w14:textId="77777777" w:rsidR="00946334" w:rsidRPr="00A4268A" w:rsidRDefault="00946334" w:rsidP="00621629">
      <w:pPr>
        <w:spacing w:before="240" w:line="276" w:lineRule="auto"/>
        <w:rPr>
          <w:rFonts w:eastAsia="Calibri"/>
        </w:rPr>
      </w:pPr>
    </w:p>
    <w:p w14:paraId="538E5D00"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46334" w14:paraId="3769F222" w14:textId="77777777" w:rsidTr="00A4268A">
        <w:trPr>
          <w:cantSplit/>
        </w:trPr>
        <w:tc>
          <w:tcPr>
            <w:tcW w:w="10206" w:type="dxa"/>
            <w:vAlign w:val="center"/>
          </w:tcPr>
          <w:p w14:paraId="1792B4A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22A04FF"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10E94A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67ADAEA"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has been serviced and calibrated. </w:t>
      </w:r>
    </w:p>
    <w:bookmarkEnd w:id="25"/>
    <w:p w14:paraId="622D37AB" w14:textId="77777777" w:rsidR="00946334" w:rsidRPr="00A4268A" w:rsidRDefault="00946334">
      <w:pPr>
        <w:spacing w:before="240" w:line="276" w:lineRule="auto"/>
        <w:rPr>
          <w:rFonts w:eastAsia="Calibri"/>
        </w:rPr>
      </w:pPr>
    </w:p>
    <w:p w14:paraId="7BBD9447"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46334" w14:paraId="5C6F6DEC" w14:textId="77777777" w:rsidTr="00A4268A">
        <w:trPr>
          <w:cantSplit/>
        </w:trPr>
        <w:tc>
          <w:tcPr>
            <w:tcW w:w="10206" w:type="dxa"/>
            <w:vAlign w:val="center"/>
          </w:tcPr>
          <w:p w14:paraId="32EE5CF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D71E651"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59DA92A"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9D8E362"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All policies, procedures, the pandemic plan, and the infection control programme have been developed and approved at national clinical governance level. Infection control education is provided to staff at the start of their employment, and as part of the annual education plan. Surveillance data is undertaken, including the use of standardised surveillance definitions, and ethnicity data. Infection incidents are collected and analysed for trends and the information used to identify opportunities for improvements. Benchmarking occurs. There have been four outbreaks recorded and reported on since the last audit. </w:t>
      </w:r>
    </w:p>
    <w:bookmarkEnd w:id="28"/>
    <w:p w14:paraId="5097E89D" w14:textId="77777777" w:rsidR="00946334" w:rsidRPr="00A4268A" w:rsidRDefault="00946334">
      <w:pPr>
        <w:spacing w:before="240" w:line="276" w:lineRule="auto"/>
        <w:rPr>
          <w:rFonts w:eastAsia="Calibri"/>
        </w:rPr>
      </w:pPr>
    </w:p>
    <w:p w14:paraId="6EC3A9D9"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46334" w14:paraId="1774A743" w14:textId="77777777" w:rsidTr="00A4268A">
        <w:trPr>
          <w:cantSplit/>
        </w:trPr>
        <w:tc>
          <w:tcPr>
            <w:tcW w:w="10206" w:type="dxa"/>
            <w:vAlign w:val="center"/>
          </w:tcPr>
          <w:p w14:paraId="6357C95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9D4E56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7717A7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141825D" w14:textId="77777777" w:rsidR="00000000" w:rsidRDefault="00000000">
      <w:pPr>
        <w:spacing w:before="240" w:line="276" w:lineRule="auto"/>
        <w:rPr>
          <w:rFonts w:eastAsia="Calibri"/>
        </w:rPr>
      </w:pPr>
      <w:bookmarkStart w:id="31" w:name="InfectionPreventionAndControl"/>
      <w:r w:rsidRPr="00A4268A">
        <w:rPr>
          <w:rFonts w:eastAsia="Calibri"/>
        </w:rPr>
        <w:t xml:space="preserve">The restraint coordinator role is held by the clinical services manager. The facility had no residents using restraints at the time of audit. Minimisation of restraint use is included as part of the education and training plan. The service considers least restrictive practices, implementing de-escalation techniques and alternative interventions, and only uses an approved restraint as the last resort. </w:t>
      </w:r>
    </w:p>
    <w:bookmarkEnd w:id="31"/>
    <w:p w14:paraId="79331F7F" w14:textId="77777777" w:rsidR="00946334" w:rsidRPr="00A4268A" w:rsidRDefault="00946334">
      <w:pPr>
        <w:spacing w:before="240" w:line="276" w:lineRule="auto"/>
        <w:rPr>
          <w:rFonts w:eastAsia="Calibri"/>
        </w:rPr>
      </w:pPr>
    </w:p>
    <w:p w14:paraId="394C32C3" w14:textId="77777777" w:rsidR="00000000" w:rsidRDefault="00000000" w:rsidP="000E6E02">
      <w:pPr>
        <w:pStyle w:val="Heading2"/>
        <w:spacing w:before="0"/>
        <w:rPr>
          <w:rFonts w:cs="Arial"/>
        </w:rPr>
      </w:pPr>
      <w:r>
        <w:rPr>
          <w:rFonts w:cs="Arial"/>
        </w:rPr>
        <w:t>Summary of attainment</w:t>
      </w:r>
    </w:p>
    <w:p w14:paraId="3B4444C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46334" w14:paraId="727FF9CB" w14:textId="77777777">
        <w:tc>
          <w:tcPr>
            <w:tcW w:w="1384" w:type="dxa"/>
            <w:vAlign w:val="center"/>
          </w:tcPr>
          <w:p w14:paraId="450F22E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0BB53AE" w14:textId="77777777" w:rsidR="00000000" w:rsidRDefault="00000000">
            <w:pPr>
              <w:keepNext/>
              <w:spacing w:before="60" w:after="60"/>
              <w:jc w:val="center"/>
              <w:rPr>
                <w:rFonts w:cs="Arial"/>
                <w:b/>
                <w:sz w:val="20"/>
                <w:szCs w:val="20"/>
              </w:rPr>
            </w:pPr>
            <w:r>
              <w:rPr>
                <w:rFonts w:cs="Arial"/>
                <w:b/>
                <w:sz w:val="20"/>
                <w:szCs w:val="20"/>
              </w:rPr>
              <w:t>Continuous Improvement</w:t>
            </w:r>
          </w:p>
          <w:p w14:paraId="5D8630E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00EB69C" w14:textId="77777777" w:rsidR="00000000" w:rsidRDefault="00000000">
            <w:pPr>
              <w:keepNext/>
              <w:spacing w:before="60" w:after="60"/>
              <w:jc w:val="center"/>
              <w:rPr>
                <w:rFonts w:cs="Arial"/>
                <w:b/>
                <w:sz w:val="20"/>
                <w:szCs w:val="20"/>
              </w:rPr>
            </w:pPr>
            <w:r>
              <w:rPr>
                <w:rFonts w:cs="Arial"/>
                <w:b/>
                <w:sz w:val="20"/>
                <w:szCs w:val="20"/>
              </w:rPr>
              <w:t>Fully Attained</w:t>
            </w:r>
          </w:p>
          <w:p w14:paraId="4F8023FC"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1F165E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4DFDB0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AE1D87C"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53AE817"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FE6621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44D0A5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A93194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83D98E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E2097A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36706E3" w14:textId="77777777" w:rsidR="00000000" w:rsidRDefault="00000000">
            <w:pPr>
              <w:keepNext/>
              <w:spacing w:before="60" w:after="60"/>
              <w:jc w:val="center"/>
              <w:rPr>
                <w:rFonts w:cs="Arial"/>
                <w:b/>
                <w:sz w:val="20"/>
                <w:szCs w:val="20"/>
              </w:rPr>
            </w:pPr>
            <w:r>
              <w:rPr>
                <w:rFonts w:cs="Arial"/>
                <w:b/>
                <w:sz w:val="20"/>
                <w:szCs w:val="20"/>
              </w:rPr>
              <w:t>(PA Critical)</w:t>
            </w:r>
          </w:p>
        </w:tc>
      </w:tr>
      <w:tr w:rsidR="00946334" w14:paraId="6FCA0A42" w14:textId="77777777">
        <w:tc>
          <w:tcPr>
            <w:tcW w:w="1384" w:type="dxa"/>
            <w:vAlign w:val="center"/>
          </w:tcPr>
          <w:p w14:paraId="329EDDF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3B5A13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9F5E6E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12</w:t>
            </w:r>
            <w:bookmarkEnd w:id="33"/>
          </w:p>
        </w:tc>
        <w:tc>
          <w:tcPr>
            <w:tcW w:w="1843" w:type="dxa"/>
            <w:vAlign w:val="center"/>
          </w:tcPr>
          <w:p w14:paraId="29A85A2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A96638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36750D1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4</w:t>
            </w:r>
            <w:bookmarkEnd w:id="36"/>
          </w:p>
        </w:tc>
        <w:tc>
          <w:tcPr>
            <w:tcW w:w="1843" w:type="dxa"/>
            <w:vAlign w:val="center"/>
          </w:tcPr>
          <w:p w14:paraId="4383ACB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D85599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46334" w14:paraId="2591DCB3" w14:textId="77777777">
        <w:tc>
          <w:tcPr>
            <w:tcW w:w="1384" w:type="dxa"/>
            <w:vAlign w:val="center"/>
          </w:tcPr>
          <w:p w14:paraId="34F8661C"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8721BCF"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CA1B3A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44</w:t>
            </w:r>
            <w:bookmarkEnd w:id="40"/>
          </w:p>
        </w:tc>
        <w:tc>
          <w:tcPr>
            <w:tcW w:w="1843" w:type="dxa"/>
            <w:vAlign w:val="center"/>
          </w:tcPr>
          <w:p w14:paraId="32761D9B"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85A9A86"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46E6F101"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5</w:t>
            </w:r>
            <w:bookmarkEnd w:id="43"/>
          </w:p>
        </w:tc>
        <w:tc>
          <w:tcPr>
            <w:tcW w:w="1843" w:type="dxa"/>
            <w:vAlign w:val="center"/>
          </w:tcPr>
          <w:p w14:paraId="24B8839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59DE61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7CC83A9"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46334" w14:paraId="752115E8" w14:textId="77777777">
        <w:tc>
          <w:tcPr>
            <w:tcW w:w="1384" w:type="dxa"/>
            <w:vAlign w:val="center"/>
          </w:tcPr>
          <w:p w14:paraId="2BE3D2E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E1F6A1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636FE8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6D05884" w14:textId="77777777" w:rsidR="00000000" w:rsidRDefault="00000000">
            <w:pPr>
              <w:keepNext/>
              <w:spacing w:before="60" w:after="60"/>
              <w:jc w:val="center"/>
              <w:rPr>
                <w:rFonts w:cs="Arial"/>
                <w:b/>
                <w:sz w:val="20"/>
                <w:szCs w:val="20"/>
              </w:rPr>
            </w:pPr>
            <w:r>
              <w:rPr>
                <w:rFonts w:cs="Arial"/>
                <w:b/>
                <w:sz w:val="20"/>
                <w:szCs w:val="20"/>
              </w:rPr>
              <w:t>Unattained Low Risk</w:t>
            </w:r>
          </w:p>
          <w:p w14:paraId="71E08C01"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E67EA37" w14:textId="77777777" w:rsidR="00000000" w:rsidRDefault="00000000">
            <w:pPr>
              <w:keepNext/>
              <w:spacing w:before="60" w:after="60"/>
              <w:jc w:val="center"/>
              <w:rPr>
                <w:rFonts w:cs="Arial"/>
                <w:b/>
                <w:sz w:val="20"/>
                <w:szCs w:val="20"/>
              </w:rPr>
            </w:pPr>
            <w:r>
              <w:rPr>
                <w:rFonts w:cs="Arial"/>
                <w:b/>
                <w:sz w:val="20"/>
                <w:szCs w:val="20"/>
              </w:rPr>
              <w:t>Unattained Moderate Risk</w:t>
            </w:r>
          </w:p>
          <w:p w14:paraId="0391108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F33EEFF" w14:textId="77777777" w:rsidR="00000000" w:rsidRDefault="00000000">
            <w:pPr>
              <w:keepNext/>
              <w:spacing w:before="60" w:after="60"/>
              <w:jc w:val="center"/>
              <w:rPr>
                <w:rFonts w:cs="Arial"/>
                <w:b/>
                <w:sz w:val="20"/>
                <w:szCs w:val="20"/>
              </w:rPr>
            </w:pPr>
            <w:r>
              <w:rPr>
                <w:rFonts w:cs="Arial"/>
                <w:b/>
                <w:sz w:val="20"/>
                <w:szCs w:val="20"/>
              </w:rPr>
              <w:t>Unattained High Risk</w:t>
            </w:r>
          </w:p>
          <w:p w14:paraId="3664925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B4DF3A2" w14:textId="77777777" w:rsidR="00000000" w:rsidRDefault="00000000">
            <w:pPr>
              <w:keepNext/>
              <w:spacing w:before="60" w:after="60"/>
              <w:jc w:val="center"/>
              <w:rPr>
                <w:rFonts w:cs="Arial"/>
                <w:b/>
                <w:sz w:val="20"/>
                <w:szCs w:val="20"/>
              </w:rPr>
            </w:pPr>
            <w:r>
              <w:rPr>
                <w:rFonts w:cs="Arial"/>
                <w:b/>
                <w:sz w:val="20"/>
                <w:szCs w:val="20"/>
              </w:rPr>
              <w:t>Unattained Critical Risk</w:t>
            </w:r>
          </w:p>
          <w:p w14:paraId="08886F43" w14:textId="77777777" w:rsidR="00000000" w:rsidRDefault="00000000">
            <w:pPr>
              <w:keepNext/>
              <w:spacing w:before="60" w:after="60"/>
              <w:jc w:val="center"/>
              <w:rPr>
                <w:rFonts w:cs="Arial"/>
                <w:b/>
                <w:sz w:val="20"/>
                <w:szCs w:val="20"/>
              </w:rPr>
            </w:pPr>
            <w:r>
              <w:rPr>
                <w:rFonts w:cs="Arial"/>
                <w:b/>
                <w:sz w:val="20"/>
                <w:szCs w:val="20"/>
              </w:rPr>
              <w:t>(UA Critical)</w:t>
            </w:r>
          </w:p>
        </w:tc>
      </w:tr>
      <w:tr w:rsidR="00946334" w14:paraId="7A93EC06" w14:textId="77777777">
        <w:tc>
          <w:tcPr>
            <w:tcW w:w="1384" w:type="dxa"/>
            <w:vAlign w:val="center"/>
          </w:tcPr>
          <w:p w14:paraId="11526AC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1D82EB0"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D83E535"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7FD2933"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622689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11415C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46334" w14:paraId="7B81CEE0" w14:textId="77777777">
        <w:tc>
          <w:tcPr>
            <w:tcW w:w="1384" w:type="dxa"/>
            <w:vAlign w:val="center"/>
          </w:tcPr>
          <w:p w14:paraId="17D28AA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31D2FD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1BFF29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BC95A68"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69DF4F7"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4CB6F83"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DEA62D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3DF529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97014F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BE124B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9"/>
        <w:gridCol w:w="1370"/>
        <w:gridCol w:w="7125"/>
      </w:tblGrid>
      <w:tr w:rsidR="00946334" w14:paraId="4948AA56" w14:textId="77777777">
        <w:tc>
          <w:tcPr>
            <w:tcW w:w="0" w:type="auto"/>
          </w:tcPr>
          <w:p w14:paraId="774A6A4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CDC11E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1A81C0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46334" w14:paraId="0BFA3765" w14:textId="77777777">
        <w:tc>
          <w:tcPr>
            <w:tcW w:w="0" w:type="auto"/>
          </w:tcPr>
          <w:p w14:paraId="03BB850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BEA301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24382B9" w14:textId="77777777" w:rsidR="00000000" w:rsidRPr="00BE00C7" w:rsidRDefault="00000000" w:rsidP="00BE00C7">
            <w:pPr>
              <w:pStyle w:val="OutcomeDescription"/>
              <w:spacing w:before="120" w:after="120"/>
              <w:rPr>
                <w:rFonts w:cs="Arial"/>
                <w:lang w:eastAsia="en-NZ"/>
              </w:rPr>
            </w:pPr>
          </w:p>
        </w:tc>
        <w:tc>
          <w:tcPr>
            <w:tcW w:w="0" w:type="auto"/>
          </w:tcPr>
          <w:p w14:paraId="22FADF0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D4AF812" w14:textId="77777777" w:rsidR="00000000" w:rsidRPr="00BE00C7" w:rsidRDefault="00000000" w:rsidP="00BE00C7">
            <w:pPr>
              <w:pStyle w:val="OutcomeDescription"/>
              <w:spacing w:before="120" w:after="120"/>
              <w:rPr>
                <w:rFonts w:cs="Arial"/>
                <w:lang w:eastAsia="en-NZ"/>
              </w:rPr>
            </w:pPr>
            <w:r w:rsidRPr="00BE00C7">
              <w:rPr>
                <w:rFonts w:cs="Arial"/>
                <w:lang w:eastAsia="en-NZ"/>
              </w:rPr>
              <w:t>An Ultimate Care Group Māori health plan is documented, which the service utilises as part of their strategy to embed and enact Te Tiriti o Waitangi in all aspects of service delivery. The Māori health plan references cultural awareness and cultural responsiveness to Māori perspective of health. The service recognises Māori mana motuhake and this is reflected in the Māori health plan. At the time of the audit, there were residents who identified as Māori at the facility and there were no Māori staff. Discussion with the facility manager and regional manager evidenced that a partnership is yet to be formalised with local iwi and Māori organisations. The previous audit shortfall in #1.1.5 continues.</w:t>
            </w:r>
          </w:p>
          <w:p w14:paraId="101B8CEE" w14:textId="77777777" w:rsidR="00000000" w:rsidRPr="00BE00C7" w:rsidRDefault="00000000" w:rsidP="00BE00C7">
            <w:pPr>
              <w:pStyle w:val="OutcomeDescription"/>
              <w:spacing w:before="120" w:after="120"/>
              <w:rPr>
                <w:rFonts w:cs="Arial"/>
                <w:lang w:eastAsia="en-NZ"/>
              </w:rPr>
            </w:pPr>
          </w:p>
        </w:tc>
      </w:tr>
      <w:tr w:rsidR="00946334" w14:paraId="7D4306B4" w14:textId="77777777">
        <w:tc>
          <w:tcPr>
            <w:tcW w:w="0" w:type="auto"/>
          </w:tcPr>
          <w:p w14:paraId="192BC24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EC82A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w:t>
            </w:r>
            <w:r w:rsidRPr="00BE00C7">
              <w:rPr>
                <w:rFonts w:cs="Arial"/>
                <w:lang w:eastAsia="en-NZ"/>
              </w:rPr>
              <w:lastRenderedPageBreak/>
              <w:t>Pacific worldviews and developed in collaboration with Pacific peoples for improved health outcomes.</w:t>
            </w:r>
          </w:p>
          <w:p w14:paraId="20013665" w14:textId="77777777" w:rsidR="00000000" w:rsidRPr="00BE00C7" w:rsidRDefault="00000000" w:rsidP="00BE00C7">
            <w:pPr>
              <w:pStyle w:val="OutcomeDescription"/>
              <w:spacing w:before="120" w:after="120"/>
              <w:rPr>
                <w:rFonts w:cs="Arial"/>
                <w:lang w:eastAsia="en-NZ"/>
              </w:rPr>
            </w:pPr>
          </w:p>
        </w:tc>
        <w:tc>
          <w:tcPr>
            <w:tcW w:w="0" w:type="auto"/>
          </w:tcPr>
          <w:p w14:paraId="699091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A1AF5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organisation’s Pacific Health Plan includes information on Pacific Health and refers to the Ministry of Health Pacific Island and Ministry of Pacific Ola Manuia Pacific Health and Wellbeing Action Plan 2020-2025. At the time of the audit there were no staff or residents who identified as Pasifika. Discussion with the facility manager and regional manager outlined that formal partnership is yet to be established between the facility and Pacific community groups/organisations. The previous audit shortfall in #1.2.5 continues.</w:t>
            </w:r>
          </w:p>
          <w:p w14:paraId="27442B6F" w14:textId="77777777" w:rsidR="00000000" w:rsidRPr="00BE00C7" w:rsidRDefault="00000000" w:rsidP="00BE00C7">
            <w:pPr>
              <w:pStyle w:val="OutcomeDescription"/>
              <w:spacing w:before="120" w:after="120"/>
              <w:rPr>
                <w:rFonts w:cs="Arial"/>
                <w:lang w:eastAsia="en-NZ"/>
              </w:rPr>
            </w:pPr>
          </w:p>
        </w:tc>
      </w:tr>
      <w:tr w:rsidR="00946334" w14:paraId="618238C0" w14:textId="77777777">
        <w:tc>
          <w:tcPr>
            <w:tcW w:w="0" w:type="auto"/>
          </w:tcPr>
          <w:p w14:paraId="0F652F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7D1F6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CF4EBF0" w14:textId="77777777" w:rsidR="00000000" w:rsidRPr="00BE00C7" w:rsidRDefault="00000000" w:rsidP="00BE00C7">
            <w:pPr>
              <w:pStyle w:val="OutcomeDescription"/>
              <w:spacing w:before="120" w:after="120"/>
              <w:rPr>
                <w:rFonts w:cs="Arial"/>
                <w:lang w:eastAsia="en-NZ"/>
              </w:rPr>
            </w:pPr>
          </w:p>
        </w:tc>
        <w:tc>
          <w:tcPr>
            <w:tcW w:w="0" w:type="auto"/>
          </w:tcPr>
          <w:p w14:paraId="2B0C20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39E9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facility manager and clinical manager interviewed demonstrated how it is also given in welcome packs in the language most appropriate for the resident to ensure they are fully informed of their rights. Interviews with four family/whānau (two hospital and two rest home level of care) and six residents (four hospital and two rest home level of care) confirmed they are informed of their rights and their choices are respected.</w:t>
            </w:r>
          </w:p>
          <w:p w14:paraId="47C4BC8D" w14:textId="77777777" w:rsidR="00000000" w:rsidRPr="00BE00C7" w:rsidRDefault="00000000" w:rsidP="00BE00C7">
            <w:pPr>
              <w:pStyle w:val="OutcomeDescription"/>
              <w:spacing w:before="120" w:after="120"/>
              <w:rPr>
                <w:rFonts w:cs="Arial"/>
                <w:lang w:eastAsia="en-NZ"/>
              </w:rPr>
            </w:pPr>
          </w:p>
        </w:tc>
      </w:tr>
      <w:tr w:rsidR="00946334" w14:paraId="24DBED68" w14:textId="77777777">
        <w:tc>
          <w:tcPr>
            <w:tcW w:w="0" w:type="auto"/>
          </w:tcPr>
          <w:p w14:paraId="5BC7FB2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1FC27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17D482F" w14:textId="77777777" w:rsidR="00000000" w:rsidRPr="00BE00C7" w:rsidRDefault="00000000" w:rsidP="00BE00C7">
            <w:pPr>
              <w:pStyle w:val="OutcomeDescription"/>
              <w:spacing w:before="120" w:after="120"/>
              <w:rPr>
                <w:rFonts w:cs="Arial"/>
                <w:lang w:eastAsia="en-NZ"/>
              </w:rPr>
            </w:pPr>
          </w:p>
        </w:tc>
        <w:tc>
          <w:tcPr>
            <w:tcW w:w="0" w:type="auto"/>
          </w:tcPr>
          <w:p w14:paraId="1E4713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BB93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Guidelines for professional boundaries, the employment handbook, house rules and code of conduct describe procedures to protect people from abuse, discrimination, and neglect. Staff are provided orientation and ongoing training on these policies and procedures. Professional boundaries are defined in job descriptions. The house rules reflect appropriate measures to ensure resident’s finance and property is respected at all times. There are processes in place to manage resident’s funds. Ten staff (five caregivers, four registered nurses (RN) and one household manager) and management (one facility manager, one clinical manager and one regional manager) demonstrated an understanding of professional boundaries when interviewed. </w:t>
            </w:r>
          </w:p>
          <w:p w14:paraId="621D9B4E" w14:textId="77777777" w:rsidR="00000000" w:rsidRPr="00BE00C7" w:rsidRDefault="00000000" w:rsidP="00BE00C7">
            <w:pPr>
              <w:pStyle w:val="OutcomeDescription"/>
              <w:spacing w:before="120" w:after="120"/>
              <w:rPr>
                <w:rFonts w:cs="Arial"/>
                <w:lang w:eastAsia="en-NZ"/>
              </w:rPr>
            </w:pPr>
          </w:p>
        </w:tc>
      </w:tr>
      <w:tr w:rsidR="00946334" w14:paraId="2E064256" w14:textId="77777777">
        <w:tc>
          <w:tcPr>
            <w:tcW w:w="0" w:type="auto"/>
          </w:tcPr>
          <w:p w14:paraId="242F821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D9EF8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66B73839" w14:textId="77777777" w:rsidR="00000000" w:rsidRPr="00BE00C7" w:rsidRDefault="00000000" w:rsidP="00BE00C7">
            <w:pPr>
              <w:pStyle w:val="OutcomeDescription"/>
              <w:spacing w:before="120" w:after="120"/>
              <w:rPr>
                <w:rFonts w:cs="Arial"/>
                <w:lang w:eastAsia="en-NZ"/>
              </w:rPr>
            </w:pPr>
          </w:p>
        </w:tc>
        <w:tc>
          <w:tcPr>
            <w:tcW w:w="0" w:type="auto"/>
          </w:tcPr>
          <w:p w14:paraId="1DF4DD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D1A06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 as needed.</w:t>
            </w:r>
          </w:p>
          <w:p w14:paraId="66037757" w14:textId="77777777" w:rsidR="00000000" w:rsidRPr="00BE00C7" w:rsidRDefault="00000000" w:rsidP="00BE00C7">
            <w:pPr>
              <w:pStyle w:val="OutcomeDescription"/>
              <w:spacing w:before="120" w:after="120"/>
              <w:rPr>
                <w:rFonts w:cs="Arial"/>
                <w:lang w:eastAsia="en-NZ"/>
              </w:rPr>
            </w:pPr>
          </w:p>
        </w:tc>
      </w:tr>
      <w:tr w:rsidR="00946334" w14:paraId="03081349" w14:textId="77777777">
        <w:tc>
          <w:tcPr>
            <w:tcW w:w="0" w:type="auto"/>
          </w:tcPr>
          <w:p w14:paraId="412BAF2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3EAC0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FD4F4F4" w14:textId="77777777" w:rsidR="00000000" w:rsidRPr="00BE00C7" w:rsidRDefault="00000000" w:rsidP="00BE00C7">
            <w:pPr>
              <w:pStyle w:val="OutcomeDescription"/>
              <w:spacing w:before="120" w:after="120"/>
              <w:rPr>
                <w:rFonts w:cs="Arial"/>
                <w:lang w:eastAsia="en-NZ"/>
              </w:rPr>
            </w:pPr>
          </w:p>
        </w:tc>
        <w:tc>
          <w:tcPr>
            <w:tcW w:w="0" w:type="auto"/>
          </w:tcPr>
          <w:p w14:paraId="47C6018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2350CBB" w14:textId="4B22C9E0"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The Code of Health and Disability Services Consumers’ Rights and complaints process is visible and available in te reo Māori and English. There is an electronic complaint register in place. The</w:t>
            </w:r>
            <w:r w:rsidR="00CB5396">
              <w:rPr>
                <w:rFonts w:cs="Arial"/>
                <w:lang w:eastAsia="en-NZ"/>
              </w:rPr>
              <w:t>re</w:t>
            </w:r>
            <w:r w:rsidRPr="00BE00C7">
              <w:rPr>
                <w:rFonts w:cs="Arial"/>
                <w:lang w:eastAsia="en-NZ"/>
              </w:rPr>
              <w:t xml:space="preserve"> have been eleven complaints made since the previous audit, one received in 2025 year to date and ten made in 2024. Discussions with the facility manager and review of documentation evidenced that the provider has a system in place to manage complaints in accordance with Ultimate Care Group policies and procedures; however, the complaints register and process was inconsistently completed and the outcome for complaints was not consistently completed. The previous audit shortfalls in #1.8.3 and 1.8.4 both continue. </w:t>
            </w:r>
          </w:p>
          <w:p w14:paraId="18362B5E"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complaint made through Health New Zealand was investigated by the service and closed off by Health New Zealand in December 2024. There were no identified issues in respect of this complaint. Residents have a variety of avenues they can choose from to make a complaint or express a concern. Resident meetings are held bimonthly. The facility manager stated that they address concerns as they arise and has an open-door policy to ensure concerns are addressed in person with whānau involvement. Residents and family/whānau making a complaint can involve an independent support person in the process if they choose.</w:t>
            </w:r>
          </w:p>
          <w:p w14:paraId="712A68EC" w14:textId="77777777" w:rsidR="00000000" w:rsidRPr="00BE00C7" w:rsidRDefault="00000000" w:rsidP="00BE00C7">
            <w:pPr>
              <w:pStyle w:val="OutcomeDescription"/>
              <w:spacing w:before="120" w:after="120"/>
              <w:rPr>
                <w:rFonts w:cs="Arial"/>
                <w:lang w:eastAsia="en-NZ"/>
              </w:rPr>
            </w:pPr>
          </w:p>
        </w:tc>
      </w:tr>
      <w:tr w:rsidR="00946334" w14:paraId="607652FE" w14:textId="77777777">
        <w:tc>
          <w:tcPr>
            <w:tcW w:w="0" w:type="auto"/>
          </w:tcPr>
          <w:p w14:paraId="67D87A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6D547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w:t>
            </w:r>
            <w:r w:rsidRPr="00BE00C7">
              <w:rPr>
                <w:rFonts w:cs="Arial"/>
                <w:lang w:eastAsia="en-NZ"/>
              </w:rPr>
              <w:lastRenderedPageBreak/>
              <w:t>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F1C6195" w14:textId="77777777" w:rsidR="00000000" w:rsidRPr="00BE00C7" w:rsidRDefault="00000000" w:rsidP="00BE00C7">
            <w:pPr>
              <w:pStyle w:val="OutcomeDescription"/>
              <w:spacing w:before="120" w:after="120"/>
              <w:rPr>
                <w:rFonts w:cs="Arial"/>
                <w:lang w:eastAsia="en-NZ"/>
              </w:rPr>
            </w:pPr>
          </w:p>
        </w:tc>
        <w:tc>
          <w:tcPr>
            <w:tcW w:w="0" w:type="auto"/>
          </w:tcPr>
          <w:p w14:paraId="2ED875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1EEB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Bishop Selwyn is part of the Ultimate Care Group and is located in Christchurch. The facility provides care for up to 78 rest home and hospital (geriatric and medical level care) residents. All 78 beds are dual purpose including 15 studios. At the time of the audit there were 48 residents in total: 26 residents at rest home level of care (including two residents in the studios) and 22 at hospital level of care (including one in the studios). All residents </w:t>
            </w:r>
            <w:r w:rsidRPr="00BE00C7">
              <w:rPr>
                <w:rFonts w:cs="Arial"/>
                <w:lang w:eastAsia="en-NZ"/>
              </w:rPr>
              <w:lastRenderedPageBreak/>
              <w:t>were on the aged related residential care (ARRC) agreement.</w:t>
            </w:r>
          </w:p>
          <w:p w14:paraId="5A466A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plan FY2025 and the quality and risk plan, as well as policies and procedures, demonstrate various ways that meaningful inclusion of Māori and honouring Te Tiriti occurs in all aspects of service delivery. The organisation’s mission, vision and values are documented. Business and quality objectives include resident related objectives, such as the reduction of falls, reduce medication incidents, and overall reduction of adverse events. Staff wellness related objectives, such as staff retention and staff education are documented, as well as shareholder management and financial objectives. Service monitoring and review of organisational performance occurs monthly through service level reporting.</w:t>
            </w:r>
          </w:p>
          <w:p w14:paraId="5A6358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team demonstrates a commitment to quality and risk management, ensuring there are no barriers, and that service delivery is fair and equitable for Māori. A key aspect of Ultimate Care Groups clinical governance is the identification and mitigation of risks to resident safety and wellbeing. This involves regular risk assessments, incident reporting mechanisms, and quality assurance processes to monitor and address any issues that may arise. All information is entered online on a monthly basis to the head office and monthly reflective reports are generated for each service. Reports include falls, wounds, pressure injuries infection, weight loss, and medication errors (as examples). The reports are presented at various meetings at the service and at governance level.</w:t>
            </w:r>
          </w:p>
          <w:p w14:paraId="304F83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has been in the role since December 2024 and is supported by a clinical manager and care staff. Management are also supported by the wider Ultimate Care management team that includes a regional manager (who was present at the time of the audit). The governance and leadership structure, including clinical governance, is appropriate to the size and complexity of the organisation. The facility manager confirmed knowledge of the sector, regulatory and reporting requirements and maintains currency within the field. </w:t>
            </w:r>
          </w:p>
          <w:p w14:paraId="75628ADE" w14:textId="77777777" w:rsidR="00000000" w:rsidRPr="00BE00C7" w:rsidRDefault="00000000" w:rsidP="00BE00C7">
            <w:pPr>
              <w:pStyle w:val="OutcomeDescription"/>
              <w:spacing w:before="120" w:after="120"/>
              <w:rPr>
                <w:rFonts w:cs="Arial"/>
                <w:lang w:eastAsia="en-NZ"/>
              </w:rPr>
            </w:pPr>
          </w:p>
        </w:tc>
      </w:tr>
      <w:tr w:rsidR="00946334" w14:paraId="1C9DF284" w14:textId="77777777">
        <w:tc>
          <w:tcPr>
            <w:tcW w:w="0" w:type="auto"/>
          </w:tcPr>
          <w:p w14:paraId="365ACD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48262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9135BE8" w14:textId="77777777" w:rsidR="00000000" w:rsidRPr="00BE00C7" w:rsidRDefault="00000000" w:rsidP="00BE00C7">
            <w:pPr>
              <w:pStyle w:val="OutcomeDescription"/>
              <w:spacing w:before="120" w:after="120"/>
              <w:rPr>
                <w:rFonts w:cs="Arial"/>
                <w:lang w:eastAsia="en-NZ"/>
              </w:rPr>
            </w:pPr>
          </w:p>
        </w:tc>
        <w:tc>
          <w:tcPr>
            <w:tcW w:w="0" w:type="auto"/>
          </w:tcPr>
          <w:p w14:paraId="66B9AC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C13B1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Ultimate Care Bishop Selwyn is implementing a quality and risk management programme, including performance monitoring through internal audits and collection of clinical indicator data. Internal audits are completed as per the internal audit schedule; however, not all corrective actions identified were </w:t>
            </w:r>
            <w:r w:rsidRPr="00BE00C7">
              <w:rPr>
                <w:rFonts w:cs="Arial"/>
                <w:lang w:eastAsia="en-NZ"/>
              </w:rPr>
              <w:lastRenderedPageBreak/>
              <w:t xml:space="preserve">followed up or closed out. Meetings and collation of data were documented as taking place. Monthly quality/health and safety/staff meetings and RN/clinical meetings provide an avenue for discussions in relation to (but not limited to) quality data; health and safety; infection control/pandemic strategies; complaints; staffing and education. Three-monthly infection control and health and safety meetings are also undertaken for an in-depth review of infection control and health and safety. Four-monthly restraint meetings are also in place (the service is restraint free). </w:t>
            </w:r>
          </w:p>
          <w:p w14:paraId="1A87D0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2024 resident and family/whānau satisfaction survey indicated satisfactory levels of the service provided in most areas. Corrective actions have been completed around food services (meals to be served hot) and housekeeping (cleanliness of the facility). A health and safety system is in place. Hazard identification forms are completed, and an up-to-date hazard and risk register was reviewed (sighted). Staff are kept informed on health and safety issues in handovers, meetings and via additional training as needed. Electronic entries are completed for each incident/accident and immediate action is documented with any follow-up action(s) required, evidenced in the twelve accident/incident records reviewed. Incident and accident data is collated monthly and analysed. Results are discussed in the RN/clinical meeting and at handover. Each event involving a resident reflected a clinical assessment and a timely follow up by an RN.</w:t>
            </w:r>
          </w:p>
          <w:p w14:paraId="6753631F"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facility manager and clinical manager evidenced awareness of their requirement to notify relevant authorities in relation to essential notifications, including reporting requirements to the Health Safety and Quality Commission. There have been seven incidents requiring Section 31 notifications to be submitted since the last audit; two notifications of change for the facility manager (December 2024) and clinical manager (November 2024) were completed. Four outbreaks have been recorded since the last audit and reported as required.</w:t>
            </w:r>
          </w:p>
          <w:p w14:paraId="050E9CB1" w14:textId="77777777" w:rsidR="00000000" w:rsidRPr="00BE00C7" w:rsidRDefault="00000000" w:rsidP="00BE00C7">
            <w:pPr>
              <w:pStyle w:val="OutcomeDescription"/>
              <w:spacing w:before="120" w:after="120"/>
              <w:rPr>
                <w:rFonts w:cs="Arial"/>
                <w:lang w:eastAsia="en-NZ"/>
              </w:rPr>
            </w:pPr>
          </w:p>
        </w:tc>
      </w:tr>
      <w:tr w:rsidR="00946334" w14:paraId="7EE37AB9" w14:textId="77777777">
        <w:tc>
          <w:tcPr>
            <w:tcW w:w="0" w:type="auto"/>
          </w:tcPr>
          <w:p w14:paraId="726D7E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DAD32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w:t>
            </w:r>
            <w:r w:rsidRPr="00BE00C7">
              <w:rPr>
                <w:rFonts w:cs="Arial"/>
                <w:lang w:eastAsia="en-NZ"/>
              </w:rPr>
              <w:lastRenderedPageBreak/>
              <w:t>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8787309" w14:textId="77777777" w:rsidR="00000000" w:rsidRPr="00BE00C7" w:rsidRDefault="00000000" w:rsidP="00BE00C7">
            <w:pPr>
              <w:pStyle w:val="OutcomeDescription"/>
              <w:spacing w:before="120" w:after="120"/>
              <w:rPr>
                <w:rFonts w:cs="Arial"/>
                <w:lang w:eastAsia="en-NZ"/>
              </w:rPr>
            </w:pPr>
          </w:p>
        </w:tc>
        <w:tc>
          <w:tcPr>
            <w:tcW w:w="0" w:type="auto"/>
          </w:tcPr>
          <w:p w14:paraId="2FE1DB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6BB8A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care and support. The facility manager and clinical manager are available Monday to Friday. The facility manager is on call 24/7 for any operational related issues and the clinical manager for any clinical matters. Registered nurse cover is provided 24 hours a day, seven days a week. Staff and residents are informed when there are changes to staffing levels, as </w:t>
            </w:r>
            <w:r w:rsidRPr="00BE00C7">
              <w:rPr>
                <w:rFonts w:cs="Arial"/>
                <w:lang w:eastAsia="en-NZ"/>
              </w:rPr>
              <w:lastRenderedPageBreak/>
              <w:t>evidenced in staff interviews. On-call cover is provided by the senior RN team. Interviews with staff confirmed that overall staffing is adequate to meet the needs of the residents. Separate cleaning staff and laundry staff are employed seven days a week.</w:t>
            </w:r>
          </w:p>
          <w:p w14:paraId="63AD7D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completed for 2024 and is being implemented for 2025. The education and training schedule lists compulsory training and is available through online training and face to face training. Training records documented low attendance for care staff for a number of compulsory training requirements including Code of Rights; privacy/dignity; spirituality/counselling; the aging process; death/dying; end of life care; continence management; safe food handling; and restraint. External training opportunities for care staff include training through Health New Zealand and hospice.</w:t>
            </w:r>
          </w:p>
          <w:p w14:paraId="11A26C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are encouraged to attain Careerforce New Zealand Qualifications Authority (NZQA) training levels in Health and Wellbeing. Twenty-three of thirty caregivers have attained a level three NZQA qualification or higher. All staff are required to complete competency assessments as part of their orientation. Annual competencies include (but are not limited to) hand hygiene, moving and handling, and correct use of personal protective equipment. Additional RN specific competencies include subcutaneous fluids, syringe driver, and interRAI assessment competency. There are six RNs and one enrolled nurse (EN), with four of them being interRAI trained. Registered nurses are supported to maintain their professional competency. </w:t>
            </w:r>
          </w:p>
          <w:p w14:paraId="1F1EE27C" w14:textId="77777777" w:rsidR="00000000" w:rsidRPr="00BE00C7" w:rsidRDefault="00000000" w:rsidP="00BE00C7">
            <w:pPr>
              <w:pStyle w:val="OutcomeDescription"/>
              <w:spacing w:before="120" w:after="120"/>
              <w:rPr>
                <w:rFonts w:cs="Arial"/>
                <w:lang w:eastAsia="en-NZ"/>
              </w:rPr>
            </w:pPr>
          </w:p>
        </w:tc>
      </w:tr>
      <w:tr w:rsidR="00946334" w14:paraId="1173BE76" w14:textId="77777777">
        <w:tc>
          <w:tcPr>
            <w:tcW w:w="0" w:type="auto"/>
          </w:tcPr>
          <w:p w14:paraId="77E7F6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8EB70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culturally safe, respectful, quality care and </w:t>
            </w:r>
            <w:r w:rsidRPr="00BE00C7">
              <w:rPr>
                <w:rFonts w:cs="Arial"/>
                <w:lang w:eastAsia="en-NZ"/>
              </w:rPr>
              <w:lastRenderedPageBreak/>
              <w:t>services.</w:t>
            </w:r>
          </w:p>
          <w:p w14:paraId="1B54E9A9" w14:textId="77777777" w:rsidR="00000000" w:rsidRPr="00BE00C7" w:rsidRDefault="00000000" w:rsidP="00BE00C7">
            <w:pPr>
              <w:pStyle w:val="OutcomeDescription"/>
              <w:spacing w:before="120" w:after="120"/>
              <w:rPr>
                <w:rFonts w:cs="Arial"/>
                <w:lang w:eastAsia="en-NZ"/>
              </w:rPr>
            </w:pPr>
          </w:p>
        </w:tc>
        <w:tc>
          <w:tcPr>
            <w:tcW w:w="0" w:type="auto"/>
          </w:tcPr>
          <w:p w14:paraId="2394AE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E5B7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1CCE20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All staff who </w:t>
            </w:r>
            <w:r w:rsidRPr="00BE00C7">
              <w:rPr>
                <w:rFonts w:cs="Arial"/>
                <w:lang w:eastAsia="en-NZ"/>
              </w:rPr>
              <w:lastRenderedPageBreak/>
              <w:t xml:space="preserve">have been employed for a year or more, have a current performance appraisal on file. </w:t>
            </w:r>
          </w:p>
          <w:p w14:paraId="2ACCE4D6" w14:textId="77777777" w:rsidR="00000000" w:rsidRPr="00BE00C7" w:rsidRDefault="00000000" w:rsidP="00BE00C7">
            <w:pPr>
              <w:pStyle w:val="OutcomeDescription"/>
              <w:spacing w:before="120" w:after="120"/>
              <w:rPr>
                <w:rFonts w:cs="Arial"/>
                <w:lang w:eastAsia="en-NZ"/>
              </w:rPr>
            </w:pPr>
          </w:p>
        </w:tc>
      </w:tr>
      <w:tr w:rsidR="00946334" w14:paraId="2B48C82B" w14:textId="77777777">
        <w:tc>
          <w:tcPr>
            <w:tcW w:w="0" w:type="auto"/>
          </w:tcPr>
          <w:p w14:paraId="205E6A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131C5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D72AE78" w14:textId="77777777" w:rsidR="00000000" w:rsidRPr="00BE00C7" w:rsidRDefault="00000000" w:rsidP="00BE00C7">
            <w:pPr>
              <w:pStyle w:val="OutcomeDescription"/>
              <w:spacing w:before="120" w:after="120"/>
              <w:rPr>
                <w:rFonts w:cs="Arial"/>
                <w:lang w:eastAsia="en-NZ"/>
              </w:rPr>
            </w:pPr>
          </w:p>
        </w:tc>
        <w:tc>
          <w:tcPr>
            <w:tcW w:w="0" w:type="auto"/>
          </w:tcPr>
          <w:p w14:paraId="439C0BC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7DD259"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resident files were reviewed: three hospital level and two rest home level residents. The RNs are responsible for all residents’ assessments, care planning and evaluation of care. Care plans are based on data collected during the initial nursing assessments, which include dietary needs, pressure injury, falls risk, social history, and information from pre-entry assessments. All residents had an interRAI assessment, in addition to a full suite of assessments completed on the electronic resident management system, which incorporate skin integrity, pressure injury risk, dietary requirements, communication needs, emotional, psychological, and behavioural support needs.</w:t>
            </w:r>
          </w:p>
          <w:p w14:paraId="79FB8B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residents, detailing needs, and preferences within 24 hours of admission. The individualised long-term care plans (LTCPs) are developed, with information gathered during the initial assessments and the interRAI assessment. All LTCP and interRAI assessments sampled had been completed within three weeks of the residents’ admission to the facility. Documented interventions meet the residents’ assessed needs and are sufficiently detailed to provide guidance to care staff in the delivery of care. The activity assessments include a cultural assessment which gathers information about cultural needs, values, and beliefs. Information from these assessments is used to develop the resident’s individual activity care plan. </w:t>
            </w:r>
          </w:p>
          <w:p w14:paraId="4222BDC8"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and wounds.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desired goals and outcomes. Residents interviewed confirmed assessments are completed according to their needs and in the privacy of their bedrooms.</w:t>
            </w:r>
          </w:p>
          <w:p w14:paraId="49D782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w:t>
            </w:r>
            <w:r w:rsidRPr="00BE00C7">
              <w:rPr>
                <w:rFonts w:cs="Arial"/>
                <w:lang w:eastAsia="en-NZ"/>
              </w:rPr>
              <w:lastRenderedPageBreak/>
              <w:t xml:space="preserve">interviews and resident records evidenced that family/whānau are informed where there is a change in health status. The service has policies and procedures in place to support all residents to access services and information. </w:t>
            </w:r>
          </w:p>
          <w:p w14:paraId="6BAC3D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ongoing reviews by the GP within required timeframes and when their health status changes. The GP visits twice weekly and as required. The GP practice also provides on call for the facility out of hours. Medical documentation and records reviewed were current. The GP was interviewed and was complimentary of the service provided. A physiotherapist visits the facility weekly and on request to review residents referred by the RNs. There is access to a continence specialist as required. A podiatrist visits regularly. The dietitian, speech language therapist, hospice, wound care nurse specialist, and medical specialists are available as required through Health New Zealand.</w:t>
            </w:r>
          </w:p>
          <w:p w14:paraId="49B380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were available at the facility.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At the time of the audit there were nine pressure injuries (including six non-facility acquired unstageable, and three stage II facility-acquired pressure injuries) and seven residents with minor wounds, such as small skin tears or lesions. </w:t>
            </w:r>
          </w:p>
          <w:p w14:paraId="065F0F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clinical records. Monthly observations such as weight and blood pressure were completed and are up to date. Neurological observations are recorded following un-witnessed falls as per policy. A range of monitoring charts are available for the care staff to utilise. These include (but are not limited to) monthly blood pressure and weight monitoring, bowel records and repositioning records. Staff interviews confirmed they are familiar with the needs of all residents in the facility and that they have access to the supplies and products they require to meet those needs. Staff receive handover at the beginning of their shift. </w:t>
            </w:r>
          </w:p>
          <w:p w14:paraId="7B5FF50C" w14:textId="424A83F8" w:rsidR="00000000" w:rsidRPr="00BE00C7" w:rsidRDefault="00000000" w:rsidP="009D2CB5">
            <w:pPr>
              <w:pStyle w:val="OutcomeDescription"/>
              <w:spacing w:before="120" w:after="120"/>
              <w:rPr>
                <w:rFonts w:cs="Arial"/>
                <w:lang w:eastAsia="en-NZ"/>
              </w:rPr>
            </w:pPr>
          </w:p>
        </w:tc>
      </w:tr>
      <w:tr w:rsidR="00946334" w14:paraId="6C449777" w14:textId="77777777">
        <w:tc>
          <w:tcPr>
            <w:tcW w:w="0" w:type="auto"/>
          </w:tcPr>
          <w:p w14:paraId="2233E8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C665A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DB19AB4" w14:textId="77777777" w:rsidR="00000000" w:rsidRPr="00BE00C7" w:rsidRDefault="00000000" w:rsidP="00BE00C7">
            <w:pPr>
              <w:pStyle w:val="OutcomeDescription"/>
              <w:spacing w:before="120" w:after="120"/>
              <w:rPr>
                <w:rFonts w:cs="Arial"/>
                <w:lang w:eastAsia="en-NZ"/>
              </w:rPr>
            </w:pPr>
          </w:p>
        </w:tc>
        <w:tc>
          <w:tcPr>
            <w:tcW w:w="0" w:type="auto"/>
          </w:tcPr>
          <w:p w14:paraId="6188CEE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87609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Staff were observed to be safely administering medications. The RNs and medication competent caregivers interviewed could describe their role regarding medication administration. The service currently uses an electronic medication management system, and pre-packaged medication sachets. All medications are checked on delivery against the medication chart and any discrepancies are fed back to the supplying pharmacy. Medications were appropriately stored in the facility medication room. The medication fridge and medication room temperatures are monitored daily. All stored medications are checked weekly and have a six-monthly pharmacy check; however, eyedrops are not always dated on opening or discarded in accordance with manufacturer’s instructions. </w:t>
            </w:r>
          </w:p>
          <w:p w14:paraId="43545318" w14:textId="77777777" w:rsidR="00000000" w:rsidRPr="00BE00C7" w:rsidRDefault="00000000"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GP had reviewed all resident medication charts three-monthly, and each drug chart has photo identification and allergy status identified. Indications for use were noted for pro re nata (PRN) medications. The effectiveness of PRN medications was consistently documented in the electronic medication management system and progress notes. There were no residents self-administering medications; however, policy and procedures facilitate assessment for competence and safe storage should this be required. No standing orders are used. There was documented evidence in the clinical files that residents and family/whānau are updated around medication changes, including the reason for changing medications and side effects. When medication related incidents occurred, these were investigated and followed up on.</w:t>
            </w:r>
          </w:p>
          <w:p w14:paraId="150497EA" w14:textId="77777777" w:rsidR="00000000" w:rsidRPr="00BE00C7" w:rsidRDefault="00000000" w:rsidP="00BE00C7">
            <w:pPr>
              <w:pStyle w:val="OutcomeDescription"/>
              <w:spacing w:before="120" w:after="120"/>
              <w:rPr>
                <w:rFonts w:cs="Arial"/>
                <w:lang w:eastAsia="en-NZ"/>
              </w:rPr>
            </w:pPr>
          </w:p>
        </w:tc>
      </w:tr>
      <w:tr w:rsidR="00946334" w14:paraId="59E7EC9A" w14:textId="77777777">
        <w:tc>
          <w:tcPr>
            <w:tcW w:w="0" w:type="auto"/>
          </w:tcPr>
          <w:p w14:paraId="1E7397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38A0F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values, and protocols around food and access to </w:t>
            </w:r>
            <w:r w:rsidRPr="00BE00C7">
              <w:rPr>
                <w:rFonts w:cs="Arial"/>
                <w:lang w:eastAsia="en-NZ"/>
              </w:rPr>
              <w:lastRenderedPageBreak/>
              <w:t>traditional foods.</w:t>
            </w:r>
            <w:r w:rsidRPr="00BE00C7">
              <w:rPr>
                <w:rFonts w:cs="Arial"/>
                <w:lang w:eastAsia="en-NZ"/>
              </w:rPr>
              <w:br/>
              <w:t>As service providers: We ensure people’s nutrition and hydration needs are met to promote and maintain their health and wellbeing.</w:t>
            </w:r>
          </w:p>
          <w:p w14:paraId="726E9332" w14:textId="77777777" w:rsidR="00000000" w:rsidRPr="00BE00C7" w:rsidRDefault="00000000" w:rsidP="00BE00C7">
            <w:pPr>
              <w:pStyle w:val="OutcomeDescription"/>
              <w:spacing w:before="120" w:after="120"/>
              <w:rPr>
                <w:rFonts w:cs="Arial"/>
                <w:lang w:eastAsia="en-NZ"/>
              </w:rPr>
            </w:pPr>
          </w:p>
        </w:tc>
        <w:tc>
          <w:tcPr>
            <w:tcW w:w="0" w:type="auto"/>
          </w:tcPr>
          <w:p w14:paraId="1711CC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D904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cook reported providing boil ups, mussels, and hangi for Māori residents on a regular basis. The kitchen receives resident dietary forms and is notified of any dietary changes for residents. Dislikes and special dietary requirements are accommodated, including food allergies. The household manager is the main cook and when interviewed, reported they accommodate </w:t>
            </w:r>
            <w:r w:rsidRPr="00BE00C7">
              <w:rPr>
                <w:rFonts w:cs="Arial"/>
                <w:lang w:eastAsia="en-NZ"/>
              </w:rPr>
              <w:lastRenderedPageBreak/>
              <w:t xml:space="preserve">residents’ requests. There is a verified food control plan, expiring in June 2025. The residents and family/whānau interviewed were complimentary regarding the standard of food provided. </w:t>
            </w:r>
          </w:p>
          <w:p w14:paraId="407EC211" w14:textId="77777777" w:rsidR="00000000" w:rsidRPr="00BE00C7" w:rsidRDefault="00000000" w:rsidP="00BE00C7">
            <w:pPr>
              <w:pStyle w:val="OutcomeDescription"/>
              <w:spacing w:before="120" w:after="120"/>
              <w:rPr>
                <w:rFonts w:cs="Arial"/>
                <w:lang w:eastAsia="en-NZ"/>
              </w:rPr>
            </w:pPr>
          </w:p>
        </w:tc>
      </w:tr>
      <w:tr w:rsidR="00946334" w14:paraId="306044D1" w14:textId="77777777">
        <w:tc>
          <w:tcPr>
            <w:tcW w:w="0" w:type="auto"/>
          </w:tcPr>
          <w:p w14:paraId="316CB5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277E1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C185DBE" w14:textId="77777777" w:rsidR="00000000" w:rsidRPr="00BE00C7" w:rsidRDefault="00000000" w:rsidP="00BE00C7">
            <w:pPr>
              <w:pStyle w:val="OutcomeDescription"/>
              <w:spacing w:before="120" w:after="120"/>
              <w:rPr>
                <w:rFonts w:cs="Arial"/>
                <w:lang w:eastAsia="en-NZ"/>
              </w:rPr>
            </w:pPr>
          </w:p>
        </w:tc>
        <w:tc>
          <w:tcPr>
            <w:tcW w:w="0" w:type="auto"/>
          </w:tcPr>
          <w:p w14:paraId="0DD123F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5D30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312D4296" w14:textId="77777777" w:rsidR="00000000" w:rsidRPr="00BE00C7" w:rsidRDefault="00000000" w:rsidP="00BE00C7">
            <w:pPr>
              <w:pStyle w:val="OutcomeDescription"/>
              <w:spacing w:before="120" w:after="120"/>
              <w:rPr>
                <w:rFonts w:cs="Arial"/>
                <w:lang w:eastAsia="en-NZ"/>
              </w:rPr>
            </w:pPr>
          </w:p>
        </w:tc>
      </w:tr>
      <w:tr w:rsidR="00946334" w14:paraId="7E8AA5AA" w14:textId="77777777">
        <w:tc>
          <w:tcPr>
            <w:tcW w:w="0" w:type="auto"/>
          </w:tcPr>
          <w:p w14:paraId="783CD4F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0C346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E7461A8" w14:textId="77777777" w:rsidR="00000000" w:rsidRPr="00BE00C7" w:rsidRDefault="00000000" w:rsidP="00BE00C7">
            <w:pPr>
              <w:pStyle w:val="OutcomeDescription"/>
              <w:spacing w:before="120" w:after="120"/>
              <w:rPr>
                <w:rFonts w:cs="Arial"/>
                <w:lang w:eastAsia="en-NZ"/>
              </w:rPr>
            </w:pPr>
          </w:p>
        </w:tc>
        <w:tc>
          <w:tcPr>
            <w:tcW w:w="0" w:type="auto"/>
          </w:tcPr>
          <w:p w14:paraId="01D35C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A288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buildings, plant, and equipment are fit for purpose and comply with legislation relevant to the health and disability services being provided. The environment is inclusive of people’s cultures and supports cultural practices. The current building warrant of fitness expires 1 July 2025. There is a maintenance request book for repairs located at the front desk. This is checked daily and signed off when repairs have been completed. There is an annual maintenance plan that includes electrical testing and tagging, equipment checks, call bell checks, calibration of medical equipment, and monthly testing of hot water temperatures. Essential contractors/tradespeople are available 24 hours a day as required. Hot water temperature recording reviewed had corrective actions undertaken when outside of expected ranges.</w:t>
            </w:r>
          </w:p>
          <w:p w14:paraId="0A5BCB15" w14:textId="77777777" w:rsidR="00000000" w:rsidRPr="00BE00C7" w:rsidRDefault="00000000" w:rsidP="00BE00C7">
            <w:pPr>
              <w:pStyle w:val="OutcomeDescription"/>
              <w:spacing w:before="120" w:after="120"/>
              <w:rPr>
                <w:rFonts w:cs="Arial"/>
                <w:lang w:eastAsia="en-NZ"/>
              </w:rPr>
            </w:pPr>
          </w:p>
        </w:tc>
      </w:tr>
      <w:tr w:rsidR="00946334" w14:paraId="5BF31DB4" w14:textId="77777777">
        <w:tc>
          <w:tcPr>
            <w:tcW w:w="0" w:type="auto"/>
          </w:tcPr>
          <w:p w14:paraId="28025E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5.2: The infection prevention programme and </w:t>
            </w:r>
            <w:r w:rsidRPr="00BE00C7">
              <w:rPr>
                <w:rFonts w:cs="Arial"/>
                <w:lang w:eastAsia="en-NZ"/>
              </w:rPr>
              <w:lastRenderedPageBreak/>
              <w:t>implementation</w:t>
            </w:r>
          </w:p>
          <w:p w14:paraId="7DDFC7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CEFE0B4" w14:textId="77777777" w:rsidR="00000000" w:rsidRPr="00BE00C7" w:rsidRDefault="00000000" w:rsidP="00BE00C7">
            <w:pPr>
              <w:pStyle w:val="OutcomeDescription"/>
              <w:spacing w:before="120" w:after="120"/>
              <w:rPr>
                <w:rFonts w:cs="Arial"/>
                <w:lang w:eastAsia="en-NZ"/>
              </w:rPr>
            </w:pPr>
          </w:p>
        </w:tc>
        <w:tc>
          <w:tcPr>
            <w:tcW w:w="0" w:type="auto"/>
          </w:tcPr>
          <w:p w14:paraId="698C09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57F8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prevention, and antimicrobial programme and procedure that has been developed by the clinical team at head office. The infection </w:t>
            </w:r>
            <w:r w:rsidRPr="00BE00C7">
              <w:rPr>
                <w:rFonts w:cs="Arial"/>
                <w:lang w:eastAsia="en-NZ"/>
              </w:rPr>
              <w:lastRenderedPageBreak/>
              <w:t xml:space="preserve">prevention and antimicrobial programme is reviewed annually and is linked to the quality and business plan. The Ultimate Care Group clinical operations group involve staff at site level in the review of policies and procedures. The infection control nurse has input when policies and procedures are reviewed. </w:t>
            </w:r>
          </w:p>
          <w:p w14:paraId="15D259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is available for all staff and includes scenario-based training completed at intervals. Staff education includes (but is not limited to): infection prevention and control including standard precautions; isolation procedures; hand washing competencies; donning and doffing personal protective equipment (PPE); monitoring of antimicrobial medication; cultural safety; aseptic technique, and transmission-based precautions.</w:t>
            </w:r>
          </w:p>
          <w:p w14:paraId="41D32304" w14:textId="77777777" w:rsidR="00000000" w:rsidRPr="00BE00C7" w:rsidRDefault="00000000" w:rsidP="00BE00C7">
            <w:pPr>
              <w:pStyle w:val="OutcomeDescription"/>
              <w:spacing w:before="120" w:after="120"/>
              <w:rPr>
                <w:rFonts w:cs="Arial"/>
                <w:lang w:eastAsia="en-NZ"/>
              </w:rPr>
            </w:pPr>
          </w:p>
        </w:tc>
      </w:tr>
      <w:tr w:rsidR="00946334" w14:paraId="2931536E" w14:textId="77777777">
        <w:tc>
          <w:tcPr>
            <w:tcW w:w="0" w:type="auto"/>
          </w:tcPr>
          <w:p w14:paraId="18C766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4B9A3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0B40500" w14:textId="77777777" w:rsidR="00000000" w:rsidRPr="00BE00C7" w:rsidRDefault="00000000" w:rsidP="00BE00C7">
            <w:pPr>
              <w:pStyle w:val="OutcomeDescription"/>
              <w:spacing w:before="120" w:after="120"/>
              <w:rPr>
                <w:rFonts w:cs="Arial"/>
                <w:lang w:eastAsia="en-NZ"/>
              </w:rPr>
            </w:pPr>
          </w:p>
        </w:tc>
        <w:tc>
          <w:tcPr>
            <w:tcW w:w="0" w:type="auto"/>
          </w:tcPr>
          <w:p w14:paraId="2530AC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6748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The service incorporates ethnicity data into surveillance methods and data captured around infections. The previous audit shortfall (5.4.3) has been addressed. Infection control surveillance is discussed at clinical, quality and staff meetings. Meeting minutes and graphs are displayed for staff. Action plans are required for any infection rates of concern. </w:t>
            </w:r>
          </w:p>
          <w:p w14:paraId="3047FF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infection control audits are completed with corrective actions for areas of improvement. The service receives regular notifications and alerts from Health New Zealand. Infections, including outbreaks, are reported, and reviewed, so improvements can be made to reduce healthcare acquired infections (HAI). </w:t>
            </w:r>
          </w:p>
          <w:p w14:paraId="55264F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four outbreaks (influenza, gastroenteritis, respiratory and skin) documented since the previous audit, year to date. These were well documented and managed according to policy. The staff interviewed were knowledgeable around isolation and outbreak procedures. Residents and family/whānau were kept well informed during the outbreak. </w:t>
            </w:r>
          </w:p>
          <w:p w14:paraId="39C3D78F" w14:textId="77777777" w:rsidR="00000000" w:rsidRPr="00BE00C7" w:rsidRDefault="00000000" w:rsidP="00BE00C7">
            <w:pPr>
              <w:pStyle w:val="OutcomeDescription"/>
              <w:spacing w:before="120" w:after="120"/>
              <w:rPr>
                <w:rFonts w:cs="Arial"/>
                <w:lang w:eastAsia="en-NZ"/>
              </w:rPr>
            </w:pPr>
          </w:p>
        </w:tc>
      </w:tr>
      <w:tr w:rsidR="00946334" w14:paraId="0D81BEB5" w14:textId="77777777">
        <w:tc>
          <w:tcPr>
            <w:tcW w:w="0" w:type="auto"/>
          </w:tcPr>
          <w:p w14:paraId="645A6B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BDD73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9B3BFFA" w14:textId="77777777" w:rsidR="00000000" w:rsidRPr="00BE00C7" w:rsidRDefault="00000000" w:rsidP="00BE00C7">
            <w:pPr>
              <w:pStyle w:val="OutcomeDescription"/>
              <w:spacing w:before="120" w:after="120"/>
              <w:rPr>
                <w:rFonts w:cs="Arial"/>
                <w:lang w:eastAsia="en-NZ"/>
              </w:rPr>
            </w:pPr>
          </w:p>
        </w:tc>
        <w:tc>
          <w:tcPr>
            <w:tcW w:w="0" w:type="auto"/>
          </w:tcPr>
          <w:p w14:paraId="7FD8C5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0C0E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committed to providing services to residents without the use of restraint wherever possible. Restraint policy confirms that restraint consideration and application must be done in partnership with families/whānau, and the choice of device must be the least restrictive possible. The restraint coordinator interviewed described the focus on maintaining a restraint-free environment. At all times when restraint is considered, the facility works in partnership with Māori, to promote and ensure services are mana enhancing. At the time of the audit, there were no residents utilising restraint. There are detailed assessments, an approval process, and monitoring requirements available should these be required. Restraint elimination is included as part of the mandatory training plan and orientation programme.</w:t>
            </w:r>
          </w:p>
          <w:p w14:paraId="7B873824" w14:textId="77777777" w:rsidR="00000000" w:rsidRPr="00BE00C7" w:rsidRDefault="00000000" w:rsidP="00BE00C7">
            <w:pPr>
              <w:pStyle w:val="OutcomeDescription"/>
              <w:spacing w:before="120" w:after="120"/>
              <w:rPr>
                <w:rFonts w:cs="Arial"/>
                <w:lang w:eastAsia="en-NZ"/>
              </w:rPr>
            </w:pPr>
          </w:p>
        </w:tc>
      </w:tr>
    </w:tbl>
    <w:p w14:paraId="457DE285"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967EE13" w14:textId="77777777" w:rsidR="00000000" w:rsidRDefault="00000000">
      <w:pPr>
        <w:pStyle w:val="Heading1"/>
        <w:rPr>
          <w:rFonts w:cs="Arial"/>
        </w:rPr>
      </w:pPr>
      <w:r>
        <w:rPr>
          <w:rFonts w:cs="Arial"/>
        </w:rPr>
        <w:lastRenderedPageBreak/>
        <w:t>Specific results for criterion where corrective actions are required</w:t>
      </w:r>
    </w:p>
    <w:p w14:paraId="7324F5A3"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BF06AE5"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141B6A0"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1298"/>
        <w:gridCol w:w="3732"/>
        <w:gridCol w:w="3459"/>
        <w:gridCol w:w="2937"/>
      </w:tblGrid>
      <w:tr w:rsidR="00946334" w14:paraId="385DB3BA" w14:textId="77777777">
        <w:tc>
          <w:tcPr>
            <w:tcW w:w="0" w:type="auto"/>
          </w:tcPr>
          <w:p w14:paraId="5107CD19"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354220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DAA6C1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E0095E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7829A1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46334" w14:paraId="398981D8" w14:textId="77777777">
        <w:tc>
          <w:tcPr>
            <w:tcW w:w="0" w:type="auto"/>
          </w:tcPr>
          <w:p w14:paraId="7DC4C4D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1.1.5</w:t>
            </w:r>
          </w:p>
          <w:p w14:paraId="00BFE631"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work in partnership with iwi and Māori organisations within and beyond the health sector to allow for better service integration, planning, and support for Māori.</w:t>
            </w:r>
          </w:p>
        </w:tc>
        <w:tc>
          <w:tcPr>
            <w:tcW w:w="0" w:type="auto"/>
          </w:tcPr>
          <w:p w14:paraId="5CEE8BF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67B617C"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with the facility manager and regional manager evidenced that a partnership is yet to be formalised with local iwi and Māori organisations.</w:t>
            </w:r>
          </w:p>
          <w:p w14:paraId="0657BB8D" w14:textId="77777777" w:rsidR="00000000" w:rsidRPr="00BE00C7" w:rsidRDefault="00000000" w:rsidP="00BE00C7">
            <w:pPr>
              <w:pStyle w:val="OutcomeDescription"/>
              <w:spacing w:before="120" w:after="120"/>
              <w:rPr>
                <w:rFonts w:cs="Arial"/>
                <w:lang w:eastAsia="en-NZ"/>
              </w:rPr>
            </w:pPr>
          </w:p>
        </w:tc>
        <w:tc>
          <w:tcPr>
            <w:tcW w:w="0" w:type="auto"/>
          </w:tcPr>
          <w:p w14:paraId="6EC2BA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yet to develop a formal partnership with iwi and Māori organisations.</w:t>
            </w:r>
          </w:p>
          <w:p w14:paraId="3F6A8C41" w14:textId="77777777" w:rsidR="00000000" w:rsidRPr="00BE00C7" w:rsidRDefault="00000000" w:rsidP="00BE00C7">
            <w:pPr>
              <w:pStyle w:val="OutcomeDescription"/>
              <w:spacing w:before="120" w:after="120"/>
              <w:rPr>
                <w:rFonts w:cs="Arial"/>
                <w:lang w:eastAsia="en-NZ"/>
              </w:rPr>
            </w:pPr>
          </w:p>
        </w:tc>
        <w:tc>
          <w:tcPr>
            <w:tcW w:w="0" w:type="auto"/>
          </w:tcPr>
          <w:p w14:paraId="759369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to develop a formal partnership with iwi and Māori organisations within and beyond the health sector to allow for better service integration, planning and support for Māori.</w:t>
            </w:r>
          </w:p>
          <w:p w14:paraId="33458BE2" w14:textId="77777777" w:rsidR="00000000" w:rsidRPr="00BE00C7" w:rsidRDefault="00000000" w:rsidP="00BE00C7">
            <w:pPr>
              <w:pStyle w:val="OutcomeDescription"/>
              <w:spacing w:before="120" w:after="120"/>
              <w:rPr>
                <w:rFonts w:cs="Arial"/>
                <w:lang w:eastAsia="en-NZ"/>
              </w:rPr>
            </w:pPr>
          </w:p>
          <w:p w14:paraId="0E143D8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46334" w14:paraId="7A59C615" w14:textId="77777777">
        <w:tc>
          <w:tcPr>
            <w:tcW w:w="0" w:type="auto"/>
          </w:tcPr>
          <w:p w14:paraId="6B47037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1.2.5</w:t>
            </w:r>
          </w:p>
          <w:p w14:paraId="1E5D28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My service provider shall work in partnership with Pacific communities and organisations, within and beyond the health and disability sector, to enable better planning, support, </w:t>
            </w:r>
            <w:r w:rsidRPr="00BE00C7">
              <w:rPr>
                <w:rFonts w:cs="Arial"/>
                <w:lang w:eastAsia="en-NZ"/>
              </w:rPr>
              <w:lastRenderedPageBreak/>
              <w:t>interventions, research, and evaluation of the health and wellbeing of Pacific peoples to improve outcomes.</w:t>
            </w:r>
          </w:p>
        </w:tc>
        <w:tc>
          <w:tcPr>
            <w:tcW w:w="0" w:type="auto"/>
          </w:tcPr>
          <w:p w14:paraId="76DA28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A60CDE3"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with the facility manager and regional manager outlined that formal partnership is yet to be established between the facility and Pacific community groups/organisations.</w:t>
            </w:r>
          </w:p>
          <w:p w14:paraId="5EC74385" w14:textId="77777777" w:rsidR="00000000" w:rsidRPr="00BE00C7" w:rsidRDefault="00000000" w:rsidP="00BE00C7">
            <w:pPr>
              <w:pStyle w:val="OutcomeDescription"/>
              <w:spacing w:before="120" w:after="120"/>
              <w:rPr>
                <w:rFonts w:cs="Arial"/>
                <w:lang w:eastAsia="en-NZ"/>
              </w:rPr>
            </w:pPr>
          </w:p>
        </w:tc>
        <w:tc>
          <w:tcPr>
            <w:tcW w:w="0" w:type="auto"/>
          </w:tcPr>
          <w:p w14:paraId="1D763F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yet to develop a formal partnership with Pacific community groups/organisations.</w:t>
            </w:r>
          </w:p>
          <w:p w14:paraId="5C617BFB" w14:textId="77777777" w:rsidR="00000000" w:rsidRPr="00BE00C7" w:rsidRDefault="00000000" w:rsidP="00BE00C7">
            <w:pPr>
              <w:pStyle w:val="OutcomeDescription"/>
              <w:spacing w:before="120" w:after="120"/>
              <w:rPr>
                <w:rFonts w:cs="Arial"/>
                <w:lang w:eastAsia="en-NZ"/>
              </w:rPr>
            </w:pPr>
          </w:p>
        </w:tc>
        <w:tc>
          <w:tcPr>
            <w:tcW w:w="0" w:type="auto"/>
          </w:tcPr>
          <w:p w14:paraId="22DE2A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to develop a formal relationship with Pacific community groups/organisations to enable better planning, support, interventions, and evaluation of the health and wellbeing of Pacific peoples.</w:t>
            </w:r>
          </w:p>
          <w:p w14:paraId="4014DDF7" w14:textId="77777777" w:rsidR="00000000" w:rsidRPr="00BE00C7" w:rsidRDefault="00000000" w:rsidP="00BE00C7">
            <w:pPr>
              <w:pStyle w:val="OutcomeDescription"/>
              <w:spacing w:before="120" w:after="120"/>
              <w:rPr>
                <w:rFonts w:cs="Arial"/>
                <w:lang w:eastAsia="en-NZ"/>
              </w:rPr>
            </w:pPr>
          </w:p>
          <w:p w14:paraId="7B9410E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46334" w14:paraId="538F91F4" w14:textId="77777777">
        <w:tc>
          <w:tcPr>
            <w:tcW w:w="0" w:type="auto"/>
          </w:tcPr>
          <w:p w14:paraId="6111152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1.8.3</w:t>
            </w:r>
          </w:p>
          <w:p w14:paraId="676661CC" w14:textId="77777777" w:rsidR="00000000" w:rsidRPr="00BE00C7" w:rsidRDefault="00000000"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5DC2B20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134144E"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with the facility manager and review of documentation evidenced that the provider has a system in place to manage complaints in accordance with Ultimate Care Group policies and procedures; however, this was inconsistently completed.</w:t>
            </w:r>
          </w:p>
          <w:p w14:paraId="15FBA771" w14:textId="77777777" w:rsidR="00000000" w:rsidRPr="00BE00C7" w:rsidRDefault="00000000" w:rsidP="00BE00C7">
            <w:pPr>
              <w:pStyle w:val="OutcomeDescription"/>
              <w:spacing w:before="120" w:after="120"/>
              <w:rPr>
                <w:rFonts w:cs="Arial"/>
                <w:lang w:eastAsia="en-NZ"/>
              </w:rPr>
            </w:pPr>
          </w:p>
        </w:tc>
        <w:tc>
          <w:tcPr>
            <w:tcW w:w="0" w:type="auto"/>
          </w:tcPr>
          <w:p w14:paraId="725348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register and process was inconsistently completed.</w:t>
            </w:r>
          </w:p>
          <w:p w14:paraId="001FCDBD" w14:textId="77777777" w:rsidR="00000000" w:rsidRPr="00BE00C7" w:rsidRDefault="00000000" w:rsidP="00BE00C7">
            <w:pPr>
              <w:pStyle w:val="OutcomeDescription"/>
              <w:spacing w:before="120" w:after="120"/>
              <w:rPr>
                <w:rFonts w:cs="Arial"/>
                <w:lang w:eastAsia="en-NZ"/>
              </w:rPr>
            </w:pPr>
          </w:p>
        </w:tc>
        <w:tc>
          <w:tcPr>
            <w:tcW w:w="0" w:type="auto"/>
          </w:tcPr>
          <w:p w14:paraId="5F2471A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 complaints management system is consistently followed as per the organisation policy and procedure.</w:t>
            </w:r>
          </w:p>
          <w:p w14:paraId="1428CAAB" w14:textId="77777777" w:rsidR="00000000" w:rsidRPr="00BE00C7" w:rsidRDefault="00000000" w:rsidP="00BE00C7">
            <w:pPr>
              <w:pStyle w:val="OutcomeDescription"/>
              <w:spacing w:before="120" w:after="120"/>
              <w:rPr>
                <w:rFonts w:cs="Arial"/>
                <w:lang w:eastAsia="en-NZ"/>
              </w:rPr>
            </w:pPr>
          </w:p>
          <w:p w14:paraId="7BF3D06B"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46334" w14:paraId="50508F29" w14:textId="77777777">
        <w:tc>
          <w:tcPr>
            <w:tcW w:w="0" w:type="auto"/>
          </w:tcPr>
          <w:p w14:paraId="45DF2BD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1.8.4</w:t>
            </w:r>
          </w:p>
          <w:p w14:paraId="1DA2782E" w14:textId="77777777" w:rsidR="00000000" w:rsidRPr="00BE00C7" w:rsidRDefault="00000000" w:rsidP="00BE00C7">
            <w:pPr>
              <w:pStyle w:val="OutcomeDescription"/>
              <w:spacing w:before="120" w:after="120"/>
              <w:rPr>
                <w:rFonts w:cs="Arial"/>
                <w:lang w:eastAsia="en-NZ"/>
              </w:rPr>
            </w:pPr>
            <w:r w:rsidRPr="00BE00C7">
              <w:rPr>
                <w:rFonts w:cs="Arial"/>
                <w:lang w:eastAsia="en-NZ"/>
              </w:rPr>
              <w:t>I am informed of the findings of my complaint.</w:t>
            </w:r>
          </w:p>
        </w:tc>
        <w:tc>
          <w:tcPr>
            <w:tcW w:w="0" w:type="auto"/>
          </w:tcPr>
          <w:p w14:paraId="7CE94DB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D570028"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with the facility manager and review of documentation evidenced that the provider has a system in place to manage complaints in accordance with Ultimate Care Group policies and procedures; however, evidence that the complainant had been informed of the outcome was not always available.</w:t>
            </w:r>
          </w:p>
          <w:p w14:paraId="2DADCB7C" w14:textId="77777777" w:rsidR="00000000" w:rsidRPr="00BE00C7" w:rsidRDefault="00000000" w:rsidP="00BE00C7">
            <w:pPr>
              <w:pStyle w:val="OutcomeDescription"/>
              <w:spacing w:before="120" w:after="120"/>
              <w:rPr>
                <w:rFonts w:cs="Arial"/>
                <w:lang w:eastAsia="en-NZ"/>
              </w:rPr>
            </w:pPr>
          </w:p>
        </w:tc>
        <w:tc>
          <w:tcPr>
            <w:tcW w:w="0" w:type="auto"/>
          </w:tcPr>
          <w:p w14:paraId="7F641C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outcome for complaints was not consistently completed.</w:t>
            </w:r>
          </w:p>
          <w:p w14:paraId="3EA36D45" w14:textId="77777777" w:rsidR="00000000" w:rsidRPr="00BE00C7" w:rsidRDefault="00000000" w:rsidP="00BE00C7">
            <w:pPr>
              <w:pStyle w:val="OutcomeDescription"/>
              <w:spacing w:before="120" w:after="120"/>
              <w:rPr>
                <w:rFonts w:cs="Arial"/>
                <w:lang w:eastAsia="en-NZ"/>
              </w:rPr>
            </w:pPr>
          </w:p>
        </w:tc>
        <w:tc>
          <w:tcPr>
            <w:tcW w:w="0" w:type="auto"/>
          </w:tcPr>
          <w:p w14:paraId="1EA3CAA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all complaints are completed as per policy and procedure.</w:t>
            </w:r>
          </w:p>
          <w:p w14:paraId="0CA259AA" w14:textId="77777777" w:rsidR="00000000" w:rsidRPr="00BE00C7" w:rsidRDefault="00000000" w:rsidP="00BE00C7">
            <w:pPr>
              <w:pStyle w:val="OutcomeDescription"/>
              <w:spacing w:before="120" w:after="120"/>
              <w:rPr>
                <w:rFonts w:cs="Arial"/>
                <w:lang w:eastAsia="en-NZ"/>
              </w:rPr>
            </w:pPr>
          </w:p>
          <w:p w14:paraId="4B567EF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46334" w14:paraId="2A8F003B" w14:textId="77777777">
        <w:tc>
          <w:tcPr>
            <w:tcW w:w="0" w:type="auto"/>
          </w:tcPr>
          <w:p w14:paraId="3D90E6C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7AF2DDD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5235C17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34B16BE" w14:textId="77777777" w:rsidR="00000000" w:rsidRPr="00BE00C7" w:rsidRDefault="00000000" w:rsidP="00BE00C7">
            <w:pPr>
              <w:pStyle w:val="OutcomeDescription"/>
              <w:spacing w:before="120" w:after="120"/>
              <w:rPr>
                <w:rFonts w:cs="Arial"/>
                <w:lang w:eastAsia="en-NZ"/>
              </w:rPr>
            </w:pPr>
            <w:r w:rsidRPr="00BE00C7">
              <w:rPr>
                <w:rFonts w:cs="Arial"/>
                <w:lang w:eastAsia="en-NZ"/>
              </w:rPr>
              <w:t>Ultimate Care Bishop Selwyn is implementing a quality and risk management programme, including performance monitoring through internal audits and collection of clinical indicator data. Internal audits are completed as per the internal audit schedule; however, not all corrective actions were evidenced as being entered onto the electronic system followed up or closed out.</w:t>
            </w:r>
          </w:p>
          <w:p w14:paraId="22B4592E" w14:textId="77777777" w:rsidR="00000000" w:rsidRPr="00BE00C7" w:rsidRDefault="00000000" w:rsidP="00BE00C7">
            <w:pPr>
              <w:pStyle w:val="OutcomeDescription"/>
              <w:spacing w:before="120" w:after="120"/>
              <w:rPr>
                <w:rFonts w:cs="Arial"/>
                <w:lang w:eastAsia="en-NZ"/>
              </w:rPr>
            </w:pPr>
          </w:p>
        </w:tc>
        <w:tc>
          <w:tcPr>
            <w:tcW w:w="0" w:type="auto"/>
          </w:tcPr>
          <w:p w14:paraId="7BCE11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Twenty-eight internal audits were reviewed, with twenty requiring corrective actions. Twelve of those corrective actions were not evidenced as being followed up or closed out. </w:t>
            </w:r>
          </w:p>
        </w:tc>
        <w:tc>
          <w:tcPr>
            <w:tcW w:w="0" w:type="auto"/>
          </w:tcPr>
          <w:p w14:paraId="2B8BDD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all corrective actions are evidenced as being followed up and closed out. </w:t>
            </w:r>
          </w:p>
          <w:p w14:paraId="2FAA125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46334" w14:paraId="42864243" w14:textId="77777777">
        <w:tc>
          <w:tcPr>
            <w:tcW w:w="0" w:type="auto"/>
          </w:tcPr>
          <w:p w14:paraId="4B08A2B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2.3.3</w:t>
            </w:r>
          </w:p>
          <w:p w14:paraId="2557F53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implement systems to determine and develop the competencies of health care and support workers to meet the needs of people equitably.</w:t>
            </w:r>
          </w:p>
        </w:tc>
        <w:tc>
          <w:tcPr>
            <w:tcW w:w="0" w:type="auto"/>
          </w:tcPr>
          <w:p w14:paraId="3A662C0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CB49A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completed for 2024 and is being implemented for 2025. The education and training schedule lists compulsory training and is available through online training and face to face training. Training records document low attendance for care staff for a number of compulsory training requirements.</w:t>
            </w:r>
          </w:p>
          <w:p w14:paraId="379CFD43" w14:textId="77777777" w:rsidR="00000000" w:rsidRPr="00BE00C7" w:rsidRDefault="00000000" w:rsidP="00BE00C7">
            <w:pPr>
              <w:pStyle w:val="OutcomeDescription"/>
              <w:spacing w:before="120" w:after="120"/>
              <w:rPr>
                <w:rFonts w:cs="Arial"/>
                <w:lang w:eastAsia="en-NZ"/>
              </w:rPr>
            </w:pPr>
          </w:p>
        </w:tc>
        <w:tc>
          <w:tcPr>
            <w:tcW w:w="0" w:type="auto"/>
          </w:tcPr>
          <w:p w14:paraId="1CACC70A"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records documented low attendance for care staff for a number of compulsory training requirements, including Code of Rights; privacy/dignity; spirituality/counselling; the aging process; death/dying; end of life care; continence management; safe food handling; and restraint.</w:t>
            </w:r>
          </w:p>
          <w:p w14:paraId="2B5C79FD" w14:textId="77777777" w:rsidR="00000000" w:rsidRPr="00BE00C7" w:rsidRDefault="00000000" w:rsidP="00BE00C7">
            <w:pPr>
              <w:pStyle w:val="OutcomeDescription"/>
              <w:spacing w:before="120" w:after="120"/>
              <w:rPr>
                <w:rFonts w:cs="Arial"/>
                <w:lang w:eastAsia="en-NZ"/>
              </w:rPr>
            </w:pPr>
          </w:p>
        </w:tc>
        <w:tc>
          <w:tcPr>
            <w:tcW w:w="0" w:type="auto"/>
          </w:tcPr>
          <w:p w14:paraId="15C0B0F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care staff attend and complete all compulsory training requirements.</w:t>
            </w:r>
          </w:p>
          <w:p w14:paraId="1C517CE0" w14:textId="77777777" w:rsidR="00000000" w:rsidRPr="00BE00C7" w:rsidRDefault="00000000" w:rsidP="00BE00C7">
            <w:pPr>
              <w:pStyle w:val="OutcomeDescription"/>
              <w:spacing w:before="120" w:after="120"/>
              <w:rPr>
                <w:rFonts w:cs="Arial"/>
                <w:lang w:eastAsia="en-NZ"/>
              </w:rPr>
            </w:pPr>
          </w:p>
          <w:p w14:paraId="7D3056F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46334" w14:paraId="39769923" w14:textId="77777777">
        <w:tc>
          <w:tcPr>
            <w:tcW w:w="0" w:type="auto"/>
          </w:tcPr>
          <w:p w14:paraId="33A8E51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7168D07B"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5D1302E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D6455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 suite of comprehensive medication policies which align with current legislation. All medications are stored securely and the temperatures of medication rooms are recorded and found to be within recommended ranges. Drug checks are recorded as occurring as scheduled; however, not all eyedrops were dated or within expiry dates. </w:t>
            </w:r>
          </w:p>
          <w:p w14:paraId="4D267A12" w14:textId="77777777" w:rsidR="00000000" w:rsidRPr="00BE00C7" w:rsidRDefault="00000000" w:rsidP="00BE00C7">
            <w:pPr>
              <w:pStyle w:val="OutcomeDescription"/>
              <w:spacing w:before="120" w:after="120"/>
              <w:rPr>
                <w:rFonts w:cs="Arial"/>
                <w:lang w:eastAsia="en-NZ"/>
              </w:rPr>
            </w:pPr>
          </w:p>
        </w:tc>
        <w:tc>
          <w:tcPr>
            <w:tcW w:w="0" w:type="auto"/>
          </w:tcPr>
          <w:p w14:paraId="5825E2DF" w14:textId="77777777" w:rsidR="00000000" w:rsidRPr="00BE00C7" w:rsidRDefault="00000000" w:rsidP="00BE00C7">
            <w:pPr>
              <w:pStyle w:val="OutcomeDescription"/>
              <w:spacing w:before="120" w:after="120"/>
              <w:rPr>
                <w:rFonts w:cs="Arial"/>
                <w:lang w:eastAsia="en-NZ"/>
              </w:rPr>
            </w:pPr>
            <w:r w:rsidRPr="00BE00C7">
              <w:rPr>
                <w:rFonts w:cs="Arial"/>
                <w:lang w:eastAsia="en-NZ"/>
              </w:rPr>
              <w:t>i). Two eyedrops in the medication trollies were dated and in current use past the manufacturer’s recommended expiry dates.</w:t>
            </w:r>
          </w:p>
          <w:p w14:paraId="407D7927" w14:textId="77777777" w:rsidR="00000000" w:rsidRPr="00BE00C7" w:rsidRDefault="00000000" w:rsidP="00BE00C7">
            <w:pPr>
              <w:pStyle w:val="OutcomeDescription"/>
              <w:spacing w:before="120" w:after="120"/>
              <w:rPr>
                <w:rFonts w:cs="Arial"/>
                <w:lang w:eastAsia="en-NZ"/>
              </w:rPr>
            </w:pPr>
            <w:r w:rsidRPr="00BE00C7">
              <w:rPr>
                <w:rFonts w:cs="Arial"/>
                <w:lang w:eastAsia="en-NZ"/>
              </w:rPr>
              <w:t>ii). One eyedrop in the trolley and in current use was not dated on opening.</w:t>
            </w:r>
          </w:p>
          <w:p w14:paraId="289D957A" w14:textId="77777777" w:rsidR="00000000" w:rsidRPr="00BE00C7" w:rsidRDefault="00000000" w:rsidP="00BE00C7">
            <w:pPr>
              <w:pStyle w:val="OutcomeDescription"/>
              <w:spacing w:before="120" w:after="120"/>
              <w:rPr>
                <w:rFonts w:cs="Arial"/>
                <w:lang w:eastAsia="en-NZ"/>
              </w:rPr>
            </w:pPr>
          </w:p>
        </w:tc>
        <w:tc>
          <w:tcPr>
            <w:tcW w:w="0" w:type="auto"/>
          </w:tcPr>
          <w:p w14:paraId="407C27A9"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eyedrops are dated on opening and discarded as per manufacturer’s instructions.</w:t>
            </w:r>
          </w:p>
          <w:p w14:paraId="760A5D07" w14:textId="77777777" w:rsidR="00000000" w:rsidRPr="00BE00C7" w:rsidRDefault="00000000" w:rsidP="00BE00C7">
            <w:pPr>
              <w:pStyle w:val="OutcomeDescription"/>
              <w:spacing w:before="120" w:after="120"/>
              <w:rPr>
                <w:rFonts w:cs="Arial"/>
                <w:lang w:eastAsia="en-NZ"/>
              </w:rPr>
            </w:pPr>
          </w:p>
          <w:p w14:paraId="069FBF32"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15DDA17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2892714" w14:textId="77777777" w:rsidR="00000000" w:rsidRDefault="00000000">
      <w:pPr>
        <w:pStyle w:val="Heading1"/>
        <w:rPr>
          <w:rFonts w:cs="Arial"/>
        </w:rPr>
      </w:pPr>
      <w:r>
        <w:rPr>
          <w:rFonts w:cs="Arial"/>
        </w:rPr>
        <w:lastRenderedPageBreak/>
        <w:t>Specific results for criterion where a continuous improvement has been recorded</w:t>
      </w:r>
    </w:p>
    <w:p w14:paraId="12AD0EF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4241EB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8BBAF3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946334" w14:paraId="5635823E" w14:textId="77777777">
        <w:tc>
          <w:tcPr>
            <w:tcW w:w="0" w:type="auto"/>
          </w:tcPr>
          <w:p w14:paraId="633DD58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DD27B6F"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ED6354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E866" w14:textId="77777777" w:rsidR="00FE313C" w:rsidRDefault="00FE313C">
      <w:r>
        <w:separator/>
      </w:r>
    </w:p>
  </w:endnote>
  <w:endnote w:type="continuationSeparator" w:id="0">
    <w:p w14:paraId="0BB313CC" w14:textId="77777777" w:rsidR="00FE313C" w:rsidRDefault="00FE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60D5" w14:textId="77777777" w:rsidR="00000000" w:rsidRDefault="00000000">
    <w:pPr>
      <w:pStyle w:val="Footer"/>
    </w:pPr>
  </w:p>
  <w:p w14:paraId="13A2CC8F" w14:textId="77777777" w:rsidR="00000000" w:rsidRDefault="00000000"/>
  <w:p w14:paraId="678E431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B02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Ultimate Care Group Limited - Ultimate Care Bishop Selwyn</w:t>
    </w:r>
    <w:bookmarkEnd w:id="59"/>
    <w:r>
      <w:rPr>
        <w:rFonts w:cs="Arial"/>
        <w:sz w:val="16"/>
        <w:szCs w:val="20"/>
      </w:rPr>
      <w:tab/>
      <w:t xml:space="preserve">Date of Audit: </w:t>
    </w:r>
    <w:bookmarkStart w:id="60" w:name="AuditStartDate1"/>
    <w:r>
      <w:rPr>
        <w:rFonts w:cs="Arial"/>
        <w:sz w:val="16"/>
        <w:szCs w:val="20"/>
      </w:rPr>
      <w:t>6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370662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F03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A1A60" w14:textId="77777777" w:rsidR="00FE313C" w:rsidRDefault="00FE313C">
      <w:r>
        <w:separator/>
      </w:r>
    </w:p>
  </w:footnote>
  <w:footnote w:type="continuationSeparator" w:id="0">
    <w:p w14:paraId="3810D46E" w14:textId="77777777" w:rsidR="00FE313C" w:rsidRDefault="00FE3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432E" w14:textId="77777777" w:rsidR="00000000" w:rsidRDefault="00000000">
    <w:pPr>
      <w:pStyle w:val="Header"/>
    </w:pPr>
  </w:p>
  <w:p w14:paraId="0C2102E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92CE" w14:textId="77777777" w:rsidR="00000000" w:rsidRDefault="00000000">
    <w:pPr>
      <w:pStyle w:val="Header"/>
    </w:pPr>
  </w:p>
  <w:p w14:paraId="15A5CCD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BBC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77897D6">
      <w:start w:val="1"/>
      <w:numFmt w:val="decimal"/>
      <w:lvlText w:val="%1."/>
      <w:lvlJc w:val="left"/>
      <w:pPr>
        <w:ind w:left="360" w:hanging="360"/>
      </w:pPr>
    </w:lvl>
    <w:lvl w:ilvl="1" w:tplc="625277C0" w:tentative="1">
      <w:start w:val="1"/>
      <w:numFmt w:val="lowerLetter"/>
      <w:lvlText w:val="%2."/>
      <w:lvlJc w:val="left"/>
      <w:pPr>
        <w:ind w:left="1080" w:hanging="360"/>
      </w:pPr>
    </w:lvl>
    <w:lvl w:ilvl="2" w:tplc="7D00F964" w:tentative="1">
      <w:start w:val="1"/>
      <w:numFmt w:val="lowerRoman"/>
      <w:lvlText w:val="%3."/>
      <w:lvlJc w:val="right"/>
      <w:pPr>
        <w:ind w:left="1800" w:hanging="180"/>
      </w:pPr>
    </w:lvl>
    <w:lvl w:ilvl="3" w:tplc="2D486E44" w:tentative="1">
      <w:start w:val="1"/>
      <w:numFmt w:val="decimal"/>
      <w:lvlText w:val="%4."/>
      <w:lvlJc w:val="left"/>
      <w:pPr>
        <w:ind w:left="2520" w:hanging="360"/>
      </w:pPr>
    </w:lvl>
    <w:lvl w:ilvl="4" w:tplc="BF9C7B52" w:tentative="1">
      <w:start w:val="1"/>
      <w:numFmt w:val="lowerLetter"/>
      <w:lvlText w:val="%5."/>
      <w:lvlJc w:val="left"/>
      <w:pPr>
        <w:ind w:left="3240" w:hanging="360"/>
      </w:pPr>
    </w:lvl>
    <w:lvl w:ilvl="5" w:tplc="87F0A418" w:tentative="1">
      <w:start w:val="1"/>
      <w:numFmt w:val="lowerRoman"/>
      <w:lvlText w:val="%6."/>
      <w:lvlJc w:val="right"/>
      <w:pPr>
        <w:ind w:left="3960" w:hanging="180"/>
      </w:pPr>
    </w:lvl>
    <w:lvl w:ilvl="6" w:tplc="BC6C2B24" w:tentative="1">
      <w:start w:val="1"/>
      <w:numFmt w:val="decimal"/>
      <w:lvlText w:val="%7."/>
      <w:lvlJc w:val="left"/>
      <w:pPr>
        <w:ind w:left="4680" w:hanging="360"/>
      </w:pPr>
    </w:lvl>
    <w:lvl w:ilvl="7" w:tplc="8B4E8F3C" w:tentative="1">
      <w:start w:val="1"/>
      <w:numFmt w:val="lowerLetter"/>
      <w:lvlText w:val="%8."/>
      <w:lvlJc w:val="left"/>
      <w:pPr>
        <w:ind w:left="5400" w:hanging="360"/>
      </w:pPr>
    </w:lvl>
    <w:lvl w:ilvl="8" w:tplc="8B9084B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8808124">
      <w:start w:val="1"/>
      <w:numFmt w:val="bullet"/>
      <w:lvlText w:val=""/>
      <w:lvlJc w:val="left"/>
      <w:pPr>
        <w:ind w:left="720" w:hanging="360"/>
      </w:pPr>
      <w:rPr>
        <w:rFonts w:ascii="Symbol" w:hAnsi="Symbol" w:hint="default"/>
      </w:rPr>
    </w:lvl>
    <w:lvl w:ilvl="1" w:tplc="DF405E52" w:tentative="1">
      <w:start w:val="1"/>
      <w:numFmt w:val="bullet"/>
      <w:lvlText w:val="o"/>
      <w:lvlJc w:val="left"/>
      <w:pPr>
        <w:ind w:left="1440" w:hanging="360"/>
      </w:pPr>
      <w:rPr>
        <w:rFonts w:ascii="Courier New" w:hAnsi="Courier New" w:cs="Courier New" w:hint="default"/>
      </w:rPr>
    </w:lvl>
    <w:lvl w:ilvl="2" w:tplc="0E74B5DC" w:tentative="1">
      <w:start w:val="1"/>
      <w:numFmt w:val="bullet"/>
      <w:lvlText w:val=""/>
      <w:lvlJc w:val="left"/>
      <w:pPr>
        <w:ind w:left="2160" w:hanging="360"/>
      </w:pPr>
      <w:rPr>
        <w:rFonts w:ascii="Wingdings" w:hAnsi="Wingdings" w:hint="default"/>
      </w:rPr>
    </w:lvl>
    <w:lvl w:ilvl="3" w:tplc="4CA00896" w:tentative="1">
      <w:start w:val="1"/>
      <w:numFmt w:val="bullet"/>
      <w:lvlText w:val=""/>
      <w:lvlJc w:val="left"/>
      <w:pPr>
        <w:ind w:left="2880" w:hanging="360"/>
      </w:pPr>
      <w:rPr>
        <w:rFonts w:ascii="Symbol" w:hAnsi="Symbol" w:hint="default"/>
      </w:rPr>
    </w:lvl>
    <w:lvl w:ilvl="4" w:tplc="B3D68EEA" w:tentative="1">
      <w:start w:val="1"/>
      <w:numFmt w:val="bullet"/>
      <w:lvlText w:val="o"/>
      <w:lvlJc w:val="left"/>
      <w:pPr>
        <w:ind w:left="3600" w:hanging="360"/>
      </w:pPr>
      <w:rPr>
        <w:rFonts w:ascii="Courier New" w:hAnsi="Courier New" w:cs="Courier New" w:hint="default"/>
      </w:rPr>
    </w:lvl>
    <w:lvl w:ilvl="5" w:tplc="0D20CF72" w:tentative="1">
      <w:start w:val="1"/>
      <w:numFmt w:val="bullet"/>
      <w:lvlText w:val=""/>
      <w:lvlJc w:val="left"/>
      <w:pPr>
        <w:ind w:left="4320" w:hanging="360"/>
      </w:pPr>
      <w:rPr>
        <w:rFonts w:ascii="Wingdings" w:hAnsi="Wingdings" w:hint="default"/>
      </w:rPr>
    </w:lvl>
    <w:lvl w:ilvl="6" w:tplc="C5D28F7E" w:tentative="1">
      <w:start w:val="1"/>
      <w:numFmt w:val="bullet"/>
      <w:lvlText w:val=""/>
      <w:lvlJc w:val="left"/>
      <w:pPr>
        <w:ind w:left="5040" w:hanging="360"/>
      </w:pPr>
      <w:rPr>
        <w:rFonts w:ascii="Symbol" w:hAnsi="Symbol" w:hint="default"/>
      </w:rPr>
    </w:lvl>
    <w:lvl w:ilvl="7" w:tplc="6338E766" w:tentative="1">
      <w:start w:val="1"/>
      <w:numFmt w:val="bullet"/>
      <w:lvlText w:val="o"/>
      <w:lvlJc w:val="left"/>
      <w:pPr>
        <w:ind w:left="5760" w:hanging="360"/>
      </w:pPr>
      <w:rPr>
        <w:rFonts w:ascii="Courier New" w:hAnsi="Courier New" w:cs="Courier New" w:hint="default"/>
      </w:rPr>
    </w:lvl>
    <w:lvl w:ilvl="8" w:tplc="D39241C8" w:tentative="1">
      <w:start w:val="1"/>
      <w:numFmt w:val="bullet"/>
      <w:lvlText w:val=""/>
      <w:lvlJc w:val="left"/>
      <w:pPr>
        <w:ind w:left="6480" w:hanging="360"/>
      </w:pPr>
      <w:rPr>
        <w:rFonts w:ascii="Wingdings" w:hAnsi="Wingdings" w:hint="default"/>
      </w:rPr>
    </w:lvl>
  </w:abstractNum>
  <w:num w:numId="1" w16cid:durableId="2054502317">
    <w:abstractNumId w:val="1"/>
  </w:num>
  <w:num w:numId="2" w16cid:durableId="1545824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6334"/>
    <w:rsid w:val="00946334"/>
    <w:rsid w:val="009D2CB5"/>
    <w:rsid w:val="00CB5396"/>
    <w:rsid w:val="00FE31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FA507"/>
  <w15:docId w15:val="{C7392C71-3F09-4BD2-A947-69525D4E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7793</Words>
  <Characters>44423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2025-04-16T20:03:00Z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