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6017" w14:textId="77777777" w:rsidR="00000000" w:rsidRDefault="00000000">
      <w:pPr>
        <w:pStyle w:val="Heading1"/>
        <w:rPr>
          <w:rFonts w:cs="Arial"/>
        </w:rPr>
      </w:pPr>
      <w:bookmarkStart w:id="0" w:name="PRMS_RIName"/>
      <w:r>
        <w:rPr>
          <w:rFonts w:cs="Arial"/>
        </w:rPr>
        <w:t>Brujen Investment Trust - Kenderdine Park</w:t>
      </w:r>
      <w:bookmarkEnd w:id="0"/>
    </w:p>
    <w:p w14:paraId="514004A2" w14:textId="77777777" w:rsidR="00000000" w:rsidRDefault="00000000">
      <w:pPr>
        <w:pStyle w:val="Heading2"/>
        <w:spacing w:after="0"/>
        <w:rPr>
          <w:rFonts w:cs="Arial"/>
        </w:rPr>
      </w:pPr>
      <w:r>
        <w:rPr>
          <w:rFonts w:cs="Arial"/>
        </w:rPr>
        <w:t>Introduction</w:t>
      </w:r>
    </w:p>
    <w:p w14:paraId="1FFE901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3EBC3DE"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6C5BD8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044EB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F4B98B2" w14:textId="77777777" w:rsidR="00000000" w:rsidRDefault="00000000">
      <w:pPr>
        <w:spacing w:before="240" w:after="240"/>
        <w:rPr>
          <w:rFonts w:cs="Arial"/>
          <w:lang w:eastAsia="en-NZ"/>
        </w:rPr>
      </w:pPr>
      <w:r>
        <w:rPr>
          <w:rFonts w:cs="Arial"/>
          <w:lang w:eastAsia="en-NZ"/>
        </w:rPr>
        <w:t>The specifics of this audit included:</w:t>
      </w:r>
    </w:p>
    <w:p w14:paraId="322DA7B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C8853D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Brujen Investment Trust</w:t>
      </w:r>
      <w:bookmarkEnd w:id="4"/>
    </w:p>
    <w:p w14:paraId="35059E6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Kenderdine Park</w:t>
      </w:r>
      <w:bookmarkEnd w:id="5"/>
    </w:p>
    <w:p w14:paraId="339A7E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8F2FCD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March 2025</w:t>
      </w:r>
      <w:bookmarkEnd w:id="7"/>
      <w:r w:rsidRPr="009418D4">
        <w:rPr>
          <w:rFonts w:cs="Arial"/>
        </w:rPr>
        <w:tab/>
        <w:t xml:space="preserve">End date: </w:t>
      </w:r>
      <w:bookmarkStart w:id="8" w:name="AuditEndDate"/>
      <w:r>
        <w:rPr>
          <w:rFonts w:cs="Arial"/>
        </w:rPr>
        <w:t>12 March 2025</w:t>
      </w:r>
      <w:bookmarkEnd w:id="8"/>
    </w:p>
    <w:p w14:paraId="2CDA9AE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97443E3" w14:textId="77777777" w:rsidR="001520C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14:paraId="5C5D445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1148904" w14:textId="77777777" w:rsidR="00000000" w:rsidRDefault="00000000">
      <w:pPr>
        <w:pStyle w:val="Heading1"/>
        <w:rPr>
          <w:rFonts w:cs="Arial"/>
        </w:rPr>
      </w:pPr>
      <w:r>
        <w:rPr>
          <w:rFonts w:cs="Arial"/>
        </w:rPr>
        <w:lastRenderedPageBreak/>
        <w:t>Executive summary of the audit</w:t>
      </w:r>
    </w:p>
    <w:p w14:paraId="0BD92125" w14:textId="77777777" w:rsidR="00000000" w:rsidRDefault="00000000">
      <w:pPr>
        <w:pStyle w:val="Heading2"/>
        <w:rPr>
          <w:rFonts w:cs="Arial"/>
        </w:rPr>
      </w:pPr>
      <w:r>
        <w:rPr>
          <w:rFonts w:cs="Arial"/>
        </w:rPr>
        <w:t>Introduction</w:t>
      </w:r>
    </w:p>
    <w:p w14:paraId="23D92EE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E85A0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5D35A8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845FA2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F9AEB6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545DFE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4AC7DB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85F774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16F8F3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520C8" w14:paraId="43A1FDE7" w14:textId="77777777">
        <w:trPr>
          <w:cantSplit/>
          <w:tblHeader/>
        </w:trPr>
        <w:tc>
          <w:tcPr>
            <w:tcW w:w="1260" w:type="dxa"/>
            <w:tcBorders>
              <w:bottom w:val="single" w:sz="4" w:space="0" w:color="000000"/>
            </w:tcBorders>
            <w:vAlign w:val="center"/>
          </w:tcPr>
          <w:p w14:paraId="6FD5580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69F608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B4726A3" w14:textId="77777777" w:rsidR="00000000" w:rsidRDefault="00000000">
            <w:pPr>
              <w:spacing w:before="60" w:after="60"/>
              <w:rPr>
                <w:rFonts w:eastAsia="Calibri"/>
                <w:b/>
                <w:szCs w:val="24"/>
              </w:rPr>
            </w:pPr>
            <w:r>
              <w:rPr>
                <w:rFonts w:eastAsia="Calibri"/>
                <w:b/>
                <w:szCs w:val="24"/>
              </w:rPr>
              <w:t>Definition</w:t>
            </w:r>
          </w:p>
        </w:tc>
      </w:tr>
      <w:tr w:rsidR="001520C8" w14:paraId="06BC2C30" w14:textId="77777777">
        <w:trPr>
          <w:cantSplit/>
          <w:trHeight w:val="964"/>
        </w:trPr>
        <w:tc>
          <w:tcPr>
            <w:tcW w:w="1260" w:type="dxa"/>
            <w:tcBorders>
              <w:bottom w:val="single" w:sz="4" w:space="0" w:color="000000"/>
            </w:tcBorders>
            <w:shd w:val="clear" w:color="0066FF" w:fill="0000FF"/>
            <w:vAlign w:val="center"/>
          </w:tcPr>
          <w:p w14:paraId="389653B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A169AA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37C63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520C8" w14:paraId="5B1E2A03" w14:textId="77777777">
        <w:trPr>
          <w:cantSplit/>
          <w:trHeight w:val="964"/>
        </w:trPr>
        <w:tc>
          <w:tcPr>
            <w:tcW w:w="1260" w:type="dxa"/>
            <w:shd w:val="clear" w:color="33CC33" w:fill="00FF00"/>
            <w:vAlign w:val="center"/>
          </w:tcPr>
          <w:p w14:paraId="7BF7D8BE" w14:textId="77777777" w:rsidR="00000000" w:rsidRDefault="00000000">
            <w:pPr>
              <w:spacing w:before="60" w:after="60"/>
              <w:rPr>
                <w:rFonts w:eastAsia="Calibri"/>
                <w:szCs w:val="24"/>
              </w:rPr>
            </w:pPr>
          </w:p>
        </w:tc>
        <w:tc>
          <w:tcPr>
            <w:tcW w:w="7095" w:type="dxa"/>
            <w:shd w:val="clear" w:color="auto" w:fill="auto"/>
            <w:vAlign w:val="center"/>
          </w:tcPr>
          <w:p w14:paraId="6E42F0C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91BD09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520C8" w14:paraId="4C085042" w14:textId="77777777">
        <w:trPr>
          <w:cantSplit/>
          <w:trHeight w:val="964"/>
        </w:trPr>
        <w:tc>
          <w:tcPr>
            <w:tcW w:w="1260" w:type="dxa"/>
            <w:tcBorders>
              <w:bottom w:val="single" w:sz="4" w:space="0" w:color="000000"/>
            </w:tcBorders>
            <w:shd w:val="clear" w:color="auto" w:fill="FFFF00"/>
            <w:vAlign w:val="center"/>
          </w:tcPr>
          <w:p w14:paraId="2F3EAA47" w14:textId="77777777" w:rsidR="00000000" w:rsidRDefault="00000000">
            <w:pPr>
              <w:spacing w:before="60" w:after="60"/>
              <w:rPr>
                <w:rFonts w:eastAsia="Calibri"/>
                <w:szCs w:val="24"/>
              </w:rPr>
            </w:pPr>
          </w:p>
        </w:tc>
        <w:tc>
          <w:tcPr>
            <w:tcW w:w="7095" w:type="dxa"/>
            <w:shd w:val="clear" w:color="auto" w:fill="auto"/>
            <w:vAlign w:val="center"/>
          </w:tcPr>
          <w:p w14:paraId="121742E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16F75D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520C8" w14:paraId="2289C5BC" w14:textId="77777777">
        <w:trPr>
          <w:cantSplit/>
          <w:trHeight w:val="964"/>
        </w:trPr>
        <w:tc>
          <w:tcPr>
            <w:tcW w:w="1260" w:type="dxa"/>
            <w:tcBorders>
              <w:bottom w:val="single" w:sz="4" w:space="0" w:color="000000"/>
            </w:tcBorders>
            <w:shd w:val="clear" w:color="auto" w:fill="FFC800"/>
            <w:vAlign w:val="center"/>
          </w:tcPr>
          <w:p w14:paraId="75FBD2A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8CE743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34C55F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520C8" w14:paraId="336DB5E5" w14:textId="77777777">
        <w:trPr>
          <w:cantSplit/>
          <w:trHeight w:val="964"/>
        </w:trPr>
        <w:tc>
          <w:tcPr>
            <w:tcW w:w="1260" w:type="dxa"/>
            <w:shd w:val="clear" w:color="auto" w:fill="FF0000"/>
            <w:vAlign w:val="center"/>
          </w:tcPr>
          <w:p w14:paraId="1A738635" w14:textId="77777777" w:rsidR="00000000" w:rsidRDefault="00000000">
            <w:pPr>
              <w:spacing w:before="60" w:after="60"/>
              <w:rPr>
                <w:rFonts w:eastAsia="Calibri"/>
                <w:szCs w:val="24"/>
              </w:rPr>
            </w:pPr>
          </w:p>
        </w:tc>
        <w:tc>
          <w:tcPr>
            <w:tcW w:w="7095" w:type="dxa"/>
            <w:shd w:val="clear" w:color="auto" w:fill="auto"/>
            <w:vAlign w:val="center"/>
          </w:tcPr>
          <w:p w14:paraId="5CF05F9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C910B5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2E7D422" w14:textId="77777777" w:rsidR="00000000" w:rsidRDefault="00000000">
      <w:pPr>
        <w:pStyle w:val="Heading2"/>
        <w:spacing w:after="0"/>
        <w:rPr>
          <w:rFonts w:cs="Arial"/>
        </w:rPr>
      </w:pPr>
      <w:r>
        <w:rPr>
          <w:rFonts w:cs="Arial"/>
        </w:rPr>
        <w:t>General overview of the audit</w:t>
      </w:r>
    </w:p>
    <w:p w14:paraId="62C1C9D5" w14:textId="77777777" w:rsidR="00000000" w:rsidRDefault="00000000">
      <w:pPr>
        <w:spacing w:before="240" w:line="276" w:lineRule="auto"/>
        <w:rPr>
          <w:rFonts w:eastAsia="Calibri"/>
        </w:rPr>
      </w:pPr>
      <w:bookmarkStart w:id="13" w:name="GeneralOverview"/>
      <w:r w:rsidRPr="00A4268A">
        <w:rPr>
          <w:rFonts w:eastAsia="Calibri"/>
        </w:rPr>
        <w:t>Kenderdine Park provides rest home and hospital-level care for up to 35 residents. There were 34 residents on the days of the audit. The service is operated by the Brujen Investment Trust. The facility is family-owned, and is operated and managed by family members. Residents and whānau were complimentary about the care provided.</w:t>
      </w:r>
    </w:p>
    <w:p w14:paraId="3F68D409" w14:textId="77777777" w:rsidR="001520C8" w:rsidRPr="00A4268A" w:rsidRDefault="00000000">
      <w:pPr>
        <w:spacing w:before="240" w:line="276" w:lineRule="auto"/>
        <w:rPr>
          <w:rFonts w:eastAsia="Calibri"/>
        </w:rPr>
      </w:pPr>
      <w:r w:rsidRPr="00A4268A">
        <w:rPr>
          <w:rFonts w:eastAsia="Calibri"/>
        </w:rPr>
        <w:t xml:space="preserve">There have been no significant changes to the service and facilities since the previous audit. </w:t>
      </w:r>
    </w:p>
    <w:p w14:paraId="339B2713" w14:textId="77777777" w:rsidR="001520C8" w:rsidRPr="00A4268A" w:rsidRDefault="00000000">
      <w:pPr>
        <w:spacing w:before="240" w:line="276" w:lineRule="auto"/>
        <w:rPr>
          <w:rFonts w:eastAsia="Calibri"/>
        </w:rPr>
      </w:pPr>
      <w:r w:rsidRPr="00A4268A">
        <w:rPr>
          <w:rFonts w:eastAsia="Calibri"/>
        </w:rPr>
        <w:t xml:space="preserve">This surveillance audit was conducted against the Ngā Paerewa Health and Disability Services Standard NZS 8134:2021 and the service’s contract with Health New Zealand – Te Whatu Ora. The audit process included review of policies and procedures, review of residents’ and staff files, observations and interviews with residents, whānau/family members, the owner/chief executive officer (CEO), facility manager (FM), registered nurses (RNs), staff, and a general practitioner. </w:t>
      </w:r>
    </w:p>
    <w:p w14:paraId="6236DA85" w14:textId="77777777" w:rsidR="001520C8" w:rsidRPr="00A4268A" w:rsidRDefault="00000000">
      <w:pPr>
        <w:spacing w:before="240" w:line="276" w:lineRule="auto"/>
        <w:rPr>
          <w:rFonts w:eastAsia="Calibri"/>
        </w:rPr>
      </w:pPr>
      <w:r w:rsidRPr="00A4268A">
        <w:rPr>
          <w:rFonts w:eastAsia="Calibri"/>
        </w:rPr>
        <w:t>There were no areas requiring improvement identified at this audit.</w:t>
      </w:r>
    </w:p>
    <w:bookmarkEnd w:id="13"/>
    <w:p w14:paraId="6D69F941" w14:textId="77777777" w:rsidR="001520C8" w:rsidRPr="00A4268A" w:rsidRDefault="001520C8">
      <w:pPr>
        <w:spacing w:before="240" w:line="276" w:lineRule="auto"/>
        <w:rPr>
          <w:rFonts w:eastAsia="Calibri"/>
        </w:rPr>
      </w:pPr>
    </w:p>
    <w:p w14:paraId="158C23C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20C8" w14:paraId="157DA30A" w14:textId="77777777" w:rsidTr="00A4268A">
        <w:trPr>
          <w:cantSplit/>
        </w:trPr>
        <w:tc>
          <w:tcPr>
            <w:tcW w:w="10206" w:type="dxa"/>
            <w:vAlign w:val="center"/>
          </w:tcPr>
          <w:p w14:paraId="3C4487B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C185BB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D825CB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D2B699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FE4756D" w14:textId="77777777" w:rsidR="00000000" w:rsidRDefault="00000000">
      <w:pPr>
        <w:spacing w:before="240" w:line="276" w:lineRule="auto"/>
        <w:rPr>
          <w:rFonts w:eastAsia="Calibri"/>
        </w:rPr>
      </w:pPr>
      <w:bookmarkStart w:id="16" w:name="ConsumerRights"/>
      <w:r w:rsidRPr="00A4268A">
        <w:rPr>
          <w:rFonts w:eastAsia="Calibri"/>
        </w:rPr>
        <w:t xml:space="preserve">Kenderdine Park works collaboratively to support and encourage a Māori world view of health in service delivery. Māori were provided with equitable and effective services based on Te Tiriti o Waitangi and the principles of mana motuhake. </w:t>
      </w:r>
    </w:p>
    <w:p w14:paraId="4A799251" w14:textId="77777777" w:rsidR="001520C8" w:rsidRPr="00A4268A" w:rsidRDefault="00000000">
      <w:pPr>
        <w:spacing w:before="240" w:line="276" w:lineRule="auto"/>
        <w:rPr>
          <w:rFonts w:eastAsia="Calibri"/>
        </w:rPr>
      </w:pPr>
      <w:r w:rsidRPr="00A4268A">
        <w:rPr>
          <w:rFonts w:eastAsia="Calibri"/>
        </w:rPr>
        <w:t xml:space="preserve">Pacific peoples were provided with services that recognised their worldviews and were culturally safe. </w:t>
      </w:r>
    </w:p>
    <w:p w14:paraId="34EEFE59" w14:textId="77777777" w:rsidR="001520C8" w:rsidRPr="00A4268A" w:rsidRDefault="00000000">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 </w:t>
      </w:r>
    </w:p>
    <w:p w14:paraId="4FA07CC4" w14:textId="77777777" w:rsidR="001520C8" w:rsidRPr="00A4268A" w:rsidRDefault="00000000">
      <w:pPr>
        <w:spacing w:before="240" w:line="276" w:lineRule="auto"/>
        <w:rPr>
          <w:rFonts w:eastAsia="Calibri"/>
        </w:rPr>
      </w:pPr>
      <w:r w:rsidRPr="00A4268A">
        <w:rPr>
          <w:rFonts w:eastAsia="Calibri"/>
        </w:rPr>
        <w:t xml:space="preserve">Policies and the Code provided guidance to staff to ensure informed consent is gained as required. Residents and whānau felt included when making decisions about care and treatment. </w:t>
      </w:r>
    </w:p>
    <w:p w14:paraId="5ADF3C46" w14:textId="77777777" w:rsidR="001520C8"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411837CD" w14:textId="77777777" w:rsidR="001520C8" w:rsidRPr="00A4268A" w:rsidRDefault="001520C8">
      <w:pPr>
        <w:spacing w:before="240" w:line="276" w:lineRule="auto"/>
        <w:rPr>
          <w:rFonts w:eastAsia="Calibri"/>
        </w:rPr>
      </w:pPr>
    </w:p>
    <w:p w14:paraId="59217C4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20C8" w14:paraId="55FAA3FD" w14:textId="77777777" w:rsidTr="00A4268A">
        <w:trPr>
          <w:cantSplit/>
        </w:trPr>
        <w:tc>
          <w:tcPr>
            <w:tcW w:w="10206" w:type="dxa"/>
            <w:vAlign w:val="center"/>
          </w:tcPr>
          <w:p w14:paraId="74AA85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CC0AB8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680604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B720817"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30AD1267" w14:textId="77777777" w:rsidR="001520C8"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AA7CE29" w14:textId="77777777" w:rsidR="001520C8"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129CE572" w14:textId="77777777" w:rsidR="001520C8"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281B0548" w14:textId="77777777" w:rsidR="001520C8"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2FA65DD8" w14:textId="77777777" w:rsidR="001520C8"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1C6AF446" w14:textId="77777777" w:rsidR="001520C8"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4E29DBE0" w14:textId="77777777" w:rsidR="001520C8" w:rsidRPr="00A4268A" w:rsidRDefault="001520C8">
      <w:pPr>
        <w:spacing w:before="240" w:line="276" w:lineRule="auto"/>
        <w:rPr>
          <w:rFonts w:eastAsia="Calibri"/>
        </w:rPr>
      </w:pPr>
    </w:p>
    <w:p w14:paraId="36E4EDE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20C8" w14:paraId="5D46BE15" w14:textId="77777777" w:rsidTr="00A4268A">
        <w:trPr>
          <w:cantSplit/>
        </w:trPr>
        <w:tc>
          <w:tcPr>
            <w:tcW w:w="10206" w:type="dxa"/>
            <w:vAlign w:val="center"/>
          </w:tcPr>
          <w:p w14:paraId="078876D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944C6F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E92B56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DF7215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0CC6EE29" w14:textId="77777777" w:rsidR="001520C8"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46AB4F92" w14:textId="77777777" w:rsidR="001520C8"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was safely managed, supported by an approved food control plan. </w:t>
      </w:r>
    </w:p>
    <w:p w14:paraId="3518621E" w14:textId="77777777" w:rsidR="001520C8"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0378D6B8" w14:textId="77777777" w:rsidR="001520C8" w:rsidRPr="00A4268A" w:rsidRDefault="001520C8" w:rsidP="00621629">
      <w:pPr>
        <w:spacing w:before="240" w:line="276" w:lineRule="auto"/>
        <w:rPr>
          <w:rFonts w:eastAsia="Calibri"/>
        </w:rPr>
      </w:pPr>
    </w:p>
    <w:p w14:paraId="4DD1FEB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20C8" w14:paraId="1AA7BAF9" w14:textId="77777777" w:rsidTr="00A4268A">
        <w:trPr>
          <w:cantSplit/>
        </w:trPr>
        <w:tc>
          <w:tcPr>
            <w:tcW w:w="10206" w:type="dxa"/>
            <w:vAlign w:val="center"/>
          </w:tcPr>
          <w:p w14:paraId="0C24F9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177757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EE1E1F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FBC9E67"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and calibration requirements were up to date.</w:t>
      </w:r>
    </w:p>
    <w:bookmarkEnd w:id="25"/>
    <w:p w14:paraId="721594E1" w14:textId="77777777" w:rsidR="001520C8" w:rsidRPr="00A4268A" w:rsidRDefault="001520C8">
      <w:pPr>
        <w:spacing w:before="240" w:line="276" w:lineRule="auto"/>
        <w:rPr>
          <w:rFonts w:eastAsia="Calibri"/>
        </w:rPr>
      </w:pPr>
    </w:p>
    <w:p w14:paraId="40FD762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20C8" w14:paraId="42FC4E72" w14:textId="77777777" w:rsidTr="00A4268A">
        <w:trPr>
          <w:cantSplit/>
        </w:trPr>
        <w:tc>
          <w:tcPr>
            <w:tcW w:w="10206" w:type="dxa"/>
            <w:vAlign w:val="center"/>
          </w:tcPr>
          <w:p w14:paraId="56AB485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402B04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630A37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45A3E0F"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was linked with the quality improvement programme, and was reviewed and reported on annually. </w:t>
      </w:r>
    </w:p>
    <w:p w14:paraId="750BACB3" w14:textId="77777777" w:rsidR="001520C8"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5BED3467" w14:textId="77777777" w:rsidR="001520C8" w:rsidRPr="00A4268A" w:rsidRDefault="00000000">
      <w:pPr>
        <w:spacing w:before="240" w:line="276" w:lineRule="auto"/>
        <w:rPr>
          <w:rFonts w:eastAsia="Calibri"/>
        </w:rPr>
      </w:pPr>
      <w:r w:rsidRPr="00A4268A">
        <w:rPr>
          <w:rFonts w:eastAsia="Calibri"/>
        </w:rPr>
        <w:t>The ‘Surveillance of health care-associated infections’ programme was appropriate to the size and setting of the service, using standardised surveillance definitions, with an equity focus.</w:t>
      </w:r>
    </w:p>
    <w:bookmarkEnd w:id="28"/>
    <w:p w14:paraId="36004A7B" w14:textId="77777777" w:rsidR="001520C8" w:rsidRPr="00A4268A" w:rsidRDefault="001520C8">
      <w:pPr>
        <w:spacing w:before="240" w:line="276" w:lineRule="auto"/>
        <w:rPr>
          <w:rFonts w:eastAsia="Calibri"/>
        </w:rPr>
      </w:pPr>
    </w:p>
    <w:p w14:paraId="44361C3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20C8" w14:paraId="4D6E006F" w14:textId="77777777" w:rsidTr="00A4268A">
        <w:trPr>
          <w:cantSplit/>
        </w:trPr>
        <w:tc>
          <w:tcPr>
            <w:tcW w:w="10206" w:type="dxa"/>
            <w:vAlign w:val="center"/>
          </w:tcPr>
          <w:p w14:paraId="6AE521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331DCF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AF6E9A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0138396"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was one resident using restraint at the time of the audit. A comprehensive assessment, approval and monitoring process, with regular reviews, occurs for any restraint used. </w:t>
      </w:r>
    </w:p>
    <w:p w14:paraId="57ABBC20" w14:textId="77777777" w:rsidR="001520C8"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alternative interventions, and demonstrated effective practice.</w:t>
      </w:r>
    </w:p>
    <w:bookmarkEnd w:id="31"/>
    <w:p w14:paraId="725CFF06" w14:textId="77777777" w:rsidR="001520C8" w:rsidRPr="00A4268A" w:rsidRDefault="001520C8">
      <w:pPr>
        <w:spacing w:before="240" w:line="276" w:lineRule="auto"/>
        <w:rPr>
          <w:rFonts w:eastAsia="Calibri"/>
        </w:rPr>
      </w:pPr>
    </w:p>
    <w:p w14:paraId="74B07C7E" w14:textId="77777777" w:rsidR="00000000" w:rsidRDefault="00000000" w:rsidP="000E6E02">
      <w:pPr>
        <w:pStyle w:val="Heading2"/>
        <w:spacing w:before="0"/>
        <w:rPr>
          <w:rFonts w:cs="Arial"/>
        </w:rPr>
      </w:pPr>
      <w:r>
        <w:rPr>
          <w:rFonts w:cs="Arial"/>
        </w:rPr>
        <w:t>Summary of attainment</w:t>
      </w:r>
    </w:p>
    <w:p w14:paraId="31A4DC9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520C8" w14:paraId="0C260E48" w14:textId="77777777">
        <w:tc>
          <w:tcPr>
            <w:tcW w:w="1384" w:type="dxa"/>
            <w:vAlign w:val="center"/>
          </w:tcPr>
          <w:p w14:paraId="1CAF7F9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3BDE167" w14:textId="77777777" w:rsidR="00000000" w:rsidRDefault="00000000">
            <w:pPr>
              <w:keepNext/>
              <w:spacing w:before="60" w:after="60"/>
              <w:jc w:val="center"/>
              <w:rPr>
                <w:rFonts w:cs="Arial"/>
                <w:b/>
                <w:sz w:val="20"/>
                <w:szCs w:val="20"/>
              </w:rPr>
            </w:pPr>
            <w:r>
              <w:rPr>
                <w:rFonts w:cs="Arial"/>
                <w:b/>
                <w:sz w:val="20"/>
                <w:szCs w:val="20"/>
              </w:rPr>
              <w:t>Continuous Improvement</w:t>
            </w:r>
          </w:p>
          <w:p w14:paraId="767CEC5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1835065" w14:textId="77777777" w:rsidR="00000000" w:rsidRDefault="00000000">
            <w:pPr>
              <w:keepNext/>
              <w:spacing w:before="60" w:after="60"/>
              <w:jc w:val="center"/>
              <w:rPr>
                <w:rFonts w:cs="Arial"/>
                <w:b/>
                <w:sz w:val="20"/>
                <w:szCs w:val="20"/>
              </w:rPr>
            </w:pPr>
            <w:r>
              <w:rPr>
                <w:rFonts w:cs="Arial"/>
                <w:b/>
                <w:sz w:val="20"/>
                <w:szCs w:val="20"/>
              </w:rPr>
              <w:t>Fully Attained</w:t>
            </w:r>
          </w:p>
          <w:p w14:paraId="15B0128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EC384B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DC7E2E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858CA7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15C8F3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6F0576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D56CDE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625366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CA535C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90D193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68C36FB" w14:textId="77777777" w:rsidR="00000000" w:rsidRDefault="00000000">
            <w:pPr>
              <w:keepNext/>
              <w:spacing w:before="60" w:after="60"/>
              <w:jc w:val="center"/>
              <w:rPr>
                <w:rFonts w:cs="Arial"/>
                <w:b/>
                <w:sz w:val="20"/>
                <w:szCs w:val="20"/>
              </w:rPr>
            </w:pPr>
            <w:r>
              <w:rPr>
                <w:rFonts w:cs="Arial"/>
                <w:b/>
                <w:sz w:val="20"/>
                <w:szCs w:val="20"/>
              </w:rPr>
              <w:t>(PA Critical)</w:t>
            </w:r>
          </w:p>
        </w:tc>
      </w:tr>
      <w:tr w:rsidR="001520C8" w14:paraId="0DF4AFB6" w14:textId="77777777">
        <w:tc>
          <w:tcPr>
            <w:tcW w:w="1384" w:type="dxa"/>
            <w:vAlign w:val="center"/>
          </w:tcPr>
          <w:p w14:paraId="2AFEA47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5F9426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676227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D152B6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02E4DF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B7267E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F09F5E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C2B234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520C8" w14:paraId="6281048D" w14:textId="77777777">
        <w:tc>
          <w:tcPr>
            <w:tcW w:w="1384" w:type="dxa"/>
            <w:vAlign w:val="center"/>
          </w:tcPr>
          <w:p w14:paraId="7F05A1F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622B00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BC80B2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545FE43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DC36CD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D338A4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D4C067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8A163D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A988B6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520C8" w14:paraId="11253C36" w14:textId="77777777">
        <w:tc>
          <w:tcPr>
            <w:tcW w:w="1384" w:type="dxa"/>
            <w:vAlign w:val="center"/>
          </w:tcPr>
          <w:p w14:paraId="1928199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26AEB1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ACA538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EF46C3D" w14:textId="77777777" w:rsidR="00000000" w:rsidRDefault="00000000">
            <w:pPr>
              <w:keepNext/>
              <w:spacing w:before="60" w:after="60"/>
              <w:jc w:val="center"/>
              <w:rPr>
                <w:rFonts w:cs="Arial"/>
                <w:b/>
                <w:sz w:val="20"/>
                <w:szCs w:val="20"/>
              </w:rPr>
            </w:pPr>
            <w:r>
              <w:rPr>
                <w:rFonts w:cs="Arial"/>
                <w:b/>
                <w:sz w:val="20"/>
                <w:szCs w:val="20"/>
              </w:rPr>
              <w:t>Unattained Low Risk</w:t>
            </w:r>
          </w:p>
          <w:p w14:paraId="11E9517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EE69B31" w14:textId="77777777" w:rsidR="00000000" w:rsidRDefault="00000000">
            <w:pPr>
              <w:keepNext/>
              <w:spacing w:before="60" w:after="60"/>
              <w:jc w:val="center"/>
              <w:rPr>
                <w:rFonts w:cs="Arial"/>
                <w:b/>
                <w:sz w:val="20"/>
                <w:szCs w:val="20"/>
              </w:rPr>
            </w:pPr>
            <w:r>
              <w:rPr>
                <w:rFonts w:cs="Arial"/>
                <w:b/>
                <w:sz w:val="20"/>
                <w:szCs w:val="20"/>
              </w:rPr>
              <w:t>Unattained Moderate Risk</w:t>
            </w:r>
          </w:p>
          <w:p w14:paraId="2FDC8EA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B596D11" w14:textId="77777777" w:rsidR="00000000" w:rsidRDefault="00000000">
            <w:pPr>
              <w:keepNext/>
              <w:spacing w:before="60" w:after="60"/>
              <w:jc w:val="center"/>
              <w:rPr>
                <w:rFonts w:cs="Arial"/>
                <w:b/>
                <w:sz w:val="20"/>
                <w:szCs w:val="20"/>
              </w:rPr>
            </w:pPr>
            <w:r>
              <w:rPr>
                <w:rFonts w:cs="Arial"/>
                <w:b/>
                <w:sz w:val="20"/>
                <w:szCs w:val="20"/>
              </w:rPr>
              <w:t>Unattained High Risk</w:t>
            </w:r>
          </w:p>
          <w:p w14:paraId="70B9FB3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9E674B9" w14:textId="77777777" w:rsidR="00000000" w:rsidRDefault="00000000">
            <w:pPr>
              <w:keepNext/>
              <w:spacing w:before="60" w:after="60"/>
              <w:jc w:val="center"/>
              <w:rPr>
                <w:rFonts w:cs="Arial"/>
                <w:b/>
                <w:sz w:val="20"/>
                <w:szCs w:val="20"/>
              </w:rPr>
            </w:pPr>
            <w:r>
              <w:rPr>
                <w:rFonts w:cs="Arial"/>
                <w:b/>
                <w:sz w:val="20"/>
                <w:szCs w:val="20"/>
              </w:rPr>
              <w:t>Unattained Critical Risk</w:t>
            </w:r>
          </w:p>
          <w:p w14:paraId="0918A2AB" w14:textId="77777777" w:rsidR="00000000" w:rsidRDefault="00000000">
            <w:pPr>
              <w:keepNext/>
              <w:spacing w:before="60" w:after="60"/>
              <w:jc w:val="center"/>
              <w:rPr>
                <w:rFonts w:cs="Arial"/>
                <w:b/>
                <w:sz w:val="20"/>
                <w:szCs w:val="20"/>
              </w:rPr>
            </w:pPr>
            <w:r>
              <w:rPr>
                <w:rFonts w:cs="Arial"/>
                <w:b/>
                <w:sz w:val="20"/>
                <w:szCs w:val="20"/>
              </w:rPr>
              <w:t>(UA Critical)</w:t>
            </w:r>
          </w:p>
        </w:tc>
      </w:tr>
      <w:tr w:rsidR="001520C8" w14:paraId="120F8D9E" w14:textId="77777777">
        <w:tc>
          <w:tcPr>
            <w:tcW w:w="1384" w:type="dxa"/>
            <w:vAlign w:val="center"/>
          </w:tcPr>
          <w:p w14:paraId="5C839F0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078F7A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BC2BF2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92B248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7267E8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AD1EA1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520C8" w14:paraId="2C3E9BAD" w14:textId="77777777">
        <w:tc>
          <w:tcPr>
            <w:tcW w:w="1384" w:type="dxa"/>
            <w:vAlign w:val="center"/>
          </w:tcPr>
          <w:p w14:paraId="79B89EA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AABEFC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11A36E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B909B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6B5BA1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4B2038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E70DD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30A003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1B6159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168229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373"/>
        <w:gridCol w:w="6774"/>
      </w:tblGrid>
      <w:tr w:rsidR="001520C8" w14:paraId="1D47D703" w14:textId="77777777">
        <w:tc>
          <w:tcPr>
            <w:tcW w:w="0" w:type="auto"/>
          </w:tcPr>
          <w:p w14:paraId="1304E78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E3327F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91391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520C8" w14:paraId="00BD68CE" w14:textId="77777777">
        <w:tc>
          <w:tcPr>
            <w:tcW w:w="0" w:type="auto"/>
          </w:tcPr>
          <w:p w14:paraId="681055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5B286B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CE5EF6B" w14:textId="77777777" w:rsidR="00000000" w:rsidRPr="00BE00C7" w:rsidRDefault="00000000" w:rsidP="00BE00C7">
            <w:pPr>
              <w:pStyle w:val="OutcomeDescription"/>
              <w:spacing w:before="120" w:after="120"/>
              <w:rPr>
                <w:rFonts w:cs="Arial"/>
                <w:lang w:eastAsia="en-NZ"/>
              </w:rPr>
            </w:pPr>
          </w:p>
        </w:tc>
        <w:tc>
          <w:tcPr>
            <w:tcW w:w="0" w:type="auto"/>
          </w:tcPr>
          <w:p w14:paraId="5C1EC1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FCA3F8" w14:textId="77777777" w:rsidR="00000000" w:rsidRPr="00BE00C7" w:rsidRDefault="00000000" w:rsidP="00BE00C7">
            <w:pPr>
              <w:pStyle w:val="OutcomeDescription"/>
              <w:spacing w:before="120" w:after="120"/>
              <w:rPr>
                <w:rFonts w:cs="Arial"/>
                <w:lang w:eastAsia="en-NZ"/>
              </w:rPr>
            </w:pPr>
            <w:r w:rsidRPr="00BE00C7">
              <w:rPr>
                <w:rFonts w:cs="Arial"/>
                <w:lang w:eastAsia="en-NZ"/>
              </w:rPr>
              <w:t>Kenderdine Park has developed policies, procedures and processes to embed and enact Te Tiriti o Waitangi in all aspects of its work. Mana motuhake is respected. Partnerships have been established with iwi and Māori organisations to support service integration, planning, equity approaches, and support for Māori. There were Māori residents at the time of the audit, and those interviewed felt culturally safe.</w:t>
            </w:r>
          </w:p>
          <w:p w14:paraId="512B2F2B" w14:textId="77777777" w:rsidR="00000000" w:rsidRPr="00BE00C7" w:rsidRDefault="00000000" w:rsidP="00BE00C7">
            <w:pPr>
              <w:pStyle w:val="OutcomeDescription"/>
              <w:spacing w:before="120" w:after="120"/>
              <w:rPr>
                <w:rFonts w:cs="Arial"/>
                <w:lang w:eastAsia="en-NZ"/>
              </w:rPr>
            </w:pPr>
          </w:p>
        </w:tc>
      </w:tr>
      <w:tr w:rsidR="001520C8" w14:paraId="4FC846E1" w14:textId="77777777">
        <w:tc>
          <w:tcPr>
            <w:tcW w:w="0" w:type="auto"/>
          </w:tcPr>
          <w:p w14:paraId="7D6A54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33FEA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6118B7F" w14:textId="77777777" w:rsidR="00000000" w:rsidRPr="00BE00C7" w:rsidRDefault="00000000" w:rsidP="00BE00C7">
            <w:pPr>
              <w:pStyle w:val="OutcomeDescription"/>
              <w:spacing w:before="120" w:after="120"/>
              <w:rPr>
                <w:rFonts w:cs="Arial"/>
                <w:lang w:eastAsia="en-NZ"/>
              </w:rPr>
            </w:pPr>
          </w:p>
        </w:tc>
        <w:tc>
          <w:tcPr>
            <w:tcW w:w="0" w:type="auto"/>
          </w:tcPr>
          <w:p w14:paraId="1A218B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041E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Pacific peoples’ health plan. This describes how the organisation responds to the cultural needs of residents. The document notes the Pasifika worldviews, and the need to embrace their cultural and spiritual beliefs. Policies and procedures were available to guide staff in caring for Pacific peoples. The Pacific peoples’ worldview policy underpins the provision of equitable service. Expert advice is sought from the resident or family and/or the community.</w:t>
            </w:r>
          </w:p>
          <w:p w14:paraId="7D0C90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and care plans for residents of each Pacific descent are available to implement. Models of care were documented and </w:t>
            </w:r>
            <w:r w:rsidRPr="00BE00C7">
              <w:rPr>
                <w:rFonts w:cs="Arial"/>
                <w:lang w:eastAsia="en-NZ"/>
              </w:rPr>
              <w:lastRenderedPageBreak/>
              <w:t>implemented. There were residents who identified as Pasifika and staff members who each spoke their languages fluently.</w:t>
            </w:r>
          </w:p>
          <w:p w14:paraId="6607AEC2" w14:textId="77777777" w:rsidR="00000000" w:rsidRPr="00BE00C7" w:rsidRDefault="00000000" w:rsidP="00BE00C7">
            <w:pPr>
              <w:pStyle w:val="OutcomeDescription"/>
              <w:spacing w:before="120" w:after="120"/>
              <w:rPr>
                <w:rFonts w:cs="Arial"/>
                <w:lang w:eastAsia="en-NZ"/>
              </w:rPr>
            </w:pPr>
          </w:p>
        </w:tc>
      </w:tr>
      <w:tr w:rsidR="001520C8" w14:paraId="02A8927E" w14:textId="77777777">
        <w:tc>
          <w:tcPr>
            <w:tcW w:w="0" w:type="auto"/>
          </w:tcPr>
          <w:p w14:paraId="51540F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0F626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E211222" w14:textId="77777777" w:rsidR="00000000" w:rsidRPr="00BE00C7" w:rsidRDefault="00000000" w:rsidP="00BE00C7">
            <w:pPr>
              <w:pStyle w:val="OutcomeDescription"/>
              <w:spacing w:before="120" w:after="120"/>
              <w:rPr>
                <w:rFonts w:cs="Arial"/>
                <w:lang w:eastAsia="en-NZ"/>
              </w:rPr>
            </w:pPr>
          </w:p>
        </w:tc>
        <w:tc>
          <w:tcPr>
            <w:tcW w:w="0" w:type="auto"/>
          </w:tcPr>
          <w:p w14:paraId="75C175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D4C05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sign languages were posted around the facility.</w:t>
            </w:r>
          </w:p>
          <w:p w14:paraId="11E37DA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5F595F44" w14:textId="77777777" w:rsidR="00000000" w:rsidRPr="00BE00C7" w:rsidRDefault="00000000" w:rsidP="00BE00C7">
            <w:pPr>
              <w:pStyle w:val="OutcomeDescription"/>
              <w:spacing w:before="120" w:after="120"/>
              <w:rPr>
                <w:rFonts w:cs="Arial"/>
                <w:lang w:eastAsia="en-NZ"/>
              </w:rPr>
            </w:pPr>
          </w:p>
        </w:tc>
      </w:tr>
      <w:tr w:rsidR="001520C8" w14:paraId="173C2058" w14:textId="77777777">
        <w:tc>
          <w:tcPr>
            <w:tcW w:w="0" w:type="auto"/>
          </w:tcPr>
          <w:p w14:paraId="180896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C879A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94A5BB4" w14:textId="77777777" w:rsidR="00000000" w:rsidRPr="00BE00C7" w:rsidRDefault="00000000" w:rsidP="00BE00C7">
            <w:pPr>
              <w:pStyle w:val="OutcomeDescription"/>
              <w:spacing w:before="120" w:after="120"/>
              <w:rPr>
                <w:rFonts w:cs="Arial"/>
                <w:lang w:eastAsia="en-NZ"/>
              </w:rPr>
            </w:pPr>
          </w:p>
        </w:tc>
        <w:tc>
          <w:tcPr>
            <w:tcW w:w="0" w:type="auto"/>
          </w:tcPr>
          <w:p w14:paraId="54ACC8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A14EF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receive services free of discrimination, coercion, harassment, exploitation, and abuse and neglect, supported by policies and staff education. There were no examples identified during the audit through staff, resident and whānau interviews, or in documentation reviewed. Professional boundaries were maintained by staff, as confirmed by residents in interviews conducted.</w:t>
            </w:r>
          </w:p>
          <w:p w14:paraId="5E5E834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their finances were protected. There is a comfort account that is managed by the facility manager.</w:t>
            </w:r>
          </w:p>
          <w:p w14:paraId="6ADE8A03" w14:textId="77777777" w:rsidR="00000000" w:rsidRPr="00BE00C7" w:rsidRDefault="00000000" w:rsidP="00BE00C7">
            <w:pPr>
              <w:pStyle w:val="OutcomeDescription"/>
              <w:spacing w:before="120" w:after="120"/>
              <w:rPr>
                <w:rFonts w:cs="Arial"/>
                <w:lang w:eastAsia="en-NZ"/>
              </w:rPr>
            </w:pPr>
          </w:p>
          <w:p w14:paraId="76618BC6" w14:textId="77777777" w:rsidR="00000000" w:rsidRPr="00BE00C7" w:rsidRDefault="00000000" w:rsidP="00BE00C7">
            <w:pPr>
              <w:pStyle w:val="OutcomeDescription"/>
              <w:spacing w:before="120" w:after="120"/>
              <w:rPr>
                <w:rFonts w:cs="Arial"/>
                <w:lang w:eastAsia="en-NZ"/>
              </w:rPr>
            </w:pPr>
          </w:p>
        </w:tc>
      </w:tr>
      <w:tr w:rsidR="001520C8" w14:paraId="13B384A9" w14:textId="77777777">
        <w:tc>
          <w:tcPr>
            <w:tcW w:w="0" w:type="auto"/>
          </w:tcPr>
          <w:p w14:paraId="78B19B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0AFD4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6BF01C" w14:textId="77777777" w:rsidR="00000000" w:rsidRPr="00BE00C7" w:rsidRDefault="00000000" w:rsidP="00BE00C7">
            <w:pPr>
              <w:pStyle w:val="OutcomeDescription"/>
              <w:spacing w:before="120" w:after="120"/>
              <w:rPr>
                <w:rFonts w:cs="Arial"/>
                <w:lang w:eastAsia="en-NZ"/>
              </w:rPr>
            </w:pPr>
          </w:p>
        </w:tc>
        <w:tc>
          <w:tcPr>
            <w:tcW w:w="0" w:type="auto"/>
          </w:tcPr>
          <w:p w14:paraId="3BE71E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80E41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their legal representative were provided with the information necessary to make informed decisions in line with the Code. Those interviewed, and where appropriate their whānau, felt empowered to actively participate in decision-making. Signed consent forms were available in the records reviewed.</w:t>
            </w:r>
          </w:p>
          <w:p w14:paraId="67BBA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25B45F2A" w14:textId="77777777" w:rsidR="00000000" w:rsidRPr="00BE00C7" w:rsidRDefault="00000000" w:rsidP="00BE00C7">
            <w:pPr>
              <w:pStyle w:val="OutcomeDescription"/>
              <w:spacing w:before="120" w:after="120"/>
              <w:rPr>
                <w:rFonts w:cs="Arial"/>
                <w:lang w:eastAsia="en-NZ"/>
              </w:rPr>
            </w:pPr>
          </w:p>
        </w:tc>
      </w:tr>
      <w:tr w:rsidR="001520C8" w14:paraId="39DB8430" w14:textId="77777777">
        <w:tc>
          <w:tcPr>
            <w:tcW w:w="0" w:type="auto"/>
          </w:tcPr>
          <w:p w14:paraId="68F4F5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88B57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49DDC2E" w14:textId="77777777" w:rsidR="00000000" w:rsidRPr="00BE00C7" w:rsidRDefault="00000000" w:rsidP="00BE00C7">
            <w:pPr>
              <w:pStyle w:val="OutcomeDescription"/>
              <w:spacing w:before="120" w:after="120"/>
              <w:rPr>
                <w:rFonts w:cs="Arial"/>
                <w:lang w:eastAsia="en-NZ"/>
              </w:rPr>
            </w:pPr>
          </w:p>
        </w:tc>
        <w:tc>
          <w:tcPr>
            <w:tcW w:w="0" w:type="auto"/>
          </w:tcPr>
          <w:p w14:paraId="2714AC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2D5167"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leading to improvements. This meets the requirements of the Code. Residents and whānau understood their right to make a complaint and knew how to do so. There were 26 complaints in 2024 and two in 2025 (year to date). The owner/CEO and FM reported that the complaint process timeframes were adhered to, and service improvement measures were implemented as required.</w:t>
            </w:r>
          </w:p>
          <w:p w14:paraId="6898B9A0"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including follow-up letters and resolutions, was completed and managed in accordance with guidelines set by the Health and Disability Commissioner. Discussions with residents and whānau confirmed they were provided information on the complaints process and remarked that any concerns or issues were promptly addressed.</w:t>
            </w:r>
          </w:p>
          <w:p w14:paraId="46162DD4"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residents making a complaint can, if they choose, involve an independent support person, such as the cultural advisor, in the process. The complaints process is linked to advocacy services. The Code of Health and Disability Services Consumers’ Rights is visible and available in te reo Māori and English. Residents and whānau spoke with expressed satisfaction with the complaint process. In the event of a complaint from a Māori resident or whānau member, the service would seek the assistance of an interpreter or cultural advisor if needed.</w:t>
            </w:r>
          </w:p>
          <w:p w14:paraId="5BE8FDC6" w14:textId="77777777" w:rsidR="00000000" w:rsidRPr="00BE00C7" w:rsidRDefault="00000000" w:rsidP="00BE00C7">
            <w:pPr>
              <w:pStyle w:val="OutcomeDescription"/>
              <w:spacing w:before="120" w:after="120"/>
              <w:rPr>
                <w:rFonts w:cs="Arial"/>
                <w:lang w:eastAsia="en-NZ"/>
              </w:rPr>
            </w:pPr>
            <w:r w:rsidRPr="00BE00C7">
              <w:rPr>
                <w:rFonts w:cs="Arial"/>
                <w:lang w:eastAsia="en-NZ"/>
              </w:rPr>
              <w:t>One external complaint to the Health and Disability Commissioner in 2021 has been closed. The service has complied with all requests for further information within the required timeframes, and no issues have been identified in relation to the complaint so far.</w:t>
            </w:r>
          </w:p>
          <w:p w14:paraId="145C7404" w14:textId="77777777" w:rsidR="00000000" w:rsidRPr="00BE00C7" w:rsidRDefault="00000000" w:rsidP="00BE00C7">
            <w:pPr>
              <w:pStyle w:val="OutcomeDescription"/>
              <w:spacing w:before="120" w:after="120"/>
              <w:rPr>
                <w:rFonts w:cs="Arial"/>
                <w:lang w:eastAsia="en-NZ"/>
              </w:rPr>
            </w:pPr>
          </w:p>
        </w:tc>
      </w:tr>
      <w:tr w:rsidR="001520C8" w14:paraId="23BE1487" w14:textId="77777777">
        <w:tc>
          <w:tcPr>
            <w:tcW w:w="0" w:type="auto"/>
          </w:tcPr>
          <w:p w14:paraId="356AEA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1C23B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376E45B" w14:textId="77777777" w:rsidR="00000000" w:rsidRPr="00BE00C7" w:rsidRDefault="00000000" w:rsidP="00BE00C7">
            <w:pPr>
              <w:pStyle w:val="OutcomeDescription"/>
              <w:spacing w:before="120" w:after="120"/>
              <w:rPr>
                <w:rFonts w:cs="Arial"/>
                <w:lang w:eastAsia="en-NZ"/>
              </w:rPr>
            </w:pPr>
          </w:p>
        </w:tc>
        <w:tc>
          <w:tcPr>
            <w:tcW w:w="0" w:type="auto"/>
          </w:tcPr>
          <w:p w14:paraId="332378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DF744B" w14:textId="77777777" w:rsidR="00000000" w:rsidRPr="00BE00C7" w:rsidRDefault="00000000" w:rsidP="00BE00C7">
            <w:pPr>
              <w:pStyle w:val="OutcomeDescription"/>
              <w:spacing w:before="120" w:after="120"/>
              <w:rPr>
                <w:rFonts w:cs="Arial"/>
                <w:lang w:eastAsia="en-NZ"/>
              </w:rPr>
            </w:pPr>
            <w:r w:rsidRPr="00BE00C7">
              <w:rPr>
                <w:rFonts w:cs="Arial"/>
                <w:lang w:eastAsia="en-NZ"/>
              </w:rPr>
              <w:t>Kenderdine Park provides aged-related residential care at rest home and hospital level of care. The owner/CEO has owned the care home since it was built in 1995.</w:t>
            </w:r>
          </w:p>
          <w:p w14:paraId="017D57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owner/CEO assumes accountability for delivering a high-quality service to residents and their whānau. The leadership team oversees compliance with legislative, contractual and regulatory requirements; external advice is sought as required. The owner/CEO is assisted by the FM, clinical nurse manager (CNM), registered nurses, and assistant manager/activities coordinator.</w:t>
            </w:r>
          </w:p>
          <w:p w14:paraId="40867C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performance monitoring and review occur through regular meetings at planned intervals. A focus on improving outcomes was evident in monitoring through staff meeting minutes and the internal audit programme. A commitment to the quality and risk management system was evident. The leadership team members interviewed felt well-informed about progress and risks. A review or evaluation of resident outcomes to assess equity for Māori residents is being achieved and completed. Ethnicity data is analysed monthly to identify potential inequality outcomes between Māori residents and their whānau. Residents and staff are supported by a Tikanga Kaiwhakahaere (Cultural Advisor) on a regular basis and are invited/offered to support a resident and/or their whānau if requested, and provide staff training.</w:t>
            </w:r>
          </w:p>
          <w:p w14:paraId="025C0B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organisation's size and complexity. It includes reporting during staff meetings and monitoring of resident safety and clinical indicators. </w:t>
            </w:r>
          </w:p>
          <w:p w14:paraId="2040EE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Age-Related Residential Care (ARRC) contracts with Health New Zealand – Te Whatu Ora for rest home, hospital, and respite level of care. Contracts include Aged Residential Care, Ministry for Disabled (Whaikaha), Long-term Support – Chronic Health Conditions (LTS-CHC), Residential, Community Residential Respite services, Accident Compensation Corporation (ACC), and one individual contract supporting mental health services. </w:t>
            </w:r>
          </w:p>
          <w:p w14:paraId="76034D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six residents receiving rest home-level of care including one resident under the individual contract Mental Health </w:t>
            </w:r>
            <w:r w:rsidRPr="00BE00C7">
              <w:rPr>
                <w:rFonts w:cs="Arial"/>
                <w:lang w:eastAsia="en-NZ"/>
              </w:rPr>
              <w:lastRenderedPageBreak/>
              <w:t>Services. Twenty-nine residents were receiving hospital-level care, including two funded by ACC.</w:t>
            </w:r>
          </w:p>
          <w:p w14:paraId="77C6E14C" w14:textId="77777777" w:rsidR="00000000" w:rsidRPr="00BE00C7" w:rsidRDefault="00000000" w:rsidP="00BE00C7">
            <w:pPr>
              <w:pStyle w:val="OutcomeDescription"/>
              <w:spacing w:before="120" w:after="120"/>
              <w:rPr>
                <w:rFonts w:cs="Arial"/>
                <w:lang w:eastAsia="en-NZ"/>
              </w:rPr>
            </w:pPr>
          </w:p>
        </w:tc>
      </w:tr>
      <w:tr w:rsidR="001520C8" w14:paraId="5C176F50" w14:textId="77777777">
        <w:tc>
          <w:tcPr>
            <w:tcW w:w="0" w:type="auto"/>
          </w:tcPr>
          <w:p w14:paraId="4E2632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6CE9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59684D" w14:textId="77777777" w:rsidR="00000000" w:rsidRPr="00BE00C7" w:rsidRDefault="00000000" w:rsidP="00BE00C7">
            <w:pPr>
              <w:pStyle w:val="OutcomeDescription"/>
              <w:spacing w:before="120" w:after="120"/>
              <w:rPr>
                <w:rFonts w:cs="Arial"/>
                <w:lang w:eastAsia="en-NZ"/>
              </w:rPr>
            </w:pPr>
          </w:p>
        </w:tc>
        <w:tc>
          <w:tcPr>
            <w:tcW w:w="0" w:type="auto"/>
          </w:tcPr>
          <w:p w14:paraId="140320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F710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managing and monitoring of incidents and complaints, internal audit activities, a regular resident meeting, consultation with whānau, outcomes, policies and procedures, clinical incidents including infections and wounds, pressure injuries, skin tears, behaviour events, falls, and other unexpected events. </w:t>
            </w:r>
          </w:p>
          <w:p w14:paraId="5F386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corrective actions are developed and implemented to address any shortfalls. Staff competencies are reassessed and confirmed for all staff, and records were sighted. Internal audits were completed according to a 2024 and 2025 schedule, with corrective actions and outcomes reported back to the staff. Resident/whānau satisfaction survey and employee opinion survey were completed in 2024. Surveys were comprehensive, and the results were collated, analysed, and utilised to make service improvements when required. The feedback survey results reviewed showed positive responses to care, communication, environment and staffing. </w:t>
            </w:r>
          </w:p>
          <w:p w14:paraId="11B307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adverse event data is regularly reported and discussed at monthly staff meetings and annual review meetings. The owner/CEO and FM interviewed confirmed that discussions on trends are included in these meetings. The policies reviewed covered all necessary aspects of the service and contractual requirements and were current. </w:t>
            </w:r>
          </w:p>
          <w:p w14:paraId="1C295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described the processes for identifying, documenting, monitoring, reviewing and reporting of risks, including health and safety risks, and developing mitigation strategies. The business plan is continuously updated to reflect the risk to the integrity of clinical and operational documentation. </w:t>
            </w:r>
          </w:p>
          <w:p w14:paraId="79EDC2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accordance with the National Adverse Events Reporting Policy. A sample of incident forms reviewed showed that these were fully completed, incidents were investigated, and action plans were developed and followed up in a timely </w:t>
            </w:r>
            <w:r w:rsidRPr="00BE00C7">
              <w:rPr>
                <w:rFonts w:cs="Arial"/>
                <w:lang w:eastAsia="en-NZ"/>
              </w:rPr>
              <w:lastRenderedPageBreak/>
              <w:t>manner. Management knew the Severity Assessment Codes (SAC), SAC1 and SAC2 reporting requirements.</w:t>
            </w:r>
          </w:p>
          <w:p w14:paraId="313AF7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owner/CEO and FM understood essential notification reporting requirements. There have been no Section 31 notifications completed since the last audit.</w:t>
            </w:r>
          </w:p>
          <w:p w14:paraId="3E3A428A" w14:textId="77777777" w:rsidR="00000000" w:rsidRPr="00BE00C7" w:rsidRDefault="00000000" w:rsidP="00BE00C7">
            <w:pPr>
              <w:pStyle w:val="OutcomeDescription"/>
              <w:spacing w:before="120" w:after="120"/>
              <w:rPr>
                <w:rFonts w:cs="Arial"/>
                <w:lang w:eastAsia="en-NZ"/>
              </w:rPr>
            </w:pPr>
          </w:p>
        </w:tc>
      </w:tr>
      <w:tr w:rsidR="001520C8" w14:paraId="29F3C6D9" w14:textId="77777777">
        <w:tc>
          <w:tcPr>
            <w:tcW w:w="0" w:type="auto"/>
          </w:tcPr>
          <w:p w14:paraId="0A163F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2886F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72E4AFA" w14:textId="77777777" w:rsidR="00000000" w:rsidRPr="00BE00C7" w:rsidRDefault="00000000" w:rsidP="00BE00C7">
            <w:pPr>
              <w:pStyle w:val="OutcomeDescription"/>
              <w:spacing w:before="120" w:after="120"/>
              <w:rPr>
                <w:rFonts w:cs="Arial"/>
                <w:lang w:eastAsia="en-NZ"/>
              </w:rPr>
            </w:pPr>
          </w:p>
        </w:tc>
        <w:tc>
          <w:tcPr>
            <w:tcW w:w="0" w:type="auto"/>
          </w:tcPr>
          <w:p w14:paraId="65FF1F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5910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organisation adjusts staffing levels to meet the changing needs of residents. Staff reported that there were adequate staff to complete the work allocated to them, and residents and whānau confirmed this in interviews. </w:t>
            </w:r>
          </w:p>
          <w:p w14:paraId="7EE723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advice is sought in a timely manner through a Tikanga Kaiwhakahaere (Cultural Advisor). At least one staff member on duty in each wing has a current first aid certificate and medication competency. </w:t>
            </w:r>
          </w:p>
          <w:p w14:paraId="043A7BF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education programme, with some having trained at a higher level than this to meet the requirements of the provider’s agreement with the health funders. Out of a total of 18 health care assistants, 15 have completed their Level 4 qualification, two have completed their Level 3 qualification, and one has completed their Level 2 qualification.</w:t>
            </w:r>
          </w:p>
          <w:p w14:paraId="52B316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records were reviewed to confirm completion of the required training and competency assessments. Each staff member interviewed reported feeling well supported and safe in the workplace. The employment process, which includes a job description defining each role's skills, qualifications and attributes, ensures that services are delivered to meet residents' needs. </w:t>
            </w:r>
          </w:p>
          <w:p w14:paraId="3B70A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including mandatory training requirements, is planned annually. Related competencies are completed to support equitable service delivery. The records reviewed (six) demonstrated that the staff completed the required training and competency assessments, including cultural, first aid, hand hygiene, and medication competencies. An annual training programme covers mandatory and elective topics and </w:t>
            </w:r>
            <w:r w:rsidRPr="00BE00C7">
              <w:rPr>
                <w:rFonts w:cs="Arial"/>
                <w:lang w:eastAsia="en-NZ"/>
              </w:rPr>
              <w:lastRenderedPageBreak/>
              <w:t xml:space="preserve">meets the obligations of the service contract. Online learning opportunities are also available for staff to complete independently. Staff felt well supported with development opportunities. </w:t>
            </w:r>
          </w:p>
          <w:p w14:paraId="6AD3CC53"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advice is always available when required, ensuring a safe care provision. An out-of-hours on-call policy explains how and when to contact the out-of-hours GP and the management team.</w:t>
            </w:r>
          </w:p>
          <w:p w14:paraId="5A527F8A" w14:textId="77777777" w:rsidR="00000000" w:rsidRPr="00BE00C7" w:rsidRDefault="00000000" w:rsidP="00BE00C7">
            <w:pPr>
              <w:pStyle w:val="OutcomeDescription"/>
              <w:spacing w:before="120" w:after="120"/>
              <w:rPr>
                <w:rFonts w:cs="Arial"/>
                <w:lang w:eastAsia="en-NZ"/>
              </w:rPr>
            </w:pPr>
          </w:p>
        </w:tc>
      </w:tr>
      <w:tr w:rsidR="001520C8" w14:paraId="671A4FD0" w14:textId="77777777">
        <w:tc>
          <w:tcPr>
            <w:tcW w:w="0" w:type="auto"/>
          </w:tcPr>
          <w:p w14:paraId="082034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6787E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A1A5E4" w14:textId="77777777" w:rsidR="00000000" w:rsidRPr="00BE00C7" w:rsidRDefault="00000000" w:rsidP="00BE00C7">
            <w:pPr>
              <w:pStyle w:val="OutcomeDescription"/>
              <w:spacing w:before="120" w:after="120"/>
              <w:rPr>
                <w:rFonts w:cs="Arial"/>
                <w:lang w:eastAsia="en-NZ"/>
              </w:rPr>
            </w:pPr>
          </w:p>
        </w:tc>
        <w:tc>
          <w:tcPr>
            <w:tcW w:w="0" w:type="auto"/>
          </w:tcPr>
          <w:p w14:paraId="3F6608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5752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practices and relevant legislation. A sample of staff records reviewed confirmed the organisation’s policies are being consistently implemented, including evidence of qualifications and registration (where applicable).  There was evidence of good recruitment processes in the six staff files reviewed, which included letters of offer, signed employment agreements and position descriptions, validation of qualifications, performance appraisals, police vetting, and orientation. </w:t>
            </w:r>
          </w:p>
          <w:p w14:paraId="590D440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6CF75239" w14:textId="77777777" w:rsidR="00000000" w:rsidRPr="00BE00C7" w:rsidRDefault="00000000" w:rsidP="00BE00C7">
            <w:pPr>
              <w:pStyle w:val="OutcomeDescription"/>
              <w:spacing w:before="120" w:after="120"/>
              <w:rPr>
                <w:rFonts w:cs="Arial"/>
                <w:lang w:eastAsia="en-NZ"/>
              </w:rPr>
            </w:pPr>
          </w:p>
        </w:tc>
      </w:tr>
      <w:tr w:rsidR="001520C8" w14:paraId="7604DF20" w14:textId="77777777">
        <w:tc>
          <w:tcPr>
            <w:tcW w:w="0" w:type="auto"/>
          </w:tcPr>
          <w:p w14:paraId="7774C9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656FC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2130867" w14:textId="77777777" w:rsidR="00000000" w:rsidRPr="00BE00C7" w:rsidRDefault="00000000" w:rsidP="00BE00C7">
            <w:pPr>
              <w:pStyle w:val="OutcomeDescription"/>
              <w:spacing w:before="120" w:after="120"/>
              <w:rPr>
                <w:rFonts w:cs="Arial"/>
                <w:lang w:eastAsia="en-NZ"/>
              </w:rPr>
            </w:pPr>
          </w:p>
        </w:tc>
        <w:tc>
          <w:tcPr>
            <w:tcW w:w="0" w:type="auto"/>
          </w:tcPr>
          <w:p w14:paraId="0F363A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7992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Care plans were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08EB7B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general practitioner (GP) assessment, initial care plan, long-term care plan and review timeframes met contractual requirements. Staff supported Māori and whānau to identify their own pae ora outcomes in their care plan. This was verified </w:t>
            </w:r>
            <w:r w:rsidRPr="00BE00C7">
              <w:rPr>
                <w:rFonts w:cs="Arial"/>
                <w:lang w:eastAsia="en-NZ"/>
              </w:rPr>
              <w:lastRenderedPageBreak/>
              <w:t>by sampling residents’ records, and from interviews of clinical staff, people receiving services, and whānau.</w:t>
            </w:r>
          </w:p>
          <w:p w14:paraId="4CF98BA4"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 The GP confirmed satisfaction with residents’ care and communication received from the clinical team.</w:t>
            </w:r>
          </w:p>
          <w:p w14:paraId="1C6EEB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w:t>
            </w:r>
          </w:p>
          <w:p w14:paraId="588EB6BA" w14:textId="77777777" w:rsidR="00000000" w:rsidRPr="00BE00C7" w:rsidRDefault="00000000" w:rsidP="003B1982">
            <w:pPr>
              <w:pStyle w:val="OutcomeDescription"/>
              <w:spacing w:before="120" w:after="120"/>
              <w:rPr>
                <w:rFonts w:cs="Arial"/>
                <w:lang w:eastAsia="en-NZ"/>
              </w:rPr>
            </w:pPr>
          </w:p>
        </w:tc>
      </w:tr>
      <w:tr w:rsidR="001520C8" w14:paraId="3DB7B412" w14:textId="77777777">
        <w:tc>
          <w:tcPr>
            <w:tcW w:w="0" w:type="auto"/>
          </w:tcPr>
          <w:p w14:paraId="33F0BB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555CE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7D19D68" w14:textId="77777777" w:rsidR="00000000" w:rsidRPr="00BE00C7" w:rsidRDefault="00000000" w:rsidP="00BE00C7">
            <w:pPr>
              <w:pStyle w:val="OutcomeDescription"/>
              <w:spacing w:before="120" w:after="120"/>
              <w:rPr>
                <w:rFonts w:cs="Arial"/>
                <w:lang w:eastAsia="en-NZ"/>
              </w:rPr>
            </w:pPr>
          </w:p>
        </w:tc>
        <w:tc>
          <w:tcPr>
            <w:tcW w:w="0" w:type="auto"/>
          </w:tcPr>
          <w:p w14:paraId="7F907B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D7B8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Current medication administration competencies were available in the staff records.</w:t>
            </w:r>
          </w:p>
          <w:p w14:paraId="42D888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were stored safely, including controlled drugs. The required stock checks had been completed. Medicines stored were within the recommended temperature range. </w:t>
            </w:r>
          </w:p>
          <w:p w14:paraId="0809D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and any adverse events responded to appropriately. The required three-monthly GP review was consistently recorded on the medicine chart. Standing orders are used, were current, and complied with guidelines. </w:t>
            </w:r>
          </w:p>
          <w:p w14:paraId="7C59DE91"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w:t>
            </w:r>
          </w:p>
          <w:p w14:paraId="1EBC6D3E" w14:textId="77777777" w:rsidR="00000000" w:rsidRPr="00BE00C7" w:rsidRDefault="00000000" w:rsidP="00BE00C7">
            <w:pPr>
              <w:pStyle w:val="OutcomeDescription"/>
              <w:spacing w:before="120" w:after="120"/>
              <w:rPr>
                <w:rFonts w:cs="Arial"/>
                <w:lang w:eastAsia="en-NZ"/>
              </w:rPr>
            </w:pPr>
          </w:p>
        </w:tc>
      </w:tr>
      <w:tr w:rsidR="001520C8" w14:paraId="15015530" w14:textId="77777777">
        <w:tc>
          <w:tcPr>
            <w:tcW w:w="0" w:type="auto"/>
          </w:tcPr>
          <w:p w14:paraId="4B83FA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12D99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D64BD45" w14:textId="77777777" w:rsidR="00000000" w:rsidRPr="00BE00C7" w:rsidRDefault="00000000" w:rsidP="00BE00C7">
            <w:pPr>
              <w:pStyle w:val="OutcomeDescription"/>
              <w:spacing w:before="120" w:after="120"/>
              <w:rPr>
                <w:rFonts w:cs="Arial"/>
                <w:lang w:eastAsia="en-NZ"/>
              </w:rPr>
            </w:pPr>
          </w:p>
        </w:tc>
        <w:tc>
          <w:tcPr>
            <w:tcW w:w="0" w:type="auto"/>
          </w:tcPr>
          <w:p w14:paraId="4CBE00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3427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food, allergies and cultural preferences of the residents. Evidence of resident satisfaction with meals was verified from resident and whānau interviews, satisfaction surveys and resident meeting minutes.</w:t>
            </w:r>
          </w:p>
          <w:p w14:paraId="5BE6E3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will expire in December 2025.</w:t>
            </w:r>
          </w:p>
          <w:p w14:paraId="43A11076" w14:textId="77777777" w:rsidR="00000000" w:rsidRPr="00BE00C7" w:rsidRDefault="00000000" w:rsidP="00BE00C7">
            <w:pPr>
              <w:pStyle w:val="OutcomeDescription"/>
              <w:spacing w:before="120" w:after="120"/>
              <w:rPr>
                <w:rFonts w:cs="Arial"/>
                <w:lang w:eastAsia="en-NZ"/>
              </w:rPr>
            </w:pPr>
          </w:p>
        </w:tc>
      </w:tr>
      <w:tr w:rsidR="001520C8" w14:paraId="1A4D559C" w14:textId="77777777">
        <w:tc>
          <w:tcPr>
            <w:tcW w:w="0" w:type="auto"/>
          </w:tcPr>
          <w:p w14:paraId="6F2DCF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B7E63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AADA5C1" w14:textId="77777777" w:rsidR="00000000" w:rsidRPr="00BE00C7" w:rsidRDefault="00000000" w:rsidP="00BE00C7">
            <w:pPr>
              <w:pStyle w:val="OutcomeDescription"/>
              <w:spacing w:before="120" w:after="120"/>
              <w:rPr>
                <w:rFonts w:cs="Arial"/>
                <w:lang w:eastAsia="en-NZ"/>
              </w:rPr>
            </w:pPr>
          </w:p>
        </w:tc>
        <w:tc>
          <w:tcPr>
            <w:tcW w:w="0" w:type="auto"/>
          </w:tcPr>
          <w:p w14:paraId="02BCC2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8C8BC1"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A transfer and discharge policy was available to guide staff practice. Risks and current support needs were identified and managed. This was evident in the transfer records reviewed. Whānau reported being kept well informed during the transfer of their relative.</w:t>
            </w:r>
          </w:p>
          <w:p w14:paraId="10DA1B13" w14:textId="77777777" w:rsidR="00000000" w:rsidRPr="00BE00C7" w:rsidRDefault="00000000" w:rsidP="00BE00C7">
            <w:pPr>
              <w:pStyle w:val="OutcomeDescription"/>
              <w:spacing w:before="120" w:after="120"/>
              <w:rPr>
                <w:rFonts w:cs="Arial"/>
                <w:lang w:eastAsia="en-NZ"/>
              </w:rPr>
            </w:pPr>
          </w:p>
        </w:tc>
      </w:tr>
      <w:tr w:rsidR="001520C8" w14:paraId="551866B0" w14:textId="77777777">
        <w:tc>
          <w:tcPr>
            <w:tcW w:w="0" w:type="auto"/>
          </w:tcPr>
          <w:p w14:paraId="23DA13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0390F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2812ACE2" w14:textId="77777777" w:rsidR="00000000" w:rsidRPr="00BE00C7" w:rsidRDefault="00000000" w:rsidP="00BE00C7">
            <w:pPr>
              <w:pStyle w:val="OutcomeDescription"/>
              <w:spacing w:before="120" w:after="120"/>
              <w:rPr>
                <w:rFonts w:cs="Arial"/>
                <w:lang w:eastAsia="en-NZ"/>
              </w:rPr>
            </w:pPr>
          </w:p>
        </w:tc>
        <w:tc>
          <w:tcPr>
            <w:tcW w:w="0" w:type="auto"/>
          </w:tcPr>
          <w:p w14:paraId="6F7F28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40B8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residents’ physical environment and facilities (internal and external) are fit for purpose. A current building warrant of fitness, expiring on 30 November 2025, was displayed. There is a preventative and reactive maintenance programme, and buildings, plant and equipment are maintained to an adequate standard. Legislative requirements were met. Electrical checks were completed, and an inventory was maintained. The contracted medical company checked the annual calibration of medical resources and equipment. Calibration included the scales (floor and chair scales). </w:t>
            </w:r>
            <w:r w:rsidRPr="00BE00C7">
              <w:rPr>
                <w:rFonts w:cs="Arial"/>
                <w:lang w:eastAsia="en-NZ"/>
              </w:rPr>
              <w:lastRenderedPageBreak/>
              <w:t>Manual handling and hoist management training was provided to all staff as per the training programme.</w:t>
            </w:r>
          </w:p>
          <w:p w14:paraId="59EEE011"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residents interviewed were pleased with the environment's suitability for their whānau members' needs. Appropriate signage and cultural information were on the notice boards for staff and residents to view. There were well-maintained garden areas.</w:t>
            </w:r>
          </w:p>
          <w:p w14:paraId="3C16E33D" w14:textId="77777777" w:rsidR="00000000" w:rsidRPr="00BE00C7" w:rsidRDefault="00000000" w:rsidP="00BE00C7">
            <w:pPr>
              <w:pStyle w:val="OutcomeDescription"/>
              <w:spacing w:before="120" w:after="120"/>
              <w:rPr>
                <w:rFonts w:cs="Arial"/>
                <w:lang w:eastAsia="en-NZ"/>
              </w:rPr>
            </w:pPr>
          </w:p>
        </w:tc>
      </w:tr>
      <w:tr w:rsidR="001520C8" w14:paraId="14D4E60B" w14:textId="77777777">
        <w:tc>
          <w:tcPr>
            <w:tcW w:w="0" w:type="auto"/>
          </w:tcPr>
          <w:p w14:paraId="24284B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8E068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41FADE0" w14:textId="77777777" w:rsidR="00000000" w:rsidRPr="00BE00C7" w:rsidRDefault="00000000" w:rsidP="00BE00C7">
            <w:pPr>
              <w:pStyle w:val="OutcomeDescription"/>
              <w:spacing w:before="120" w:after="120"/>
              <w:rPr>
                <w:rFonts w:cs="Arial"/>
                <w:lang w:eastAsia="en-NZ"/>
              </w:rPr>
            </w:pPr>
          </w:p>
        </w:tc>
        <w:tc>
          <w:tcPr>
            <w:tcW w:w="0" w:type="auto"/>
          </w:tcPr>
          <w:p w14:paraId="1E5E24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A05A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(ICC) was responsible for overseeing and implementing the IP programme, which has been developed by those with IP expertise and approved by the governance body. The programme was linked to the quality improvement programme and was reviewed and reported on annually. This was confirmed by the ICC and review of the programme documentation. </w:t>
            </w:r>
          </w:p>
          <w:p w14:paraId="4ECB17B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meets their needs.</w:t>
            </w:r>
          </w:p>
          <w:p w14:paraId="605AC217" w14:textId="77777777" w:rsidR="00000000" w:rsidRPr="00BE00C7" w:rsidRDefault="00000000" w:rsidP="00BE00C7">
            <w:pPr>
              <w:pStyle w:val="OutcomeDescription"/>
              <w:spacing w:before="120" w:after="120"/>
              <w:rPr>
                <w:rFonts w:cs="Arial"/>
                <w:lang w:eastAsia="en-NZ"/>
              </w:rPr>
            </w:pPr>
          </w:p>
        </w:tc>
      </w:tr>
      <w:tr w:rsidR="001520C8" w14:paraId="7093F1D3" w14:textId="77777777">
        <w:tc>
          <w:tcPr>
            <w:tcW w:w="0" w:type="auto"/>
          </w:tcPr>
          <w:p w14:paraId="4689E6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36ADF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61350C1" w14:textId="77777777" w:rsidR="00000000" w:rsidRPr="00BE00C7" w:rsidRDefault="00000000" w:rsidP="00BE00C7">
            <w:pPr>
              <w:pStyle w:val="OutcomeDescription"/>
              <w:spacing w:before="120" w:after="120"/>
              <w:rPr>
                <w:rFonts w:cs="Arial"/>
                <w:lang w:eastAsia="en-NZ"/>
              </w:rPr>
            </w:pPr>
          </w:p>
        </w:tc>
        <w:tc>
          <w:tcPr>
            <w:tcW w:w="0" w:type="auto"/>
          </w:tcPr>
          <w:p w14:paraId="4E0DC7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A53C8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includes ethnicity data.  Results of the surveillance programme were shared with staff and reported to the governing body.</w:t>
            </w:r>
          </w:p>
          <w:p w14:paraId="3B1004C6" w14:textId="77777777" w:rsidR="00000000" w:rsidRPr="00BE00C7" w:rsidRDefault="00000000" w:rsidP="00BE00C7">
            <w:pPr>
              <w:pStyle w:val="OutcomeDescription"/>
              <w:spacing w:before="120" w:after="120"/>
              <w:rPr>
                <w:rFonts w:cs="Arial"/>
                <w:lang w:eastAsia="en-NZ"/>
              </w:rPr>
            </w:pPr>
          </w:p>
        </w:tc>
      </w:tr>
      <w:tr w:rsidR="001520C8" w14:paraId="4FBE06DC" w14:textId="77777777">
        <w:tc>
          <w:tcPr>
            <w:tcW w:w="0" w:type="auto"/>
          </w:tcPr>
          <w:p w14:paraId="76B125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4F50D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810F82C" w14:textId="77777777" w:rsidR="00000000" w:rsidRPr="00BE00C7" w:rsidRDefault="00000000" w:rsidP="00BE00C7">
            <w:pPr>
              <w:pStyle w:val="OutcomeDescription"/>
              <w:spacing w:before="120" w:after="120"/>
              <w:rPr>
                <w:rFonts w:cs="Arial"/>
                <w:lang w:eastAsia="en-NZ"/>
              </w:rPr>
            </w:pPr>
          </w:p>
        </w:tc>
        <w:tc>
          <w:tcPr>
            <w:tcW w:w="0" w:type="auto"/>
          </w:tcPr>
          <w:p w14:paraId="4E0D87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0899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interviewed advised that restraint is eliminated whenever possible. The registered nurse confirmed that this is documented in policy (sighted) and communicated to staff during orientation and as part of the ongoing education programme. The registered nurse is the restraint coordinator who provides monthly reporting, and restraint is discussed at the management and staff meetings.</w:t>
            </w:r>
          </w:p>
          <w:p w14:paraId="7D03105D"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was one restraint in use.  Staff reported, and documentation evidenced, that staff have been trained in the least restrictive practice, safe restraint practice, alternative cultural-specific interventions, and de-escalation techniques.</w:t>
            </w:r>
          </w:p>
          <w:p w14:paraId="7997CDC5" w14:textId="77777777" w:rsidR="00000000" w:rsidRPr="00BE00C7" w:rsidRDefault="00000000" w:rsidP="00BE00C7">
            <w:pPr>
              <w:pStyle w:val="OutcomeDescription"/>
              <w:spacing w:before="120" w:after="120"/>
              <w:rPr>
                <w:rFonts w:cs="Arial"/>
                <w:lang w:eastAsia="en-NZ"/>
              </w:rPr>
            </w:pPr>
          </w:p>
        </w:tc>
      </w:tr>
    </w:tbl>
    <w:p w14:paraId="481A0F5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ACB929D" w14:textId="77777777" w:rsidR="00000000" w:rsidRDefault="00000000">
      <w:pPr>
        <w:pStyle w:val="Heading1"/>
        <w:rPr>
          <w:rFonts w:cs="Arial"/>
        </w:rPr>
      </w:pPr>
      <w:r>
        <w:rPr>
          <w:rFonts w:cs="Arial"/>
        </w:rPr>
        <w:lastRenderedPageBreak/>
        <w:t>Specific results for criterion where corrective actions are required</w:t>
      </w:r>
    </w:p>
    <w:p w14:paraId="5EC45D3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E39BC9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8048EA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20C8" w14:paraId="1B569291" w14:textId="77777777">
        <w:tc>
          <w:tcPr>
            <w:tcW w:w="0" w:type="auto"/>
          </w:tcPr>
          <w:p w14:paraId="61E14D1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341952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603AFCA" w14:textId="77777777" w:rsidR="00000000" w:rsidRDefault="00000000">
      <w:pPr>
        <w:pStyle w:val="Heading1"/>
        <w:rPr>
          <w:rFonts w:cs="Arial"/>
        </w:rPr>
      </w:pPr>
      <w:r>
        <w:rPr>
          <w:rFonts w:cs="Arial"/>
        </w:rPr>
        <w:lastRenderedPageBreak/>
        <w:t>Specific results for criterion where a continuous improvement has been recorded</w:t>
      </w:r>
    </w:p>
    <w:p w14:paraId="367BC22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4D54AD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5A4AB5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20C8" w14:paraId="1F78EFD5" w14:textId="77777777">
        <w:tc>
          <w:tcPr>
            <w:tcW w:w="0" w:type="auto"/>
          </w:tcPr>
          <w:p w14:paraId="594DF9E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D957AD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A96A0B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1DA6" w14:textId="77777777" w:rsidR="0003007B" w:rsidRDefault="0003007B">
      <w:r>
        <w:separator/>
      </w:r>
    </w:p>
  </w:endnote>
  <w:endnote w:type="continuationSeparator" w:id="0">
    <w:p w14:paraId="6053147E" w14:textId="77777777" w:rsidR="0003007B" w:rsidRDefault="0003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CCB7" w14:textId="77777777" w:rsidR="00000000" w:rsidRDefault="00000000">
    <w:pPr>
      <w:pStyle w:val="Footer"/>
    </w:pPr>
  </w:p>
  <w:p w14:paraId="21835D74" w14:textId="77777777" w:rsidR="00000000" w:rsidRDefault="00000000"/>
  <w:p w14:paraId="47A4DDD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DA0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Brujen Investment Trust - Kenderdine Park</w:t>
    </w:r>
    <w:bookmarkEnd w:id="59"/>
    <w:r>
      <w:rPr>
        <w:rFonts w:cs="Arial"/>
        <w:sz w:val="16"/>
        <w:szCs w:val="20"/>
      </w:rPr>
      <w:tab/>
      <w:t xml:space="preserve">Date of Audit: </w:t>
    </w:r>
    <w:bookmarkStart w:id="60" w:name="AuditStartDate1"/>
    <w:r>
      <w:rPr>
        <w:rFonts w:cs="Arial"/>
        <w:sz w:val="16"/>
        <w:szCs w:val="20"/>
      </w:rPr>
      <w:t>12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D8FE2A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712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42EA" w14:textId="77777777" w:rsidR="0003007B" w:rsidRDefault="0003007B">
      <w:r>
        <w:separator/>
      </w:r>
    </w:p>
  </w:footnote>
  <w:footnote w:type="continuationSeparator" w:id="0">
    <w:p w14:paraId="3482B254" w14:textId="77777777" w:rsidR="0003007B" w:rsidRDefault="00030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62FE" w14:textId="77777777" w:rsidR="00000000" w:rsidRDefault="00000000">
    <w:pPr>
      <w:pStyle w:val="Header"/>
    </w:pPr>
  </w:p>
  <w:p w14:paraId="2243900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3500" w14:textId="77777777" w:rsidR="00000000" w:rsidRDefault="00000000">
    <w:pPr>
      <w:pStyle w:val="Header"/>
    </w:pPr>
  </w:p>
  <w:p w14:paraId="698F1C2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783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690DD40">
      <w:start w:val="1"/>
      <w:numFmt w:val="decimal"/>
      <w:lvlText w:val="%1."/>
      <w:lvlJc w:val="left"/>
      <w:pPr>
        <w:ind w:left="360" w:hanging="360"/>
      </w:pPr>
    </w:lvl>
    <w:lvl w:ilvl="1" w:tplc="5C2C9EC8" w:tentative="1">
      <w:start w:val="1"/>
      <w:numFmt w:val="lowerLetter"/>
      <w:lvlText w:val="%2."/>
      <w:lvlJc w:val="left"/>
      <w:pPr>
        <w:ind w:left="1080" w:hanging="360"/>
      </w:pPr>
    </w:lvl>
    <w:lvl w:ilvl="2" w:tplc="F4E20C58" w:tentative="1">
      <w:start w:val="1"/>
      <w:numFmt w:val="lowerRoman"/>
      <w:lvlText w:val="%3."/>
      <w:lvlJc w:val="right"/>
      <w:pPr>
        <w:ind w:left="1800" w:hanging="180"/>
      </w:pPr>
    </w:lvl>
    <w:lvl w:ilvl="3" w:tplc="F7AAC5FC" w:tentative="1">
      <w:start w:val="1"/>
      <w:numFmt w:val="decimal"/>
      <w:lvlText w:val="%4."/>
      <w:lvlJc w:val="left"/>
      <w:pPr>
        <w:ind w:left="2520" w:hanging="360"/>
      </w:pPr>
    </w:lvl>
    <w:lvl w:ilvl="4" w:tplc="FC90E962" w:tentative="1">
      <w:start w:val="1"/>
      <w:numFmt w:val="lowerLetter"/>
      <w:lvlText w:val="%5."/>
      <w:lvlJc w:val="left"/>
      <w:pPr>
        <w:ind w:left="3240" w:hanging="360"/>
      </w:pPr>
    </w:lvl>
    <w:lvl w:ilvl="5" w:tplc="031207D6" w:tentative="1">
      <w:start w:val="1"/>
      <w:numFmt w:val="lowerRoman"/>
      <w:lvlText w:val="%6."/>
      <w:lvlJc w:val="right"/>
      <w:pPr>
        <w:ind w:left="3960" w:hanging="180"/>
      </w:pPr>
    </w:lvl>
    <w:lvl w:ilvl="6" w:tplc="FAA64080" w:tentative="1">
      <w:start w:val="1"/>
      <w:numFmt w:val="decimal"/>
      <w:lvlText w:val="%7."/>
      <w:lvlJc w:val="left"/>
      <w:pPr>
        <w:ind w:left="4680" w:hanging="360"/>
      </w:pPr>
    </w:lvl>
    <w:lvl w:ilvl="7" w:tplc="BFD2891A" w:tentative="1">
      <w:start w:val="1"/>
      <w:numFmt w:val="lowerLetter"/>
      <w:lvlText w:val="%8."/>
      <w:lvlJc w:val="left"/>
      <w:pPr>
        <w:ind w:left="5400" w:hanging="360"/>
      </w:pPr>
    </w:lvl>
    <w:lvl w:ilvl="8" w:tplc="314459D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14E1218">
      <w:start w:val="1"/>
      <w:numFmt w:val="bullet"/>
      <w:lvlText w:val=""/>
      <w:lvlJc w:val="left"/>
      <w:pPr>
        <w:ind w:left="720" w:hanging="360"/>
      </w:pPr>
      <w:rPr>
        <w:rFonts w:ascii="Symbol" w:hAnsi="Symbol" w:hint="default"/>
      </w:rPr>
    </w:lvl>
    <w:lvl w:ilvl="1" w:tplc="79901062" w:tentative="1">
      <w:start w:val="1"/>
      <w:numFmt w:val="bullet"/>
      <w:lvlText w:val="o"/>
      <w:lvlJc w:val="left"/>
      <w:pPr>
        <w:ind w:left="1440" w:hanging="360"/>
      </w:pPr>
      <w:rPr>
        <w:rFonts w:ascii="Courier New" w:hAnsi="Courier New" w:cs="Courier New" w:hint="default"/>
      </w:rPr>
    </w:lvl>
    <w:lvl w:ilvl="2" w:tplc="CA6AD53E" w:tentative="1">
      <w:start w:val="1"/>
      <w:numFmt w:val="bullet"/>
      <w:lvlText w:val=""/>
      <w:lvlJc w:val="left"/>
      <w:pPr>
        <w:ind w:left="2160" w:hanging="360"/>
      </w:pPr>
      <w:rPr>
        <w:rFonts w:ascii="Wingdings" w:hAnsi="Wingdings" w:hint="default"/>
      </w:rPr>
    </w:lvl>
    <w:lvl w:ilvl="3" w:tplc="21B6BE38" w:tentative="1">
      <w:start w:val="1"/>
      <w:numFmt w:val="bullet"/>
      <w:lvlText w:val=""/>
      <w:lvlJc w:val="left"/>
      <w:pPr>
        <w:ind w:left="2880" w:hanging="360"/>
      </w:pPr>
      <w:rPr>
        <w:rFonts w:ascii="Symbol" w:hAnsi="Symbol" w:hint="default"/>
      </w:rPr>
    </w:lvl>
    <w:lvl w:ilvl="4" w:tplc="07B60AFE" w:tentative="1">
      <w:start w:val="1"/>
      <w:numFmt w:val="bullet"/>
      <w:lvlText w:val="o"/>
      <w:lvlJc w:val="left"/>
      <w:pPr>
        <w:ind w:left="3600" w:hanging="360"/>
      </w:pPr>
      <w:rPr>
        <w:rFonts w:ascii="Courier New" w:hAnsi="Courier New" w:cs="Courier New" w:hint="default"/>
      </w:rPr>
    </w:lvl>
    <w:lvl w:ilvl="5" w:tplc="1DD6E45C" w:tentative="1">
      <w:start w:val="1"/>
      <w:numFmt w:val="bullet"/>
      <w:lvlText w:val=""/>
      <w:lvlJc w:val="left"/>
      <w:pPr>
        <w:ind w:left="4320" w:hanging="360"/>
      </w:pPr>
      <w:rPr>
        <w:rFonts w:ascii="Wingdings" w:hAnsi="Wingdings" w:hint="default"/>
      </w:rPr>
    </w:lvl>
    <w:lvl w:ilvl="6" w:tplc="383CDD48" w:tentative="1">
      <w:start w:val="1"/>
      <w:numFmt w:val="bullet"/>
      <w:lvlText w:val=""/>
      <w:lvlJc w:val="left"/>
      <w:pPr>
        <w:ind w:left="5040" w:hanging="360"/>
      </w:pPr>
      <w:rPr>
        <w:rFonts w:ascii="Symbol" w:hAnsi="Symbol" w:hint="default"/>
      </w:rPr>
    </w:lvl>
    <w:lvl w:ilvl="7" w:tplc="D7489F90" w:tentative="1">
      <w:start w:val="1"/>
      <w:numFmt w:val="bullet"/>
      <w:lvlText w:val="o"/>
      <w:lvlJc w:val="left"/>
      <w:pPr>
        <w:ind w:left="5760" w:hanging="360"/>
      </w:pPr>
      <w:rPr>
        <w:rFonts w:ascii="Courier New" w:hAnsi="Courier New" w:cs="Courier New" w:hint="default"/>
      </w:rPr>
    </w:lvl>
    <w:lvl w:ilvl="8" w:tplc="F84CFCBC" w:tentative="1">
      <w:start w:val="1"/>
      <w:numFmt w:val="bullet"/>
      <w:lvlText w:val=""/>
      <w:lvlJc w:val="left"/>
      <w:pPr>
        <w:ind w:left="6480" w:hanging="360"/>
      </w:pPr>
      <w:rPr>
        <w:rFonts w:ascii="Wingdings" w:hAnsi="Wingdings" w:hint="default"/>
      </w:rPr>
    </w:lvl>
  </w:abstractNum>
  <w:num w:numId="1" w16cid:durableId="146360694">
    <w:abstractNumId w:val="1"/>
  </w:num>
  <w:num w:numId="2" w16cid:durableId="206622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C8"/>
    <w:rsid w:val="0003007B"/>
    <w:rsid w:val="001520C8"/>
    <w:rsid w:val="003B1982"/>
    <w:rsid w:val="00E81E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2D03"/>
  <w15:docId w15:val="{EDB4DCA1-F814-461D-95B8-0E87A1DD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6155</Words>
  <Characters>35089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2025-04-06T23:07:00Z</dcterms:created>
  <dcterms:modified xsi:type="dcterms:W3CDTF">2025-04-06T23:09:00Z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