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3BE9" w14:textId="77777777" w:rsidR="00000000" w:rsidRDefault="00000000">
      <w:pPr>
        <w:pStyle w:val="Heading1"/>
        <w:rPr>
          <w:rFonts w:cs="Arial"/>
        </w:rPr>
      </w:pPr>
      <w:bookmarkStart w:id="0" w:name="PRMS_RIName"/>
      <w:r>
        <w:rPr>
          <w:rFonts w:cs="Arial"/>
        </w:rPr>
        <w:t>Bupa Care Services NZ Limited - Parkstone Care Home</w:t>
      </w:r>
      <w:bookmarkEnd w:id="0"/>
    </w:p>
    <w:p w14:paraId="4CBB2BC4" w14:textId="77777777" w:rsidR="00000000" w:rsidRDefault="00000000">
      <w:pPr>
        <w:pStyle w:val="Heading2"/>
        <w:spacing w:after="0"/>
        <w:rPr>
          <w:rFonts w:cs="Arial"/>
        </w:rPr>
      </w:pPr>
      <w:r>
        <w:rPr>
          <w:rFonts w:cs="Arial"/>
        </w:rPr>
        <w:t>Introduction</w:t>
      </w:r>
    </w:p>
    <w:p w14:paraId="438ADB0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101EA7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18DD82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A993E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99CC371" w14:textId="77777777" w:rsidR="00000000" w:rsidRDefault="00000000">
      <w:pPr>
        <w:spacing w:before="240" w:after="240"/>
        <w:rPr>
          <w:rFonts w:cs="Arial"/>
          <w:lang w:eastAsia="en-NZ"/>
        </w:rPr>
      </w:pPr>
      <w:r>
        <w:rPr>
          <w:rFonts w:cs="Arial"/>
          <w:lang w:eastAsia="en-NZ"/>
        </w:rPr>
        <w:t>The specifics of this audit included:</w:t>
      </w:r>
    </w:p>
    <w:p w14:paraId="4E028AE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297E3B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2807998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Parkstone Care Home</w:t>
      </w:r>
      <w:bookmarkEnd w:id="5"/>
    </w:p>
    <w:p w14:paraId="4698C2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6D6204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64543D4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recent partial provisional audit verified a configuration of the facility that resulted in a decrease of the overall dual purpose rooms across the facility from 99 (including three couple rooms) to 74 dual purpose rooms including four double rooms (note this increase from three to four double rooms [rooms 4, 23,24 and 71]) and a 21 bed dementia unit. The overall bed numbers decreased from 99 to 95 beds. The dementia unit (peer wing) was not operational at the time of the surveillance audit and the proposed date of use was set for 12 February 2025. </w:t>
      </w:r>
    </w:p>
    <w:p w14:paraId="0EBFBA6B" w14:textId="77777777" w:rsidR="007832B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Ensure the certificate reflects dementia level of care.</w:t>
      </w:r>
    </w:p>
    <w:bookmarkEnd w:id="9"/>
    <w:p w14:paraId="6C5F4461" w14:textId="77777777" w:rsidR="007832B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82</w:t>
      </w:r>
      <w:bookmarkEnd w:id="10"/>
    </w:p>
    <w:p w14:paraId="1DCF2F3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052C25F" w14:textId="77777777" w:rsidR="00000000" w:rsidRDefault="00000000">
      <w:pPr>
        <w:pStyle w:val="Heading1"/>
        <w:rPr>
          <w:rFonts w:cs="Arial"/>
        </w:rPr>
      </w:pPr>
      <w:r>
        <w:rPr>
          <w:rFonts w:cs="Arial"/>
        </w:rPr>
        <w:lastRenderedPageBreak/>
        <w:t>Executive summary of the audit</w:t>
      </w:r>
    </w:p>
    <w:p w14:paraId="71F7803D" w14:textId="77777777" w:rsidR="00000000" w:rsidRDefault="00000000">
      <w:pPr>
        <w:pStyle w:val="Heading2"/>
        <w:rPr>
          <w:rFonts w:cs="Arial"/>
        </w:rPr>
      </w:pPr>
      <w:r>
        <w:rPr>
          <w:rFonts w:cs="Arial"/>
        </w:rPr>
        <w:t>Introduction</w:t>
      </w:r>
    </w:p>
    <w:p w14:paraId="3EFF9A2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CA671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5E2E1A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F6E7E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A2A8F6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DCB8AF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49F73A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23ED6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56B93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32B8" w14:paraId="210A2421" w14:textId="77777777">
        <w:trPr>
          <w:cantSplit/>
          <w:tblHeader/>
        </w:trPr>
        <w:tc>
          <w:tcPr>
            <w:tcW w:w="1260" w:type="dxa"/>
            <w:tcBorders>
              <w:bottom w:val="single" w:sz="4" w:space="0" w:color="000000"/>
            </w:tcBorders>
            <w:vAlign w:val="center"/>
          </w:tcPr>
          <w:p w14:paraId="470C736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B4435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88ED72" w14:textId="77777777" w:rsidR="00000000" w:rsidRDefault="00000000">
            <w:pPr>
              <w:spacing w:before="60" w:after="60"/>
              <w:rPr>
                <w:rFonts w:eastAsia="Calibri"/>
                <w:b/>
                <w:szCs w:val="24"/>
              </w:rPr>
            </w:pPr>
            <w:r>
              <w:rPr>
                <w:rFonts w:eastAsia="Calibri"/>
                <w:b/>
                <w:szCs w:val="24"/>
              </w:rPr>
              <w:t>Definition</w:t>
            </w:r>
          </w:p>
        </w:tc>
      </w:tr>
      <w:tr w:rsidR="007832B8" w14:paraId="087C783D" w14:textId="77777777">
        <w:trPr>
          <w:cantSplit/>
          <w:trHeight w:val="964"/>
        </w:trPr>
        <w:tc>
          <w:tcPr>
            <w:tcW w:w="1260" w:type="dxa"/>
            <w:tcBorders>
              <w:bottom w:val="single" w:sz="4" w:space="0" w:color="000000"/>
            </w:tcBorders>
            <w:shd w:val="clear" w:color="0066FF" w:fill="0000FF"/>
            <w:vAlign w:val="center"/>
          </w:tcPr>
          <w:p w14:paraId="1D18C74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A0C41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490223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832B8" w14:paraId="1BF76705" w14:textId="77777777">
        <w:trPr>
          <w:cantSplit/>
          <w:trHeight w:val="964"/>
        </w:trPr>
        <w:tc>
          <w:tcPr>
            <w:tcW w:w="1260" w:type="dxa"/>
            <w:shd w:val="clear" w:color="33CC33" w:fill="00FF00"/>
            <w:vAlign w:val="center"/>
          </w:tcPr>
          <w:p w14:paraId="2A1D65BF" w14:textId="77777777" w:rsidR="00000000" w:rsidRDefault="00000000">
            <w:pPr>
              <w:spacing w:before="60" w:after="60"/>
              <w:rPr>
                <w:rFonts w:eastAsia="Calibri"/>
                <w:szCs w:val="24"/>
              </w:rPr>
            </w:pPr>
          </w:p>
        </w:tc>
        <w:tc>
          <w:tcPr>
            <w:tcW w:w="7095" w:type="dxa"/>
            <w:shd w:val="clear" w:color="auto" w:fill="auto"/>
            <w:vAlign w:val="center"/>
          </w:tcPr>
          <w:p w14:paraId="44D522F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AAF14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832B8" w14:paraId="1C3E38AC" w14:textId="77777777">
        <w:trPr>
          <w:cantSplit/>
          <w:trHeight w:val="964"/>
        </w:trPr>
        <w:tc>
          <w:tcPr>
            <w:tcW w:w="1260" w:type="dxa"/>
            <w:tcBorders>
              <w:bottom w:val="single" w:sz="4" w:space="0" w:color="000000"/>
            </w:tcBorders>
            <w:shd w:val="clear" w:color="auto" w:fill="FFFF00"/>
            <w:vAlign w:val="center"/>
          </w:tcPr>
          <w:p w14:paraId="7D37FB10" w14:textId="77777777" w:rsidR="00000000" w:rsidRDefault="00000000">
            <w:pPr>
              <w:spacing w:before="60" w:after="60"/>
              <w:rPr>
                <w:rFonts w:eastAsia="Calibri"/>
                <w:szCs w:val="24"/>
              </w:rPr>
            </w:pPr>
          </w:p>
        </w:tc>
        <w:tc>
          <w:tcPr>
            <w:tcW w:w="7095" w:type="dxa"/>
            <w:shd w:val="clear" w:color="auto" w:fill="auto"/>
            <w:vAlign w:val="center"/>
          </w:tcPr>
          <w:p w14:paraId="67A7834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0634AE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832B8" w14:paraId="2DEE76D8" w14:textId="77777777">
        <w:trPr>
          <w:cantSplit/>
          <w:trHeight w:val="964"/>
        </w:trPr>
        <w:tc>
          <w:tcPr>
            <w:tcW w:w="1260" w:type="dxa"/>
            <w:tcBorders>
              <w:bottom w:val="single" w:sz="4" w:space="0" w:color="000000"/>
            </w:tcBorders>
            <w:shd w:val="clear" w:color="auto" w:fill="FFC800"/>
            <w:vAlign w:val="center"/>
          </w:tcPr>
          <w:p w14:paraId="1A10D86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4AD0E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3D979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832B8" w14:paraId="466067F9" w14:textId="77777777">
        <w:trPr>
          <w:cantSplit/>
          <w:trHeight w:val="964"/>
        </w:trPr>
        <w:tc>
          <w:tcPr>
            <w:tcW w:w="1260" w:type="dxa"/>
            <w:shd w:val="clear" w:color="auto" w:fill="FF0000"/>
            <w:vAlign w:val="center"/>
          </w:tcPr>
          <w:p w14:paraId="30520C45" w14:textId="77777777" w:rsidR="00000000" w:rsidRDefault="00000000">
            <w:pPr>
              <w:spacing w:before="60" w:after="60"/>
              <w:rPr>
                <w:rFonts w:eastAsia="Calibri"/>
                <w:szCs w:val="24"/>
              </w:rPr>
            </w:pPr>
          </w:p>
        </w:tc>
        <w:tc>
          <w:tcPr>
            <w:tcW w:w="7095" w:type="dxa"/>
            <w:shd w:val="clear" w:color="auto" w:fill="auto"/>
            <w:vAlign w:val="center"/>
          </w:tcPr>
          <w:p w14:paraId="56AD77B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7D5F68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B8192BF" w14:textId="77777777" w:rsidR="00000000" w:rsidRDefault="00000000">
      <w:pPr>
        <w:pStyle w:val="Heading2"/>
        <w:spacing w:after="0"/>
        <w:rPr>
          <w:rFonts w:cs="Arial"/>
        </w:rPr>
      </w:pPr>
      <w:r>
        <w:rPr>
          <w:rFonts w:cs="Arial"/>
        </w:rPr>
        <w:t>General overview of the audit</w:t>
      </w:r>
    </w:p>
    <w:p w14:paraId="34E79AAE" w14:textId="77777777" w:rsidR="00000000" w:rsidRDefault="00000000">
      <w:pPr>
        <w:spacing w:before="240" w:line="276" w:lineRule="auto"/>
        <w:rPr>
          <w:rFonts w:eastAsia="Calibri"/>
        </w:rPr>
      </w:pPr>
      <w:bookmarkStart w:id="13" w:name="GeneralOverview"/>
      <w:r w:rsidRPr="00A4268A">
        <w:rPr>
          <w:rFonts w:eastAsia="Calibri"/>
        </w:rPr>
        <w:t xml:space="preserve">Parkstone Care Home is certified to provide hospital (geriatric and medical), rest home, residential disability services (physical) services for up to 99 residents. There were 82 residents on the days of audit. </w:t>
      </w:r>
    </w:p>
    <w:p w14:paraId="3425D144" w14:textId="77777777" w:rsidR="007832B8" w:rsidRPr="00A4268A" w:rsidRDefault="00000000">
      <w:pPr>
        <w:spacing w:before="240" w:line="276" w:lineRule="auto"/>
        <w:rPr>
          <w:rFonts w:eastAsia="Calibri"/>
        </w:rPr>
      </w:pPr>
      <w:r w:rsidRPr="00A4268A">
        <w:rPr>
          <w:rFonts w:eastAsia="Calibri"/>
        </w:rPr>
        <w:t xml:space="preserve">This surveillance audit occurred within two weeks of the partial provisional audit to verify the provider`s preparedness to provide dementia level of care. The dementia unit was not yet operational at the time of the surveillance audit. The surveillance audit reflects the current certification levels and bed numbers prior to the partial provisional audit. </w:t>
      </w:r>
    </w:p>
    <w:p w14:paraId="29D9DF31" w14:textId="77777777" w:rsidR="007832B8"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and Ministry of Social Development. The audit process included the review of policies and procedures, the review of resident and staff files, observations, and interviews with residents, family/whānau, management, staff, and a general practitioner. </w:t>
      </w:r>
    </w:p>
    <w:p w14:paraId="26542B33" w14:textId="77777777" w:rsidR="007832B8" w:rsidRPr="00A4268A" w:rsidRDefault="00000000">
      <w:pPr>
        <w:spacing w:before="240" w:line="276" w:lineRule="auto"/>
        <w:rPr>
          <w:rFonts w:eastAsia="Calibri"/>
        </w:rPr>
      </w:pPr>
      <w:r w:rsidRPr="00A4268A">
        <w:rPr>
          <w:rFonts w:eastAsia="Calibri"/>
        </w:rPr>
        <w:t xml:space="preserve">The care home manager is supported by a clinical manager, a unit coordinator, and a team of experienced staff. </w:t>
      </w:r>
    </w:p>
    <w:p w14:paraId="060A198D" w14:textId="77777777" w:rsidR="007832B8"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4C82D76A" w14:textId="77777777" w:rsidR="007832B8" w:rsidRPr="00A4268A" w:rsidRDefault="00000000">
      <w:pPr>
        <w:spacing w:before="240" w:line="276" w:lineRule="auto"/>
        <w:rPr>
          <w:rFonts w:eastAsia="Calibri"/>
        </w:rPr>
      </w:pPr>
      <w:r w:rsidRPr="00A4268A">
        <w:rPr>
          <w:rFonts w:eastAsia="Calibri"/>
        </w:rPr>
        <w:lastRenderedPageBreak/>
        <w:t xml:space="preserve">There were no shortfalls identified at the previous certification and partial provisional audits and no shortfalls were identified at this audit. </w:t>
      </w:r>
    </w:p>
    <w:bookmarkEnd w:id="13"/>
    <w:p w14:paraId="528EE941" w14:textId="77777777" w:rsidR="007832B8" w:rsidRPr="00A4268A" w:rsidRDefault="007832B8">
      <w:pPr>
        <w:spacing w:before="240" w:line="276" w:lineRule="auto"/>
        <w:rPr>
          <w:rFonts w:eastAsia="Calibri"/>
        </w:rPr>
      </w:pPr>
    </w:p>
    <w:p w14:paraId="4F97441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6EA12EBE" w14:textId="77777777" w:rsidTr="00A4268A">
        <w:trPr>
          <w:cantSplit/>
        </w:trPr>
        <w:tc>
          <w:tcPr>
            <w:tcW w:w="10206" w:type="dxa"/>
            <w:vAlign w:val="center"/>
          </w:tcPr>
          <w:p w14:paraId="791C329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CED8C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5FFEA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0B804E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88B0F88"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Parkstone Care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9DFAC72" w14:textId="77777777" w:rsidR="007832B8" w:rsidRPr="00A4268A" w:rsidRDefault="007832B8">
      <w:pPr>
        <w:spacing w:before="240" w:line="276" w:lineRule="auto"/>
        <w:rPr>
          <w:rFonts w:eastAsia="Calibri"/>
        </w:rPr>
      </w:pPr>
    </w:p>
    <w:p w14:paraId="24E77BA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29A24393" w14:textId="77777777" w:rsidTr="00A4268A">
        <w:trPr>
          <w:cantSplit/>
        </w:trPr>
        <w:tc>
          <w:tcPr>
            <w:tcW w:w="10206" w:type="dxa"/>
            <w:vAlign w:val="center"/>
          </w:tcPr>
          <w:p w14:paraId="5F7FF1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A7255F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F58B84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10738B1" w14:textId="77777777" w:rsidR="00000000" w:rsidRDefault="00000000">
      <w:pPr>
        <w:spacing w:before="240" w:line="276" w:lineRule="auto"/>
        <w:rPr>
          <w:rFonts w:eastAsia="Calibri"/>
        </w:rPr>
      </w:pPr>
      <w:bookmarkStart w:id="19" w:name="OrganisationalManagement"/>
      <w:r w:rsidRPr="00A4268A">
        <w:rPr>
          <w:rFonts w:eastAsia="Calibri"/>
        </w:rPr>
        <w:t xml:space="preserve">Parkstone Care Home has a well-established and robust governance structure, including clinical governance that is appropriate to the size and complexity of the service provided. The business plan includes a mission statement and operational objectives which </w:t>
      </w:r>
      <w:r w:rsidRPr="00A4268A">
        <w:rPr>
          <w:rFonts w:eastAsia="Calibri"/>
        </w:rPr>
        <w:lastRenderedPageBreak/>
        <w:t>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1D16B36C" w14:textId="77777777" w:rsidR="007832B8" w:rsidRPr="00A4268A" w:rsidRDefault="007832B8">
      <w:pPr>
        <w:spacing w:before="240" w:line="276" w:lineRule="auto"/>
        <w:rPr>
          <w:rFonts w:eastAsia="Calibri"/>
        </w:rPr>
      </w:pPr>
    </w:p>
    <w:p w14:paraId="0AEDF6E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75EC6739" w14:textId="77777777" w:rsidTr="00A4268A">
        <w:trPr>
          <w:cantSplit/>
        </w:trPr>
        <w:tc>
          <w:tcPr>
            <w:tcW w:w="10206" w:type="dxa"/>
            <w:vAlign w:val="center"/>
          </w:tcPr>
          <w:p w14:paraId="6625A6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D5F378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8E21FD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40FA0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1CC4D65B" w14:textId="77777777" w:rsidR="007832B8"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4660258B" w14:textId="77777777" w:rsidR="007832B8" w:rsidRPr="00A4268A" w:rsidRDefault="00000000" w:rsidP="00621629">
      <w:pPr>
        <w:spacing w:before="240" w:line="276" w:lineRule="auto"/>
        <w:rPr>
          <w:rFonts w:eastAsia="Calibri"/>
        </w:rPr>
      </w:pPr>
      <w:r w:rsidRPr="00A4268A">
        <w:rPr>
          <w:rFonts w:eastAsia="Calibri"/>
        </w:rPr>
        <w:t>All residents’ transfers and referrals occurs in a coordinated manner.</w:t>
      </w:r>
    </w:p>
    <w:bookmarkEnd w:id="22"/>
    <w:p w14:paraId="718D2015" w14:textId="77777777" w:rsidR="007832B8" w:rsidRPr="00A4268A" w:rsidRDefault="007832B8" w:rsidP="00621629">
      <w:pPr>
        <w:spacing w:before="240" w:line="276" w:lineRule="auto"/>
        <w:rPr>
          <w:rFonts w:eastAsia="Calibri"/>
        </w:rPr>
      </w:pPr>
    </w:p>
    <w:p w14:paraId="4E14B69F"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1677BCB0" w14:textId="77777777" w:rsidTr="00A4268A">
        <w:trPr>
          <w:cantSplit/>
        </w:trPr>
        <w:tc>
          <w:tcPr>
            <w:tcW w:w="10206" w:type="dxa"/>
            <w:vAlign w:val="center"/>
          </w:tcPr>
          <w:p w14:paraId="0BAEC84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B472A4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42EE79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A8E7931"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16CC0AB2" w14:textId="77777777" w:rsidR="007832B8" w:rsidRPr="00A4268A" w:rsidRDefault="007832B8">
      <w:pPr>
        <w:spacing w:before="240" w:line="276" w:lineRule="auto"/>
        <w:rPr>
          <w:rFonts w:eastAsia="Calibri"/>
        </w:rPr>
      </w:pPr>
    </w:p>
    <w:p w14:paraId="2CC3037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4F34AEBB" w14:textId="77777777" w:rsidTr="00A4268A">
        <w:trPr>
          <w:cantSplit/>
        </w:trPr>
        <w:tc>
          <w:tcPr>
            <w:tcW w:w="10206" w:type="dxa"/>
            <w:vAlign w:val="center"/>
          </w:tcPr>
          <w:p w14:paraId="5069AE6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55412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B209F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320201D"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727CCCC0" w14:textId="77777777" w:rsidR="007832B8"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38C7E83F" w14:textId="77777777" w:rsidR="007832B8" w:rsidRPr="00A4268A" w:rsidRDefault="007832B8">
      <w:pPr>
        <w:spacing w:before="240" w:line="276" w:lineRule="auto"/>
        <w:rPr>
          <w:rFonts w:eastAsia="Calibri"/>
        </w:rPr>
      </w:pPr>
    </w:p>
    <w:p w14:paraId="68259486"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32B8" w14:paraId="085E1F69" w14:textId="77777777" w:rsidTr="00A4268A">
        <w:trPr>
          <w:cantSplit/>
        </w:trPr>
        <w:tc>
          <w:tcPr>
            <w:tcW w:w="10206" w:type="dxa"/>
            <w:vAlign w:val="center"/>
          </w:tcPr>
          <w:p w14:paraId="04BFB8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A08004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FFEE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DE7A8F5"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and supported by the clinical manager. The facility has one resident using a restraint.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B49801E" w14:textId="77777777" w:rsidR="007832B8" w:rsidRPr="00A4268A" w:rsidRDefault="007832B8">
      <w:pPr>
        <w:spacing w:before="240" w:line="276" w:lineRule="auto"/>
        <w:rPr>
          <w:rFonts w:eastAsia="Calibri"/>
        </w:rPr>
      </w:pPr>
    </w:p>
    <w:p w14:paraId="2DC4D2D2" w14:textId="77777777" w:rsidR="00000000" w:rsidRDefault="00000000" w:rsidP="000E6E02">
      <w:pPr>
        <w:pStyle w:val="Heading2"/>
        <w:spacing w:before="0"/>
        <w:rPr>
          <w:rFonts w:cs="Arial"/>
        </w:rPr>
      </w:pPr>
      <w:r>
        <w:rPr>
          <w:rFonts w:cs="Arial"/>
        </w:rPr>
        <w:t>Summary of attainment</w:t>
      </w:r>
    </w:p>
    <w:p w14:paraId="72D8868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32B8" w14:paraId="3C33101A" w14:textId="77777777">
        <w:tc>
          <w:tcPr>
            <w:tcW w:w="1384" w:type="dxa"/>
            <w:vAlign w:val="center"/>
          </w:tcPr>
          <w:p w14:paraId="77AE94E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935F6B" w14:textId="77777777" w:rsidR="00000000" w:rsidRDefault="00000000">
            <w:pPr>
              <w:keepNext/>
              <w:spacing w:before="60" w:after="60"/>
              <w:jc w:val="center"/>
              <w:rPr>
                <w:rFonts w:cs="Arial"/>
                <w:b/>
                <w:sz w:val="20"/>
                <w:szCs w:val="20"/>
              </w:rPr>
            </w:pPr>
            <w:r>
              <w:rPr>
                <w:rFonts w:cs="Arial"/>
                <w:b/>
                <w:sz w:val="20"/>
                <w:szCs w:val="20"/>
              </w:rPr>
              <w:t>Continuous Improvement</w:t>
            </w:r>
          </w:p>
          <w:p w14:paraId="53C095A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3A7619" w14:textId="77777777" w:rsidR="00000000" w:rsidRDefault="00000000">
            <w:pPr>
              <w:keepNext/>
              <w:spacing w:before="60" w:after="60"/>
              <w:jc w:val="center"/>
              <w:rPr>
                <w:rFonts w:cs="Arial"/>
                <w:b/>
                <w:sz w:val="20"/>
                <w:szCs w:val="20"/>
              </w:rPr>
            </w:pPr>
            <w:r>
              <w:rPr>
                <w:rFonts w:cs="Arial"/>
                <w:b/>
                <w:sz w:val="20"/>
                <w:szCs w:val="20"/>
              </w:rPr>
              <w:t>Fully Attained</w:t>
            </w:r>
          </w:p>
          <w:p w14:paraId="43D160A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27653D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07A4EA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F27E1F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157CC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B60BE4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970776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AA2249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6314E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9254CB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6FCD2E2" w14:textId="77777777" w:rsidR="00000000" w:rsidRDefault="00000000">
            <w:pPr>
              <w:keepNext/>
              <w:spacing w:before="60" w:after="60"/>
              <w:jc w:val="center"/>
              <w:rPr>
                <w:rFonts w:cs="Arial"/>
                <w:b/>
                <w:sz w:val="20"/>
                <w:szCs w:val="20"/>
              </w:rPr>
            </w:pPr>
            <w:r>
              <w:rPr>
                <w:rFonts w:cs="Arial"/>
                <w:b/>
                <w:sz w:val="20"/>
                <w:szCs w:val="20"/>
              </w:rPr>
              <w:t>(PA Critical)</w:t>
            </w:r>
          </w:p>
        </w:tc>
      </w:tr>
      <w:tr w:rsidR="007832B8" w14:paraId="0BE06527" w14:textId="77777777">
        <w:tc>
          <w:tcPr>
            <w:tcW w:w="1384" w:type="dxa"/>
            <w:vAlign w:val="center"/>
          </w:tcPr>
          <w:p w14:paraId="0DFD93C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1B2D6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AAC3A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F1FDC3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44F227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E8E60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3CE3F8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6766D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32B8" w14:paraId="5C66B047" w14:textId="77777777">
        <w:tc>
          <w:tcPr>
            <w:tcW w:w="1384" w:type="dxa"/>
            <w:vAlign w:val="center"/>
          </w:tcPr>
          <w:p w14:paraId="3A953AF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A051A7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D4E1D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1E86E5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DEB24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66A915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155A62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DD3AB7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8573C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32B8" w14:paraId="522A054A" w14:textId="77777777">
        <w:tc>
          <w:tcPr>
            <w:tcW w:w="1384" w:type="dxa"/>
            <w:vAlign w:val="center"/>
          </w:tcPr>
          <w:p w14:paraId="1CB766E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F4261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B66A06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23FA37" w14:textId="77777777" w:rsidR="00000000" w:rsidRDefault="00000000">
            <w:pPr>
              <w:keepNext/>
              <w:spacing w:before="60" w:after="60"/>
              <w:jc w:val="center"/>
              <w:rPr>
                <w:rFonts w:cs="Arial"/>
                <w:b/>
                <w:sz w:val="20"/>
                <w:szCs w:val="20"/>
              </w:rPr>
            </w:pPr>
            <w:r>
              <w:rPr>
                <w:rFonts w:cs="Arial"/>
                <w:b/>
                <w:sz w:val="20"/>
                <w:szCs w:val="20"/>
              </w:rPr>
              <w:t>Unattained Low Risk</w:t>
            </w:r>
          </w:p>
          <w:p w14:paraId="4E42DA4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5BDE9BA" w14:textId="77777777" w:rsidR="00000000" w:rsidRDefault="00000000">
            <w:pPr>
              <w:keepNext/>
              <w:spacing w:before="60" w:after="60"/>
              <w:jc w:val="center"/>
              <w:rPr>
                <w:rFonts w:cs="Arial"/>
                <w:b/>
                <w:sz w:val="20"/>
                <w:szCs w:val="20"/>
              </w:rPr>
            </w:pPr>
            <w:r>
              <w:rPr>
                <w:rFonts w:cs="Arial"/>
                <w:b/>
                <w:sz w:val="20"/>
                <w:szCs w:val="20"/>
              </w:rPr>
              <w:t>Unattained Moderate Risk</w:t>
            </w:r>
          </w:p>
          <w:p w14:paraId="11BC8D6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98902E2" w14:textId="77777777" w:rsidR="00000000" w:rsidRDefault="00000000">
            <w:pPr>
              <w:keepNext/>
              <w:spacing w:before="60" w:after="60"/>
              <w:jc w:val="center"/>
              <w:rPr>
                <w:rFonts w:cs="Arial"/>
                <w:b/>
                <w:sz w:val="20"/>
                <w:szCs w:val="20"/>
              </w:rPr>
            </w:pPr>
            <w:r>
              <w:rPr>
                <w:rFonts w:cs="Arial"/>
                <w:b/>
                <w:sz w:val="20"/>
                <w:szCs w:val="20"/>
              </w:rPr>
              <w:t>Unattained High Risk</w:t>
            </w:r>
          </w:p>
          <w:p w14:paraId="68404B8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59D5E92" w14:textId="77777777" w:rsidR="00000000" w:rsidRDefault="00000000">
            <w:pPr>
              <w:keepNext/>
              <w:spacing w:before="60" w:after="60"/>
              <w:jc w:val="center"/>
              <w:rPr>
                <w:rFonts w:cs="Arial"/>
                <w:b/>
                <w:sz w:val="20"/>
                <w:szCs w:val="20"/>
              </w:rPr>
            </w:pPr>
            <w:r>
              <w:rPr>
                <w:rFonts w:cs="Arial"/>
                <w:b/>
                <w:sz w:val="20"/>
                <w:szCs w:val="20"/>
              </w:rPr>
              <w:t>Unattained Critical Risk</w:t>
            </w:r>
          </w:p>
          <w:p w14:paraId="0141BE31" w14:textId="77777777" w:rsidR="00000000" w:rsidRDefault="00000000">
            <w:pPr>
              <w:keepNext/>
              <w:spacing w:before="60" w:after="60"/>
              <w:jc w:val="center"/>
              <w:rPr>
                <w:rFonts w:cs="Arial"/>
                <w:b/>
                <w:sz w:val="20"/>
                <w:szCs w:val="20"/>
              </w:rPr>
            </w:pPr>
            <w:r>
              <w:rPr>
                <w:rFonts w:cs="Arial"/>
                <w:b/>
                <w:sz w:val="20"/>
                <w:szCs w:val="20"/>
              </w:rPr>
              <w:t>(UA Critical)</w:t>
            </w:r>
          </w:p>
        </w:tc>
      </w:tr>
      <w:tr w:rsidR="007832B8" w14:paraId="708A6A37" w14:textId="77777777">
        <w:tc>
          <w:tcPr>
            <w:tcW w:w="1384" w:type="dxa"/>
            <w:vAlign w:val="center"/>
          </w:tcPr>
          <w:p w14:paraId="3119B72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294659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09B5C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8EA8E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F235B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70406E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32B8" w14:paraId="7EB03925" w14:textId="77777777">
        <w:tc>
          <w:tcPr>
            <w:tcW w:w="1384" w:type="dxa"/>
            <w:vAlign w:val="center"/>
          </w:tcPr>
          <w:p w14:paraId="0919C22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C39597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29C5C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9643A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AF4DF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4DE75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98D4EC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D13A34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6B87C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43A9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1372"/>
        <w:gridCol w:w="6822"/>
      </w:tblGrid>
      <w:tr w:rsidR="007832B8" w14:paraId="7B8E9A05" w14:textId="77777777">
        <w:tc>
          <w:tcPr>
            <w:tcW w:w="0" w:type="auto"/>
          </w:tcPr>
          <w:p w14:paraId="03DD359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85CA9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D806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832B8" w14:paraId="44CEB8B3" w14:textId="77777777">
        <w:tc>
          <w:tcPr>
            <w:tcW w:w="0" w:type="auto"/>
          </w:tcPr>
          <w:p w14:paraId="28B7AF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9D93FB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E6DA72C" w14:textId="77777777" w:rsidR="00000000" w:rsidRPr="00BE00C7" w:rsidRDefault="00000000" w:rsidP="00BE00C7">
            <w:pPr>
              <w:pStyle w:val="OutcomeDescription"/>
              <w:spacing w:before="120" w:after="120"/>
              <w:rPr>
                <w:rFonts w:cs="Arial"/>
                <w:lang w:eastAsia="en-NZ"/>
              </w:rPr>
            </w:pPr>
          </w:p>
        </w:tc>
        <w:tc>
          <w:tcPr>
            <w:tcW w:w="0" w:type="auto"/>
          </w:tcPr>
          <w:p w14:paraId="1FB301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3E0C2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Parkstone Care Home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w:t>
            </w:r>
          </w:p>
          <w:p w14:paraId="3465E9FF" w14:textId="77777777" w:rsidR="00000000" w:rsidRPr="00BE00C7" w:rsidRDefault="00000000" w:rsidP="00BE00C7">
            <w:pPr>
              <w:pStyle w:val="OutcomeDescription"/>
              <w:spacing w:before="120" w:after="120"/>
              <w:rPr>
                <w:rFonts w:cs="Arial"/>
                <w:lang w:eastAsia="en-NZ"/>
              </w:rPr>
            </w:pPr>
          </w:p>
        </w:tc>
      </w:tr>
      <w:tr w:rsidR="007832B8" w14:paraId="2B8AA1FB" w14:textId="77777777">
        <w:tc>
          <w:tcPr>
            <w:tcW w:w="0" w:type="auto"/>
          </w:tcPr>
          <w:p w14:paraId="499075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5F5E4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5D8FB5" w14:textId="77777777" w:rsidR="00000000" w:rsidRPr="00BE00C7" w:rsidRDefault="00000000" w:rsidP="00BE00C7">
            <w:pPr>
              <w:pStyle w:val="OutcomeDescription"/>
              <w:spacing w:before="120" w:after="120"/>
              <w:rPr>
                <w:rFonts w:cs="Arial"/>
                <w:lang w:eastAsia="en-NZ"/>
              </w:rPr>
            </w:pPr>
          </w:p>
        </w:tc>
        <w:tc>
          <w:tcPr>
            <w:tcW w:w="0" w:type="auto"/>
          </w:tcPr>
          <w:p w14:paraId="715EBA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18CB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no residents who identified as Pasifika. There were Pacific staff who could confirm that cultural safety for Pacific peoples, their worldviews, cultural, and spiritual beliefs are embraced at Parkstone Care Home.</w:t>
            </w:r>
          </w:p>
          <w:p w14:paraId="045427E1" w14:textId="77777777" w:rsidR="00000000" w:rsidRPr="00BE00C7" w:rsidRDefault="00000000" w:rsidP="00BE00C7">
            <w:pPr>
              <w:pStyle w:val="OutcomeDescription"/>
              <w:spacing w:before="120" w:after="120"/>
              <w:rPr>
                <w:rFonts w:cs="Arial"/>
                <w:lang w:eastAsia="en-NZ"/>
              </w:rPr>
            </w:pPr>
          </w:p>
        </w:tc>
      </w:tr>
      <w:tr w:rsidR="007832B8" w14:paraId="26E5681A" w14:textId="77777777">
        <w:tc>
          <w:tcPr>
            <w:tcW w:w="0" w:type="auto"/>
          </w:tcPr>
          <w:p w14:paraId="0074D9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DC30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E5F5282" w14:textId="77777777" w:rsidR="00000000" w:rsidRPr="00BE00C7" w:rsidRDefault="00000000" w:rsidP="00BE00C7">
            <w:pPr>
              <w:pStyle w:val="OutcomeDescription"/>
              <w:spacing w:before="120" w:after="120"/>
              <w:rPr>
                <w:rFonts w:cs="Arial"/>
                <w:lang w:eastAsia="en-NZ"/>
              </w:rPr>
            </w:pPr>
          </w:p>
        </w:tc>
        <w:tc>
          <w:tcPr>
            <w:tcW w:w="0" w:type="auto"/>
          </w:tcPr>
          <w:p w14:paraId="09ED33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CBA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care home manager and clinical manager interviewed, demonstrated how it is also provided in welcome packs in the language most appropriate for the resident, to ensure they are fully informed of their rights. Interviews with four family/whānau (two hospital and two rest home), and eight residents (one hospital level, three younger residents with a disability [YPD] and four rest home level) confirmed they are informed of their rights and their choices are respected.</w:t>
            </w:r>
          </w:p>
          <w:p w14:paraId="7FEC4A25" w14:textId="77777777" w:rsidR="00000000" w:rsidRPr="00BE00C7" w:rsidRDefault="00000000" w:rsidP="00BE00C7">
            <w:pPr>
              <w:pStyle w:val="OutcomeDescription"/>
              <w:spacing w:before="120" w:after="120"/>
              <w:rPr>
                <w:rFonts w:cs="Arial"/>
                <w:lang w:eastAsia="en-NZ"/>
              </w:rPr>
            </w:pPr>
          </w:p>
        </w:tc>
      </w:tr>
      <w:tr w:rsidR="007832B8" w14:paraId="3C31AE91" w14:textId="77777777">
        <w:tc>
          <w:tcPr>
            <w:tcW w:w="0" w:type="auto"/>
          </w:tcPr>
          <w:p w14:paraId="49D76E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8ADB8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B8782B5" w14:textId="77777777" w:rsidR="00000000" w:rsidRPr="00BE00C7" w:rsidRDefault="00000000" w:rsidP="00BE00C7">
            <w:pPr>
              <w:pStyle w:val="OutcomeDescription"/>
              <w:spacing w:before="120" w:after="120"/>
              <w:rPr>
                <w:rFonts w:cs="Arial"/>
                <w:lang w:eastAsia="en-NZ"/>
              </w:rPr>
            </w:pPr>
          </w:p>
        </w:tc>
        <w:tc>
          <w:tcPr>
            <w:tcW w:w="0" w:type="auto"/>
          </w:tcPr>
          <w:p w14:paraId="48AE44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7F2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Parkstone Care Home are trained in and aware of professional boundaries, as evidenced in orientation documents and ongoing education records. Fourteen staff were interviewed; seven caregivers, three registered nurses (RN) including one unit coordinator, one support services coordinator, one kitchen manager, one maintenance person and one physio assistant) and management (one care home manager and one clinical manager) demonstrated an understanding of professional boundaries when interviewed.</w:t>
            </w:r>
          </w:p>
          <w:p w14:paraId="08764495" w14:textId="77777777" w:rsidR="00000000" w:rsidRPr="00BE00C7" w:rsidRDefault="00000000" w:rsidP="00BE00C7">
            <w:pPr>
              <w:pStyle w:val="OutcomeDescription"/>
              <w:spacing w:before="120" w:after="120"/>
              <w:rPr>
                <w:rFonts w:cs="Arial"/>
                <w:lang w:eastAsia="en-NZ"/>
              </w:rPr>
            </w:pPr>
          </w:p>
        </w:tc>
      </w:tr>
      <w:tr w:rsidR="007832B8" w14:paraId="3EC1DD80" w14:textId="77777777">
        <w:tc>
          <w:tcPr>
            <w:tcW w:w="0" w:type="auto"/>
          </w:tcPr>
          <w:p w14:paraId="5902D1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C2B4F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04997A5A" w14:textId="77777777" w:rsidR="00000000" w:rsidRPr="00BE00C7" w:rsidRDefault="00000000" w:rsidP="00BE00C7">
            <w:pPr>
              <w:pStyle w:val="OutcomeDescription"/>
              <w:spacing w:before="120" w:after="120"/>
              <w:rPr>
                <w:rFonts w:cs="Arial"/>
                <w:lang w:eastAsia="en-NZ"/>
              </w:rPr>
            </w:pPr>
          </w:p>
        </w:tc>
        <w:tc>
          <w:tcPr>
            <w:tcW w:w="0" w:type="auto"/>
          </w:tcPr>
          <w:p w14:paraId="0EF773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04F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4888AF82" w14:textId="77777777" w:rsidR="00000000" w:rsidRPr="00BE00C7" w:rsidRDefault="00000000" w:rsidP="00BE00C7">
            <w:pPr>
              <w:pStyle w:val="OutcomeDescription"/>
              <w:spacing w:before="120" w:after="120"/>
              <w:rPr>
                <w:rFonts w:cs="Arial"/>
                <w:lang w:eastAsia="en-NZ"/>
              </w:rPr>
            </w:pPr>
          </w:p>
        </w:tc>
      </w:tr>
      <w:tr w:rsidR="007832B8" w14:paraId="4C266CA5" w14:textId="77777777">
        <w:tc>
          <w:tcPr>
            <w:tcW w:w="0" w:type="auto"/>
          </w:tcPr>
          <w:p w14:paraId="2E5B58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14EFC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E3EDF57" w14:textId="77777777" w:rsidR="00000000" w:rsidRPr="00BE00C7" w:rsidRDefault="00000000" w:rsidP="00BE00C7">
            <w:pPr>
              <w:pStyle w:val="OutcomeDescription"/>
              <w:spacing w:before="120" w:after="120"/>
              <w:rPr>
                <w:rFonts w:cs="Arial"/>
                <w:lang w:eastAsia="en-NZ"/>
              </w:rPr>
            </w:pPr>
          </w:p>
        </w:tc>
        <w:tc>
          <w:tcPr>
            <w:tcW w:w="0" w:type="auto"/>
          </w:tcPr>
          <w:p w14:paraId="5D0AFC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877A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 have been four complaints made in 2024 and none received in 2025 year to date following the previous audit in July 2023. There were no trends identified. There was one external complaint which was initiated through Health and Disability Commissioner (HDC). The provider received a letter from HDC in February 2024, informing them to follow up directly with the complainant. This was confirmed in discussion with the consumer engagement and feedback resolution lead from Bupa head office. </w:t>
            </w:r>
          </w:p>
          <w:p w14:paraId="2D6F7858"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HDC. All complaints are visible to the complaints team at Bupa head office that support the care home managers in the management of complaints. Residents or family/whānau making a complaint can involve an independent support person in the process if they choose. The complaints process is linked to advocacy services. Discussions with residents and family/whanau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home manager acknowledged their understanding that for Māori, there is a preference for face-to-face communication and to include family/whānau participation.</w:t>
            </w:r>
          </w:p>
          <w:p w14:paraId="286880EB" w14:textId="77777777" w:rsidR="00000000" w:rsidRPr="00BE00C7" w:rsidRDefault="00000000" w:rsidP="00BE00C7">
            <w:pPr>
              <w:pStyle w:val="OutcomeDescription"/>
              <w:spacing w:before="120" w:after="120"/>
              <w:rPr>
                <w:rFonts w:cs="Arial"/>
                <w:lang w:eastAsia="en-NZ"/>
              </w:rPr>
            </w:pPr>
          </w:p>
        </w:tc>
      </w:tr>
      <w:tr w:rsidR="007832B8" w14:paraId="66DC52AE" w14:textId="77777777">
        <w:tc>
          <w:tcPr>
            <w:tcW w:w="0" w:type="auto"/>
          </w:tcPr>
          <w:p w14:paraId="7922D5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86193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2695EC7" w14:textId="77777777" w:rsidR="00000000" w:rsidRPr="00BE00C7" w:rsidRDefault="00000000" w:rsidP="00BE00C7">
            <w:pPr>
              <w:pStyle w:val="OutcomeDescription"/>
              <w:spacing w:before="120" w:after="120"/>
              <w:rPr>
                <w:rFonts w:cs="Arial"/>
                <w:lang w:eastAsia="en-NZ"/>
              </w:rPr>
            </w:pPr>
          </w:p>
        </w:tc>
        <w:tc>
          <w:tcPr>
            <w:tcW w:w="0" w:type="auto"/>
          </w:tcPr>
          <w:p w14:paraId="7F65E9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BEE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Parkstone Care Home is part of the Bupa group of aged care facilities. This surveillance audit followed within two weeks of a partial provisional audit to verify the provider`s preparedness to provide dementia level of care and other reconfigurations completed. The dementia unit was not yet operational at the time of the surveillance audit. </w:t>
            </w:r>
          </w:p>
          <w:p w14:paraId="4E5F1B6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recent partial provisional audit verified a configuration of the facility that resulted in a decrease of the overall dual purpose rooms across the facility from 99 (including three couple rooms) to 74 dual purpose rooms including four double rooms (note this increase from three to four double rooms [rooms 4, 23,24 and 71]) and a 21 bed dementia unit. The overall bed numbers decreased from 99 to 95 beds. The dementia unit (peer wing) was not operational at the time of the surveillance audit and the proposed date of use was set for 12 February 2025. In the four double rooms there were three married couples and one room was singly occupied.</w:t>
            </w:r>
          </w:p>
          <w:p w14:paraId="31ABD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currently certified for rest home, hospital (geriatric and medical) and residential disability level care (physical). All the dual purpose rooms are designed to support younger people with a disability (YPD). On the day of the audit there were 82 residents in total: 33 rest home residents (including two residents on long term support-chronic health condition (LTS-CHC) contracts. There were 49 hospital level residents including one resident on respite care was on hospital extended aftercare, one resident was funded by Accident Compensation Corporation (ACC) and two residents were on end of life (EOL) contracts. There were seven residents on a younger person with a disability (YPD) contract (one was on respite care). </w:t>
            </w:r>
          </w:p>
          <w:p w14:paraId="282E4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support improvement (CSI) team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Māori Health Strategy was developed in partnership with a Māori health consultant. The strategy aligns with the vision of Manatū Hauora (Ministry of Health) for Pae ora (Healthy futures for Māori), which is underpinned by the principles of Te </w:t>
            </w:r>
            <w:r w:rsidRPr="00BE00C7">
              <w:rPr>
                <w:rFonts w:cs="Arial"/>
                <w:lang w:eastAsia="en-NZ"/>
              </w:rPr>
              <w:lastRenderedPageBreak/>
              <w:t xml:space="preserve">Tiriti o Waitangi for the health and disability system. </w:t>
            </w:r>
          </w:p>
          <w:p w14:paraId="12609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Parkstone Care Home have been determined, which link to the overarching Bupa strategic plan. Goals are regularly reviewed in each quarterly quality meeting. Bupa has a clinical governance committee (CGC), risk and governance committee (RGC), a learning and development governance committee and a work health safety governance committee where analysis and reporting of relevant clinical and quality indicators is discussed in order to improve. </w:t>
            </w:r>
          </w:p>
          <w:p w14:paraId="1E29F5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has been in the role for eight years and worked for Bupa for 19 years. The care home manager is supported by a clinical manager, who has been in the role for seven years and worked for Bupa for 13 years. The care home manager and clinical manager are supported by a general manager and wider Bupa management team, which includes a regional operations manager and quality partner. The care home manager has completed the required eight hours of training related to managing an aged care facility.</w:t>
            </w:r>
          </w:p>
          <w:p w14:paraId="4AB39808" w14:textId="77777777" w:rsidR="00000000" w:rsidRPr="00BE00C7" w:rsidRDefault="00000000" w:rsidP="00BE00C7">
            <w:pPr>
              <w:pStyle w:val="OutcomeDescription"/>
              <w:spacing w:before="120" w:after="120"/>
              <w:rPr>
                <w:rFonts w:cs="Arial"/>
                <w:lang w:eastAsia="en-NZ"/>
              </w:rPr>
            </w:pPr>
          </w:p>
        </w:tc>
      </w:tr>
      <w:tr w:rsidR="007832B8" w14:paraId="4059B83A" w14:textId="77777777">
        <w:tc>
          <w:tcPr>
            <w:tcW w:w="0" w:type="auto"/>
          </w:tcPr>
          <w:p w14:paraId="2D5CCD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3179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710F110B" w14:textId="77777777" w:rsidR="00000000" w:rsidRPr="00BE00C7" w:rsidRDefault="00000000" w:rsidP="00BE00C7">
            <w:pPr>
              <w:pStyle w:val="OutcomeDescription"/>
              <w:spacing w:before="120" w:after="120"/>
              <w:rPr>
                <w:rFonts w:cs="Arial"/>
                <w:lang w:eastAsia="en-NZ"/>
              </w:rPr>
            </w:pPr>
          </w:p>
        </w:tc>
        <w:tc>
          <w:tcPr>
            <w:tcW w:w="0" w:type="auto"/>
          </w:tcPr>
          <w:p w14:paraId="6A0DC2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E27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Parkstone Care Home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were documented as taking place with corrective actions documented where indicated to address service improvements and evidence of progress and sign off when achieved. Quality, health and safety goals and progress towards attainment are discussed at quality and general staff meetings. </w:t>
            </w:r>
            <w:r w:rsidRPr="00BE00C7">
              <w:rPr>
                <w:rFonts w:cs="Arial"/>
                <w:lang w:eastAsia="en-NZ"/>
              </w:rPr>
              <w:lastRenderedPageBreak/>
              <w:t xml:space="preserve">Quality data and trends are added to meeting minutes and held in folders in the staffroom. </w:t>
            </w:r>
          </w:p>
          <w:p w14:paraId="07826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at quality meetings to ensure any outstanding matters are addressed with sign off when completed. Quality improvement projects include minimising the incidence of pressure injuries, resident falls and a food uplift programme to improve the dining experience. Benchmarking occurs on a national level against other Bupa facilities. Resident and family/whānau satisfaction surveys are managed by head office. The most recent resident and family/whānau satisfaction survey (November 2024) had been correlated and analysed at head office and indicate that residents have reported high levels of satisfaction in most areas of the service provided. Corrective actions were implemented related to the food service. Results have been communicated to residents in the four monthly resident and family/whānau meetings and on the noticeboard at the main entrance. </w:t>
            </w:r>
          </w:p>
          <w:p w14:paraId="3162CFAA"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Staff are kept informed on health and safety issues in handovers, meetings and via toolbox talks. Electronic entries are completed for each incident/accident, and immediate action is documented with any follow-up action(s) required, evidenced in a sample of twelve accident/incident records reviewed. This included timely notification to the residents’ next of kin or primary contact. Incident and accident data is collated monthly and analysed. A report goes to each operational team/governance team and generates alerts depending on the risk level. Results are discussed in the quality and general staff meetings and at handover. Each event involving a resident reflected a clinical assessment and a timely follow up by an RN.</w:t>
            </w:r>
          </w:p>
          <w:p w14:paraId="36C56F2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home manager and clinical manager evidenced awareness of their requirement to notify relevant authorities in relation to essential notifications. There have been Section 31 notifications completed since the last audit in July 2023 to notify HealthCERT of pressure injuries, a medication error and two missing residents with police involvement. Seven resident falls resulting in fractures and one unstageable pressure injury all were notified to the Health Safety and Quality Commission. There have been seven outbreaks since the previous audit. All have been appropriately notified to Health New Zealand and Public Health.</w:t>
            </w:r>
          </w:p>
          <w:p w14:paraId="4F45B5BB" w14:textId="77777777" w:rsidR="00000000" w:rsidRPr="00BE00C7" w:rsidRDefault="00000000" w:rsidP="00BE00C7">
            <w:pPr>
              <w:pStyle w:val="OutcomeDescription"/>
              <w:spacing w:before="120" w:after="120"/>
              <w:rPr>
                <w:rFonts w:cs="Arial"/>
                <w:lang w:eastAsia="en-NZ"/>
              </w:rPr>
            </w:pPr>
          </w:p>
        </w:tc>
      </w:tr>
      <w:tr w:rsidR="007832B8" w14:paraId="3C166629" w14:textId="77777777">
        <w:tc>
          <w:tcPr>
            <w:tcW w:w="0" w:type="auto"/>
          </w:tcPr>
          <w:p w14:paraId="4CFD5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B76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1081EEE" w14:textId="77777777" w:rsidR="00000000" w:rsidRPr="00BE00C7" w:rsidRDefault="00000000" w:rsidP="00BE00C7">
            <w:pPr>
              <w:pStyle w:val="OutcomeDescription"/>
              <w:spacing w:before="120" w:after="120"/>
              <w:rPr>
                <w:rFonts w:cs="Arial"/>
                <w:lang w:eastAsia="en-NZ"/>
              </w:rPr>
            </w:pPr>
          </w:p>
        </w:tc>
        <w:tc>
          <w:tcPr>
            <w:tcW w:w="0" w:type="auto"/>
          </w:tcPr>
          <w:p w14:paraId="5F978C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302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care home manager, clinical manager and the two unit-coordinators are available full time from Monday to Friday. On-call cover for all Bupa facilities in the South Island region is covered by an eight-week rotation of one care home manager and one clinical manager each week. The RNs, activities staff and a selection of caregivers hold current first aid certificates. There is a first aid trained staff member on duty 24/7. Staff and residents are informed when there are changes to staffing levels, evidenced in staff interviews. </w:t>
            </w:r>
          </w:p>
          <w:p w14:paraId="12718B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is being implemented for 2025. The education and training schedule lists compulsory training, which includes Māori health, tikanga, and Te Tiriti O Waitangi. Cultural awareness training is part of orientation and provided annually to all staff. External training opportunities for care staff include training through Health New Zealand and hospice. Caregivers are encouraged to attain Careerforce New Zealand Qualifications Authority training (NZQA) levels in Health and Wellbeing; 54 of 64 caregivers have attained a level 2 NZQA qualification or higher. Impromptu toolbox talks have been completed on topics including (but not limited to) skin tear/bruising, Covid-19/outbreak management, nutrition and weight management, pressure injury and falls prevention, and resident behavioural concerns. Clinical topics include medical conditions specific to the YPD residents. </w:t>
            </w:r>
          </w:p>
          <w:p w14:paraId="2911E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All RNs are encouraged to attend the Bupa qualified staff forum each year and to commence and complete a professional development recognition programme (PDRP). A record of completion is maintained on an electronic register. Annual competencies include (but are not limited to) hand hygiene, moving and handling, and correct use of personal protective equipment. Caregivers who have completed NZQA level 4 undertake many of the same competencies as the RN staff (eg, medication administration, controlled drug administration, nebuliser, blood sugar levels and insulin administration, oxygen administration, and wound management). Additional RN specific competencies include syringe driver, and interRAI assessment competency. There are 14 RNs in total including the unit coordinators with </w:t>
            </w:r>
            <w:r w:rsidRPr="00BE00C7">
              <w:rPr>
                <w:rFonts w:cs="Arial"/>
                <w:lang w:eastAsia="en-NZ"/>
              </w:rPr>
              <w:lastRenderedPageBreak/>
              <w:t>13 being interRAI trained.</w:t>
            </w:r>
          </w:p>
          <w:p w14:paraId="2E7AE7AB" w14:textId="77777777" w:rsidR="00000000" w:rsidRPr="00BE00C7" w:rsidRDefault="00000000" w:rsidP="00BE00C7">
            <w:pPr>
              <w:pStyle w:val="OutcomeDescription"/>
              <w:spacing w:before="120" w:after="120"/>
              <w:rPr>
                <w:rFonts w:cs="Arial"/>
                <w:lang w:eastAsia="en-NZ"/>
              </w:rPr>
            </w:pPr>
          </w:p>
        </w:tc>
      </w:tr>
      <w:tr w:rsidR="007832B8" w14:paraId="09F0801B" w14:textId="77777777">
        <w:tc>
          <w:tcPr>
            <w:tcW w:w="0" w:type="auto"/>
          </w:tcPr>
          <w:p w14:paraId="425A00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1E40E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0467A5" w14:textId="77777777" w:rsidR="00000000" w:rsidRPr="00BE00C7" w:rsidRDefault="00000000" w:rsidP="00BE00C7">
            <w:pPr>
              <w:pStyle w:val="OutcomeDescription"/>
              <w:spacing w:before="120" w:after="120"/>
              <w:rPr>
                <w:rFonts w:cs="Arial"/>
                <w:lang w:eastAsia="en-NZ"/>
              </w:rPr>
            </w:pPr>
          </w:p>
        </w:tc>
        <w:tc>
          <w:tcPr>
            <w:tcW w:w="0" w:type="auto"/>
          </w:tcPr>
          <w:p w14:paraId="45092B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D443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staff files (one clinical manager, one unit coordinator, one RN, four caregivers and one diversional therapist)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6927A6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312F983F" w14:textId="77777777" w:rsidR="00000000" w:rsidRPr="00BE00C7" w:rsidRDefault="00000000" w:rsidP="00BE00C7">
            <w:pPr>
              <w:pStyle w:val="OutcomeDescription"/>
              <w:spacing w:before="120" w:after="120"/>
              <w:rPr>
                <w:rFonts w:cs="Arial"/>
                <w:lang w:eastAsia="en-NZ"/>
              </w:rPr>
            </w:pPr>
          </w:p>
        </w:tc>
      </w:tr>
      <w:tr w:rsidR="007832B8" w14:paraId="67FDD978" w14:textId="77777777">
        <w:tc>
          <w:tcPr>
            <w:tcW w:w="0" w:type="auto"/>
          </w:tcPr>
          <w:p w14:paraId="6A6F4F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B5408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E02222" w14:textId="77777777" w:rsidR="00000000" w:rsidRPr="00BE00C7" w:rsidRDefault="00000000" w:rsidP="00BE00C7">
            <w:pPr>
              <w:pStyle w:val="OutcomeDescription"/>
              <w:spacing w:before="120" w:after="120"/>
              <w:rPr>
                <w:rFonts w:cs="Arial"/>
                <w:lang w:eastAsia="en-NZ"/>
              </w:rPr>
            </w:pPr>
          </w:p>
        </w:tc>
        <w:tc>
          <w:tcPr>
            <w:tcW w:w="0" w:type="auto"/>
          </w:tcPr>
          <w:p w14:paraId="3E8A6C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766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three hospital (including one YPD respite, one resident was funded ACC and EOL) and three rest home (one LTS-CHC) resident file. The registered nurses (RN) are responsible for all residents’ assessments, care planning and evaluation of care. Care plans are based on data collected during the initial nursing assessments and information from pre-entry assessments. </w:t>
            </w:r>
          </w:p>
          <w:p w14:paraId="5D52A7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One respite (YPD) resident had a short stay nursing assessment and care plan completed within 24hours. The individualised long-term care plans (LTCPs) are developed with information gathered during the initial assessments and the interRAI assessment. All LTCP and interRAI assessments (including LTS-CHC) sampled had been completed within three weeks of the residents’ admission to the facility. Documented interventions and early warning signs meet all of the residents’ assessed physical, medical, social and cultural needs. </w:t>
            </w:r>
          </w:p>
          <w:p w14:paraId="46DDA8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w:t>
            </w:r>
            <w:r w:rsidRPr="00BE00C7">
              <w:rPr>
                <w:rFonts w:cs="Arial"/>
                <w:lang w:eastAsia="en-NZ"/>
              </w:rPr>
              <w:lastRenderedPageBreak/>
              <w:t xml:space="preserve">assessments is used to develop the resident’s individual activity care plan. </w:t>
            </w:r>
          </w:p>
          <w:p w14:paraId="4090807A"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029DA4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74CA4B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had care plans to manager any cognitive deficits with associated risks and supports needed and includes strategies for stress and distress managing/diversion of behaviours. The long-term care plan includes close to normal routine of the resident’s usual pattern of behaviour and behaviour management strategies to assist caregivers in management of the resident behaviours. </w:t>
            </w:r>
          </w:p>
          <w:p w14:paraId="0FCF08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two GPs who visits regularly during the week and as required. Medical documentation and records reviewed were current. The GP interviewed stated that there was good communication with the service and that they were informed of concerns in a timely manner. The contracted GPs are also available on call after hours for the facility. A physiotherapist (interviewed) visits the facility once a week and on request, to review residents referred by the registered nurses. There is a physiotherapist assistant (interviewed) available for resident reviews daily during the week. There is access to a continence specialist as required. A podiatrist visits regularly and a dietitian, speech language therapist, hospice and medical specialists are available as required through Health New </w:t>
            </w:r>
            <w:r w:rsidRPr="00BE00C7">
              <w:rPr>
                <w:rFonts w:cs="Arial"/>
                <w:lang w:eastAsia="en-NZ"/>
              </w:rPr>
              <w:lastRenderedPageBreak/>
              <w:t xml:space="preserve">Zealand. </w:t>
            </w:r>
          </w:p>
          <w:p w14:paraId="1477CCB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wound nurse specialist (Nurse Maude) was consulted. At the time of the audit there were 14 active wounds, including one unstageable pressure injury (heel) and one stage three on the toe. Appropriate notifications were sighted.</w:t>
            </w:r>
          </w:p>
          <w:p w14:paraId="6BF434E8" w14:textId="5E1E4B75"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stress and distress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129E8FC3" w14:textId="77777777" w:rsidR="00000000" w:rsidRPr="00BE00C7" w:rsidRDefault="00000000" w:rsidP="00BE00C7">
            <w:pPr>
              <w:pStyle w:val="OutcomeDescription"/>
              <w:spacing w:before="120" w:after="120"/>
              <w:rPr>
                <w:rFonts w:cs="Arial"/>
                <w:lang w:eastAsia="en-NZ"/>
              </w:rPr>
            </w:pPr>
          </w:p>
        </w:tc>
      </w:tr>
      <w:tr w:rsidR="007832B8" w14:paraId="5B7C35BA" w14:textId="77777777">
        <w:tc>
          <w:tcPr>
            <w:tcW w:w="0" w:type="auto"/>
          </w:tcPr>
          <w:p w14:paraId="108CC2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3026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F1C705F" w14:textId="77777777" w:rsidR="00000000" w:rsidRPr="00BE00C7" w:rsidRDefault="00000000" w:rsidP="00BE00C7">
            <w:pPr>
              <w:pStyle w:val="OutcomeDescription"/>
              <w:spacing w:before="120" w:after="120"/>
              <w:rPr>
                <w:rFonts w:cs="Arial"/>
                <w:lang w:eastAsia="en-NZ"/>
              </w:rPr>
            </w:pPr>
          </w:p>
        </w:tc>
        <w:tc>
          <w:tcPr>
            <w:tcW w:w="0" w:type="auto"/>
          </w:tcPr>
          <w:p w14:paraId="510F98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48E3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Registered nurses are required to complete syringe driver training. The annual medication competency schedule was fully completed.</w:t>
            </w:r>
          </w:p>
          <w:p w14:paraId="2D4493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rolls for regular medication, blister packs for controlled drugs and short course, and bottles for ‘as required’ medications. All medications are checked on delivery against the medication chart and any discrepancies are fed back to the supplying pharmacy. </w:t>
            </w:r>
          </w:p>
          <w:p w14:paraId="3AD7CA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Medications were appropriately stored in the facility medication rooms. The medication fridge and medication room temperatures are monitored daily, and all were within accepted ranges. All stored medications are checked weekly. Eyedrops have been dated on opening. </w:t>
            </w:r>
          </w:p>
          <w:p w14:paraId="037FB8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(including one paper chart)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were three residents self-administering medications including one YPD. Where residents were self-administering their medications the care plans reflected required interventions and safe storage to align with the Bupa Types of Medication Administration policy. Competency assessments to self-administrate medications are completed for all residents and reviewed every six months. No vaccines are kept on site and no standing orders are used. </w:t>
            </w:r>
          </w:p>
          <w:p w14:paraId="55D170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5ED2E3DB" w14:textId="77777777" w:rsidR="00000000" w:rsidRPr="00BE00C7" w:rsidRDefault="00000000" w:rsidP="00BE00C7">
            <w:pPr>
              <w:pStyle w:val="OutcomeDescription"/>
              <w:spacing w:before="120" w:after="120"/>
              <w:rPr>
                <w:rFonts w:cs="Arial"/>
                <w:lang w:eastAsia="en-NZ"/>
              </w:rPr>
            </w:pPr>
          </w:p>
        </w:tc>
      </w:tr>
      <w:tr w:rsidR="007832B8" w14:paraId="1362D575" w14:textId="77777777">
        <w:tc>
          <w:tcPr>
            <w:tcW w:w="0" w:type="auto"/>
          </w:tcPr>
          <w:p w14:paraId="472613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AC194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746BE9" w14:textId="77777777" w:rsidR="00000000" w:rsidRPr="00BE00C7" w:rsidRDefault="00000000" w:rsidP="00BE00C7">
            <w:pPr>
              <w:pStyle w:val="OutcomeDescription"/>
              <w:spacing w:before="120" w:after="120"/>
              <w:rPr>
                <w:rFonts w:cs="Arial"/>
                <w:lang w:eastAsia="en-NZ"/>
              </w:rPr>
            </w:pPr>
          </w:p>
        </w:tc>
        <w:tc>
          <w:tcPr>
            <w:tcW w:w="0" w:type="auto"/>
          </w:tcPr>
          <w:p w14:paraId="005C7B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EE2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 </w:t>
            </w:r>
          </w:p>
          <w:p w14:paraId="28CCEC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had expired 22 September 2025. The residents and family/whānau interviewed were complimentary regarding the standard of food provided.</w:t>
            </w:r>
          </w:p>
          <w:p w14:paraId="5888CE65" w14:textId="77777777" w:rsidR="00000000" w:rsidRPr="00BE00C7" w:rsidRDefault="00000000" w:rsidP="00BE00C7">
            <w:pPr>
              <w:pStyle w:val="OutcomeDescription"/>
              <w:spacing w:before="120" w:after="120"/>
              <w:rPr>
                <w:rFonts w:cs="Arial"/>
                <w:lang w:eastAsia="en-NZ"/>
              </w:rPr>
            </w:pPr>
          </w:p>
        </w:tc>
      </w:tr>
      <w:tr w:rsidR="007832B8" w14:paraId="6B66C290" w14:textId="77777777">
        <w:tc>
          <w:tcPr>
            <w:tcW w:w="0" w:type="auto"/>
          </w:tcPr>
          <w:p w14:paraId="51A39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C0C63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4DD02A" w14:textId="77777777" w:rsidR="00000000" w:rsidRPr="00BE00C7" w:rsidRDefault="00000000" w:rsidP="00BE00C7">
            <w:pPr>
              <w:pStyle w:val="OutcomeDescription"/>
              <w:spacing w:before="120" w:after="120"/>
              <w:rPr>
                <w:rFonts w:cs="Arial"/>
                <w:lang w:eastAsia="en-NZ"/>
              </w:rPr>
            </w:pPr>
          </w:p>
        </w:tc>
        <w:tc>
          <w:tcPr>
            <w:tcW w:w="0" w:type="auto"/>
          </w:tcPr>
          <w:p w14:paraId="0E37B7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78E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5C595D8D" w14:textId="77777777" w:rsidR="00000000" w:rsidRPr="00BE00C7" w:rsidRDefault="00000000" w:rsidP="00BE00C7">
            <w:pPr>
              <w:pStyle w:val="OutcomeDescription"/>
              <w:spacing w:before="120" w:after="120"/>
              <w:rPr>
                <w:rFonts w:cs="Arial"/>
                <w:lang w:eastAsia="en-NZ"/>
              </w:rPr>
            </w:pPr>
          </w:p>
        </w:tc>
      </w:tr>
      <w:tr w:rsidR="007832B8" w14:paraId="69E332A6" w14:textId="77777777">
        <w:tc>
          <w:tcPr>
            <w:tcW w:w="0" w:type="auto"/>
          </w:tcPr>
          <w:p w14:paraId="6042EE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2B407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9B0B99" w14:textId="77777777" w:rsidR="00000000" w:rsidRPr="00BE00C7" w:rsidRDefault="00000000" w:rsidP="00BE00C7">
            <w:pPr>
              <w:pStyle w:val="OutcomeDescription"/>
              <w:spacing w:before="120" w:after="120"/>
              <w:rPr>
                <w:rFonts w:cs="Arial"/>
                <w:lang w:eastAsia="en-NZ"/>
              </w:rPr>
            </w:pPr>
          </w:p>
        </w:tc>
        <w:tc>
          <w:tcPr>
            <w:tcW w:w="0" w:type="auto"/>
          </w:tcPr>
          <w:p w14:paraId="0A18D0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F6B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Parkstone Care Home and comply with legislation relevant to the health and disability services being provided. The environment is inclusive of people’s cultures and supports cultural practices. There is a full time maintenance person Monday to Fridays. A 52 week maintenance plan is documented, implemented, and include annual calibration of medical equipment (last done in December 2024) and testing and tagging of electrical equipment. Weekly hot water temperatures are completed across the facility and evidence to be within the appropriate parameters. A building Warrant of Fitness expires 1 October 2025. There was evidence that the code of compliance was amended 19 December 2024 to include the refurbishment of the kitchen and recent built care suites. </w:t>
            </w:r>
          </w:p>
          <w:p w14:paraId="378E51C1" w14:textId="77777777" w:rsidR="00000000" w:rsidRPr="00BE00C7" w:rsidRDefault="00000000" w:rsidP="00BE00C7">
            <w:pPr>
              <w:pStyle w:val="OutcomeDescription"/>
              <w:spacing w:before="120" w:after="120"/>
              <w:rPr>
                <w:rFonts w:cs="Arial"/>
                <w:lang w:eastAsia="en-NZ"/>
              </w:rPr>
            </w:pPr>
          </w:p>
        </w:tc>
      </w:tr>
      <w:tr w:rsidR="007832B8" w14:paraId="1A4C18B0" w14:textId="77777777">
        <w:tc>
          <w:tcPr>
            <w:tcW w:w="0" w:type="auto"/>
          </w:tcPr>
          <w:p w14:paraId="4C1B0C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C80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4956998E" w14:textId="77777777" w:rsidR="00000000" w:rsidRPr="00BE00C7" w:rsidRDefault="00000000" w:rsidP="00BE00C7">
            <w:pPr>
              <w:pStyle w:val="OutcomeDescription"/>
              <w:spacing w:before="120" w:after="120"/>
              <w:rPr>
                <w:rFonts w:cs="Arial"/>
                <w:lang w:eastAsia="en-NZ"/>
              </w:rPr>
            </w:pPr>
          </w:p>
        </w:tc>
        <w:tc>
          <w:tcPr>
            <w:tcW w:w="0" w:type="auto"/>
          </w:tcPr>
          <w:p w14:paraId="1A4DB6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5C45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Bupa and their in-house infection control specialists,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This links to the overarching quality programme and </w:t>
            </w:r>
            <w:r w:rsidRPr="00BE00C7">
              <w:rPr>
                <w:rFonts w:cs="Arial"/>
                <w:lang w:eastAsia="en-NZ"/>
              </w:rPr>
              <w:lastRenderedPageBreak/>
              <w:t xml:space="preserve">the infection control programme is reviewed, evaluated, and reported on annually. </w:t>
            </w:r>
          </w:p>
          <w:p w14:paraId="18DA41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080DF3BC" w14:textId="77777777" w:rsidR="00000000" w:rsidRPr="00BE00C7" w:rsidRDefault="00000000" w:rsidP="00BE00C7">
            <w:pPr>
              <w:pStyle w:val="OutcomeDescription"/>
              <w:spacing w:before="120" w:after="120"/>
              <w:rPr>
                <w:rFonts w:cs="Arial"/>
                <w:lang w:eastAsia="en-NZ"/>
              </w:rPr>
            </w:pPr>
          </w:p>
        </w:tc>
      </w:tr>
      <w:tr w:rsidR="007832B8" w14:paraId="11A9B7DE" w14:textId="77777777">
        <w:tc>
          <w:tcPr>
            <w:tcW w:w="0" w:type="auto"/>
          </w:tcPr>
          <w:p w14:paraId="745BE3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44368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91BC76D" w14:textId="77777777" w:rsidR="00000000" w:rsidRPr="00BE00C7" w:rsidRDefault="00000000" w:rsidP="00BE00C7">
            <w:pPr>
              <w:pStyle w:val="OutcomeDescription"/>
              <w:spacing w:before="120" w:after="120"/>
              <w:rPr>
                <w:rFonts w:cs="Arial"/>
                <w:lang w:eastAsia="en-NZ"/>
              </w:rPr>
            </w:pPr>
          </w:p>
        </w:tc>
        <w:tc>
          <w:tcPr>
            <w:tcW w:w="0" w:type="auto"/>
          </w:tcPr>
          <w:p w14:paraId="29BE56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168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29B0E4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Covid-19 outbreaks (November 2023, December 2023, July 2024 and November 2024), a respiratory tract outbreak (October 2023 and June 2024), a norovirus outbreak (June 2024) and viral gastroenteritis outbreak (August 2024). All have been appropriately notified to Health New Zealand and Public Health. There was evidence of regular communication with the Bupa infection control lead. Toolbox meetings (sighted) were held, and staff were debriefed with `lessons learned` captured and discussed to prevent, prepare for, and respond to future infectious disease outbreaks. Outbreak logs were completed. Residents and family/whānau were updated regularly through the outbreaks. </w:t>
            </w:r>
          </w:p>
          <w:p w14:paraId="02444F7A" w14:textId="77777777" w:rsidR="00000000" w:rsidRPr="00BE00C7" w:rsidRDefault="00000000" w:rsidP="00BE00C7">
            <w:pPr>
              <w:pStyle w:val="OutcomeDescription"/>
              <w:spacing w:before="120" w:after="120"/>
              <w:rPr>
                <w:rFonts w:cs="Arial"/>
                <w:lang w:eastAsia="en-NZ"/>
              </w:rPr>
            </w:pPr>
          </w:p>
        </w:tc>
      </w:tr>
      <w:tr w:rsidR="007832B8" w14:paraId="4F412FE1" w14:textId="77777777">
        <w:tc>
          <w:tcPr>
            <w:tcW w:w="0" w:type="auto"/>
          </w:tcPr>
          <w:p w14:paraId="36FF6A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F978A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B5666A" w14:textId="77777777" w:rsidR="00000000" w:rsidRPr="00BE00C7" w:rsidRDefault="00000000" w:rsidP="00BE00C7">
            <w:pPr>
              <w:pStyle w:val="OutcomeDescription"/>
              <w:spacing w:before="120" w:after="120"/>
              <w:rPr>
                <w:rFonts w:cs="Arial"/>
                <w:lang w:eastAsia="en-NZ"/>
              </w:rPr>
            </w:pPr>
          </w:p>
        </w:tc>
        <w:tc>
          <w:tcPr>
            <w:tcW w:w="0" w:type="auto"/>
          </w:tcPr>
          <w:p w14:paraId="1126DF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5265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demonstrate a commitment to eliminating restraint. </w:t>
            </w:r>
            <w:r w:rsidRPr="00BE00C7">
              <w:rPr>
                <w:rFonts w:cs="Arial"/>
                <w:lang w:eastAsia="en-NZ"/>
              </w:rPr>
              <w:lastRenderedPageBreak/>
              <w:t>The facility maintains a focus on ensuring care is provided in the least restrictive way possible. There was one YPD resident using a bedrail. A registered nurse undertakes the restraint portfolio and drives the ongoing Bupa philosophy of eliminating restraint. The restraint policy confirms that restraint consideration and application must be made in partnership with families/whānau, and the choice of the device must be the least restrictive possible. When restraint is considered, the facility works in partnership with the resident and family/whānau to ensure services are mana-enhancing. This was evident in the resident ‘file.</w:t>
            </w:r>
          </w:p>
          <w:p w14:paraId="431AD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771DDA00" w14:textId="77777777" w:rsidR="00000000" w:rsidRPr="00BE00C7" w:rsidRDefault="00000000" w:rsidP="00BE00C7">
            <w:pPr>
              <w:pStyle w:val="OutcomeDescription"/>
              <w:spacing w:before="120" w:after="120"/>
              <w:rPr>
                <w:rFonts w:cs="Arial"/>
                <w:lang w:eastAsia="en-NZ"/>
              </w:rPr>
            </w:pPr>
          </w:p>
        </w:tc>
      </w:tr>
    </w:tbl>
    <w:p w14:paraId="12D6AA9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05A8917" w14:textId="77777777" w:rsidR="00000000" w:rsidRDefault="00000000">
      <w:pPr>
        <w:pStyle w:val="Heading1"/>
        <w:rPr>
          <w:rFonts w:cs="Arial"/>
        </w:rPr>
      </w:pPr>
      <w:r>
        <w:rPr>
          <w:rFonts w:cs="Arial"/>
        </w:rPr>
        <w:lastRenderedPageBreak/>
        <w:t>Specific results for criterion where corrective actions are required</w:t>
      </w:r>
    </w:p>
    <w:p w14:paraId="3C4A205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2C722B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8B850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32B8" w14:paraId="4FE17E0F" w14:textId="77777777">
        <w:tc>
          <w:tcPr>
            <w:tcW w:w="0" w:type="auto"/>
          </w:tcPr>
          <w:p w14:paraId="7F7BEA8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8ADDBB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0D1F1C3" w14:textId="77777777" w:rsidR="00000000" w:rsidRDefault="00000000">
      <w:pPr>
        <w:pStyle w:val="Heading1"/>
        <w:rPr>
          <w:rFonts w:cs="Arial"/>
        </w:rPr>
      </w:pPr>
      <w:r>
        <w:rPr>
          <w:rFonts w:cs="Arial"/>
        </w:rPr>
        <w:lastRenderedPageBreak/>
        <w:t>Specific results for criterion where a continuous improvement has been recorded</w:t>
      </w:r>
    </w:p>
    <w:p w14:paraId="7134A53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BB35E5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35FE6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32B8" w14:paraId="3FC7EF35" w14:textId="77777777">
        <w:tc>
          <w:tcPr>
            <w:tcW w:w="0" w:type="auto"/>
          </w:tcPr>
          <w:p w14:paraId="616D790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430A7E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9A65F7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A550" w14:textId="77777777" w:rsidR="009E7175" w:rsidRDefault="009E7175">
      <w:r>
        <w:separator/>
      </w:r>
    </w:p>
  </w:endnote>
  <w:endnote w:type="continuationSeparator" w:id="0">
    <w:p w14:paraId="413A85F4" w14:textId="77777777" w:rsidR="009E7175" w:rsidRDefault="009E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09FB" w14:textId="77777777" w:rsidR="00000000" w:rsidRDefault="00000000">
    <w:pPr>
      <w:pStyle w:val="Footer"/>
    </w:pPr>
  </w:p>
  <w:p w14:paraId="02229C2F" w14:textId="77777777" w:rsidR="00000000" w:rsidRDefault="00000000"/>
  <w:p w14:paraId="04CE5AD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888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Parkstone Care Home</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E82CA3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39C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8928" w14:textId="77777777" w:rsidR="009E7175" w:rsidRDefault="009E7175">
      <w:r>
        <w:separator/>
      </w:r>
    </w:p>
  </w:footnote>
  <w:footnote w:type="continuationSeparator" w:id="0">
    <w:p w14:paraId="28312F18" w14:textId="77777777" w:rsidR="009E7175" w:rsidRDefault="009E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EAE4" w14:textId="77777777" w:rsidR="00000000" w:rsidRDefault="00000000">
    <w:pPr>
      <w:pStyle w:val="Header"/>
    </w:pPr>
  </w:p>
  <w:p w14:paraId="015C0D9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1614" w14:textId="77777777" w:rsidR="00000000" w:rsidRDefault="00000000">
    <w:pPr>
      <w:pStyle w:val="Header"/>
    </w:pPr>
  </w:p>
  <w:p w14:paraId="748CD30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53A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312E308">
      <w:start w:val="1"/>
      <w:numFmt w:val="decimal"/>
      <w:lvlText w:val="%1."/>
      <w:lvlJc w:val="left"/>
      <w:pPr>
        <w:ind w:left="360" w:hanging="360"/>
      </w:pPr>
    </w:lvl>
    <w:lvl w:ilvl="1" w:tplc="55BC7C58" w:tentative="1">
      <w:start w:val="1"/>
      <w:numFmt w:val="lowerLetter"/>
      <w:lvlText w:val="%2."/>
      <w:lvlJc w:val="left"/>
      <w:pPr>
        <w:ind w:left="1080" w:hanging="360"/>
      </w:pPr>
    </w:lvl>
    <w:lvl w:ilvl="2" w:tplc="B01A79D2" w:tentative="1">
      <w:start w:val="1"/>
      <w:numFmt w:val="lowerRoman"/>
      <w:lvlText w:val="%3."/>
      <w:lvlJc w:val="right"/>
      <w:pPr>
        <w:ind w:left="1800" w:hanging="180"/>
      </w:pPr>
    </w:lvl>
    <w:lvl w:ilvl="3" w:tplc="0B4A7A24" w:tentative="1">
      <w:start w:val="1"/>
      <w:numFmt w:val="decimal"/>
      <w:lvlText w:val="%4."/>
      <w:lvlJc w:val="left"/>
      <w:pPr>
        <w:ind w:left="2520" w:hanging="360"/>
      </w:pPr>
    </w:lvl>
    <w:lvl w:ilvl="4" w:tplc="35205AD2" w:tentative="1">
      <w:start w:val="1"/>
      <w:numFmt w:val="lowerLetter"/>
      <w:lvlText w:val="%5."/>
      <w:lvlJc w:val="left"/>
      <w:pPr>
        <w:ind w:left="3240" w:hanging="360"/>
      </w:pPr>
    </w:lvl>
    <w:lvl w:ilvl="5" w:tplc="87205B1E" w:tentative="1">
      <w:start w:val="1"/>
      <w:numFmt w:val="lowerRoman"/>
      <w:lvlText w:val="%6."/>
      <w:lvlJc w:val="right"/>
      <w:pPr>
        <w:ind w:left="3960" w:hanging="180"/>
      </w:pPr>
    </w:lvl>
    <w:lvl w:ilvl="6" w:tplc="2318C600" w:tentative="1">
      <w:start w:val="1"/>
      <w:numFmt w:val="decimal"/>
      <w:lvlText w:val="%7."/>
      <w:lvlJc w:val="left"/>
      <w:pPr>
        <w:ind w:left="4680" w:hanging="360"/>
      </w:pPr>
    </w:lvl>
    <w:lvl w:ilvl="7" w:tplc="6F36D068" w:tentative="1">
      <w:start w:val="1"/>
      <w:numFmt w:val="lowerLetter"/>
      <w:lvlText w:val="%8."/>
      <w:lvlJc w:val="left"/>
      <w:pPr>
        <w:ind w:left="5400" w:hanging="360"/>
      </w:pPr>
    </w:lvl>
    <w:lvl w:ilvl="8" w:tplc="B7A270A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BAAEDE0">
      <w:start w:val="1"/>
      <w:numFmt w:val="bullet"/>
      <w:lvlText w:val=""/>
      <w:lvlJc w:val="left"/>
      <w:pPr>
        <w:ind w:left="720" w:hanging="360"/>
      </w:pPr>
      <w:rPr>
        <w:rFonts w:ascii="Symbol" w:hAnsi="Symbol" w:hint="default"/>
      </w:rPr>
    </w:lvl>
    <w:lvl w:ilvl="1" w:tplc="3A066C50" w:tentative="1">
      <w:start w:val="1"/>
      <w:numFmt w:val="bullet"/>
      <w:lvlText w:val="o"/>
      <w:lvlJc w:val="left"/>
      <w:pPr>
        <w:ind w:left="1440" w:hanging="360"/>
      </w:pPr>
      <w:rPr>
        <w:rFonts w:ascii="Courier New" w:hAnsi="Courier New" w:cs="Courier New" w:hint="default"/>
      </w:rPr>
    </w:lvl>
    <w:lvl w:ilvl="2" w:tplc="A77A71C8" w:tentative="1">
      <w:start w:val="1"/>
      <w:numFmt w:val="bullet"/>
      <w:lvlText w:val=""/>
      <w:lvlJc w:val="left"/>
      <w:pPr>
        <w:ind w:left="2160" w:hanging="360"/>
      </w:pPr>
      <w:rPr>
        <w:rFonts w:ascii="Wingdings" w:hAnsi="Wingdings" w:hint="default"/>
      </w:rPr>
    </w:lvl>
    <w:lvl w:ilvl="3" w:tplc="6C8827AA" w:tentative="1">
      <w:start w:val="1"/>
      <w:numFmt w:val="bullet"/>
      <w:lvlText w:val=""/>
      <w:lvlJc w:val="left"/>
      <w:pPr>
        <w:ind w:left="2880" w:hanging="360"/>
      </w:pPr>
      <w:rPr>
        <w:rFonts w:ascii="Symbol" w:hAnsi="Symbol" w:hint="default"/>
      </w:rPr>
    </w:lvl>
    <w:lvl w:ilvl="4" w:tplc="110420D8" w:tentative="1">
      <w:start w:val="1"/>
      <w:numFmt w:val="bullet"/>
      <w:lvlText w:val="o"/>
      <w:lvlJc w:val="left"/>
      <w:pPr>
        <w:ind w:left="3600" w:hanging="360"/>
      </w:pPr>
      <w:rPr>
        <w:rFonts w:ascii="Courier New" w:hAnsi="Courier New" w:cs="Courier New" w:hint="default"/>
      </w:rPr>
    </w:lvl>
    <w:lvl w:ilvl="5" w:tplc="4D44B10C" w:tentative="1">
      <w:start w:val="1"/>
      <w:numFmt w:val="bullet"/>
      <w:lvlText w:val=""/>
      <w:lvlJc w:val="left"/>
      <w:pPr>
        <w:ind w:left="4320" w:hanging="360"/>
      </w:pPr>
      <w:rPr>
        <w:rFonts w:ascii="Wingdings" w:hAnsi="Wingdings" w:hint="default"/>
      </w:rPr>
    </w:lvl>
    <w:lvl w:ilvl="6" w:tplc="8BFEF562" w:tentative="1">
      <w:start w:val="1"/>
      <w:numFmt w:val="bullet"/>
      <w:lvlText w:val=""/>
      <w:lvlJc w:val="left"/>
      <w:pPr>
        <w:ind w:left="5040" w:hanging="360"/>
      </w:pPr>
      <w:rPr>
        <w:rFonts w:ascii="Symbol" w:hAnsi="Symbol" w:hint="default"/>
      </w:rPr>
    </w:lvl>
    <w:lvl w:ilvl="7" w:tplc="3EA00DF8" w:tentative="1">
      <w:start w:val="1"/>
      <w:numFmt w:val="bullet"/>
      <w:lvlText w:val="o"/>
      <w:lvlJc w:val="left"/>
      <w:pPr>
        <w:ind w:left="5760" w:hanging="360"/>
      </w:pPr>
      <w:rPr>
        <w:rFonts w:ascii="Courier New" w:hAnsi="Courier New" w:cs="Courier New" w:hint="default"/>
      </w:rPr>
    </w:lvl>
    <w:lvl w:ilvl="8" w:tplc="4C0A69F4" w:tentative="1">
      <w:start w:val="1"/>
      <w:numFmt w:val="bullet"/>
      <w:lvlText w:val=""/>
      <w:lvlJc w:val="left"/>
      <w:pPr>
        <w:ind w:left="6480" w:hanging="360"/>
      </w:pPr>
      <w:rPr>
        <w:rFonts w:ascii="Wingdings" w:hAnsi="Wingdings" w:hint="default"/>
      </w:rPr>
    </w:lvl>
  </w:abstractNum>
  <w:num w:numId="1" w16cid:durableId="1404527605">
    <w:abstractNumId w:val="1"/>
  </w:num>
  <w:num w:numId="2" w16cid:durableId="28508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B8"/>
    <w:rsid w:val="00484077"/>
    <w:rsid w:val="007832B8"/>
    <w:rsid w:val="009E7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DE39"/>
  <w15:docId w15:val="{2A837347-BC3A-4911-AAF4-F62BD74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7817</Words>
  <Characters>44561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2025-03-30T19:55:00Z</dcterms:created>
  <dcterms:modified xsi:type="dcterms:W3CDTF">2025-03-30T19:55:00Z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