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3950E" w14:textId="77777777" w:rsidR="00000000" w:rsidRDefault="00000000">
      <w:pPr>
        <w:pStyle w:val="Heading1"/>
        <w:rPr>
          <w:rFonts w:cs="Arial"/>
        </w:rPr>
      </w:pPr>
      <w:bookmarkStart w:id="0" w:name="PRMS_RIName"/>
      <w:r>
        <w:rPr>
          <w:rFonts w:cs="Arial"/>
        </w:rPr>
        <w:t>Lexham Gardens Limited - Lexham Gardens Rest Home and Hospital</w:t>
      </w:r>
      <w:bookmarkEnd w:id="0"/>
    </w:p>
    <w:p w14:paraId="73E9FFEB" w14:textId="77777777" w:rsidR="00000000" w:rsidRDefault="00000000">
      <w:pPr>
        <w:pStyle w:val="Heading2"/>
        <w:spacing w:after="0"/>
        <w:rPr>
          <w:rFonts w:cs="Arial"/>
        </w:rPr>
      </w:pPr>
      <w:r>
        <w:rPr>
          <w:rFonts w:cs="Arial"/>
        </w:rPr>
        <w:t>Introduction</w:t>
      </w:r>
    </w:p>
    <w:p w14:paraId="730BBF4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4B6BA3A"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113010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11B986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AB3657D" w14:textId="77777777" w:rsidR="00000000" w:rsidRDefault="00000000">
      <w:pPr>
        <w:spacing w:before="240" w:after="240"/>
        <w:rPr>
          <w:rFonts w:cs="Arial"/>
          <w:lang w:eastAsia="en-NZ"/>
        </w:rPr>
      </w:pPr>
      <w:r>
        <w:rPr>
          <w:rFonts w:cs="Arial"/>
          <w:lang w:eastAsia="en-NZ"/>
        </w:rPr>
        <w:t>The specifics of this audit included:</w:t>
      </w:r>
    </w:p>
    <w:p w14:paraId="0F4948BA"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977B2A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Lexham Gardens Limited</w:t>
      </w:r>
      <w:bookmarkEnd w:id="4"/>
    </w:p>
    <w:p w14:paraId="500D9B8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Lexham Gardens Rest Home and Hospital</w:t>
      </w:r>
      <w:bookmarkEnd w:id="5"/>
    </w:p>
    <w:p w14:paraId="3513F18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9262C2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February 2025</w:t>
      </w:r>
      <w:bookmarkEnd w:id="7"/>
      <w:r w:rsidRPr="009418D4">
        <w:rPr>
          <w:rFonts w:cs="Arial"/>
        </w:rPr>
        <w:tab/>
        <w:t xml:space="preserve">End date: </w:t>
      </w:r>
      <w:bookmarkStart w:id="8" w:name="AuditEndDate"/>
      <w:r>
        <w:rPr>
          <w:rFonts w:cs="Arial"/>
        </w:rPr>
        <w:t>11 February 2025</w:t>
      </w:r>
      <w:bookmarkEnd w:id="8"/>
    </w:p>
    <w:p w14:paraId="28779E2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FFBA999" w14:textId="77777777" w:rsidR="007A2FD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44A5FB1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E9F9201" w14:textId="77777777" w:rsidR="00000000" w:rsidRDefault="00000000">
      <w:pPr>
        <w:pStyle w:val="Heading1"/>
        <w:rPr>
          <w:rFonts w:cs="Arial"/>
        </w:rPr>
      </w:pPr>
      <w:r>
        <w:rPr>
          <w:rFonts w:cs="Arial"/>
        </w:rPr>
        <w:lastRenderedPageBreak/>
        <w:t>Executive summary of the audit</w:t>
      </w:r>
    </w:p>
    <w:p w14:paraId="3AB0FD9D" w14:textId="77777777" w:rsidR="00000000" w:rsidRDefault="00000000">
      <w:pPr>
        <w:pStyle w:val="Heading2"/>
        <w:rPr>
          <w:rFonts w:cs="Arial"/>
        </w:rPr>
      </w:pPr>
      <w:r>
        <w:rPr>
          <w:rFonts w:cs="Arial"/>
        </w:rPr>
        <w:t>Introduction</w:t>
      </w:r>
    </w:p>
    <w:p w14:paraId="32FE544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1F4761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A626C8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CEB392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6FCAEF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6D00D3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698FE7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667914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E3DD79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A2FD1" w14:paraId="03C0FA9A" w14:textId="77777777">
        <w:trPr>
          <w:cantSplit/>
          <w:tblHeader/>
        </w:trPr>
        <w:tc>
          <w:tcPr>
            <w:tcW w:w="1260" w:type="dxa"/>
            <w:tcBorders>
              <w:bottom w:val="single" w:sz="4" w:space="0" w:color="000000"/>
            </w:tcBorders>
            <w:vAlign w:val="center"/>
          </w:tcPr>
          <w:p w14:paraId="4583B00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8054BB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E36B4C0" w14:textId="77777777" w:rsidR="00000000" w:rsidRDefault="00000000">
            <w:pPr>
              <w:spacing w:before="60" w:after="60"/>
              <w:rPr>
                <w:rFonts w:eastAsia="Calibri"/>
                <w:b/>
                <w:szCs w:val="24"/>
              </w:rPr>
            </w:pPr>
            <w:r>
              <w:rPr>
                <w:rFonts w:eastAsia="Calibri"/>
                <w:b/>
                <w:szCs w:val="24"/>
              </w:rPr>
              <w:t>Definition</w:t>
            </w:r>
          </w:p>
        </w:tc>
      </w:tr>
      <w:tr w:rsidR="007A2FD1" w14:paraId="245509B3" w14:textId="77777777">
        <w:trPr>
          <w:cantSplit/>
          <w:trHeight w:val="964"/>
        </w:trPr>
        <w:tc>
          <w:tcPr>
            <w:tcW w:w="1260" w:type="dxa"/>
            <w:tcBorders>
              <w:bottom w:val="single" w:sz="4" w:space="0" w:color="000000"/>
            </w:tcBorders>
            <w:shd w:val="clear" w:color="0066FF" w:fill="0000FF"/>
            <w:vAlign w:val="center"/>
          </w:tcPr>
          <w:p w14:paraId="1D5A990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7AE368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16FAD3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A2FD1" w14:paraId="426B9685" w14:textId="77777777">
        <w:trPr>
          <w:cantSplit/>
          <w:trHeight w:val="964"/>
        </w:trPr>
        <w:tc>
          <w:tcPr>
            <w:tcW w:w="1260" w:type="dxa"/>
            <w:shd w:val="clear" w:color="33CC33" w:fill="00FF00"/>
            <w:vAlign w:val="center"/>
          </w:tcPr>
          <w:p w14:paraId="6D61CF06" w14:textId="77777777" w:rsidR="00000000" w:rsidRDefault="00000000">
            <w:pPr>
              <w:spacing w:before="60" w:after="60"/>
              <w:rPr>
                <w:rFonts w:eastAsia="Calibri"/>
                <w:szCs w:val="24"/>
              </w:rPr>
            </w:pPr>
          </w:p>
        </w:tc>
        <w:tc>
          <w:tcPr>
            <w:tcW w:w="7095" w:type="dxa"/>
            <w:shd w:val="clear" w:color="auto" w:fill="auto"/>
            <w:vAlign w:val="center"/>
          </w:tcPr>
          <w:p w14:paraId="5C4FFF7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408031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A2FD1" w14:paraId="7A89B047" w14:textId="77777777">
        <w:trPr>
          <w:cantSplit/>
          <w:trHeight w:val="964"/>
        </w:trPr>
        <w:tc>
          <w:tcPr>
            <w:tcW w:w="1260" w:type="dxa"/>
            <w:tcBorders>
              <w:bottom w:val="single" w:sz="4" w:space="0" w:color="000000"/>
            </w:tcBorders>
            <w:shd w:val="clear" w:color="auto" w:fill="FFFF00"/>
            <w:vAlign w:val="center"/>
          </w:tcPr>
          <w:p w14:paraId="347A4E40" w14:textId="77777777" w:rsidR="00000000" w:rsidRDefault="00000000">
            <w:pPr>
              <w:spacing w:before="60" w:after="60"/>
              <w:rPr>
                <w:rFonts w:eastAsia="Calibri"/>
                <w:szCs w:val="24"/>
              </w:rPr>
            </w:pPr>
          </w:p>
        </w:tc>
        <w:tc>
          <w:tcPr>
            <w:tcW w:w="7095" w:type="dxa"/>
            <w:shd w:val="clear" w:color="auto" w:fill="auto"/>
            <w:vAlign w:val="center"/>
          </w:tcPr>
          <w:p w14:paraId="5318B03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52DD67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A2FD1" w14:paraId="7881A445" w14:textId="77777777">
        <w:trPr>
          <w:cantSplit/>
          <w:trHeight w:val="964"/>
        </w:trPr>
        <w:tc>
          <w:tcPr>
            <w:tcW w:w="1260" w:type="dxa"/>
            <w:tcBorders>
              <w:bottom w:val="single" w:sz="4" w:space="0" w:color="000000"/>
            </w:tcBorders>
            <w:shd w:val="clear" w:color="auto" w:fill="FFC800"/>
            <w:vAlign w:val="center"/>
          </w:tcPr>
          <w:p w14:paraId="0F3C893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068820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45052B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A2FD1" w14:paraId="64577D8D" w14:textId="77777777">
        <w:trPr>
          <w:cantSplit/>
          <w:trHeight w:val="964"/>
        </w:trPr>
        <w:tc>
          <w:tcPr>
            <w:tcW w:w="1260" w:type="dxa"/>
            <w:shd w:val="clear" w:color="auto" w:fill="FF0000"/>
            <w:vAlign w:val="center"/>
          </w:tcPr>
          <w:p w14:paraId="2087E5F3" w14:textId="77777777" w:rsidR="00000000" w:rsidRDefault="00000000">
            <w:pPr>
              <w:spacing w:before="60" w:after="60"/>
              <w:rPr>
                <w:rFonts w:eastAsia="Calibri"/>
                <w:szCs w:val="24"/>
              </w:rPr>
            </w:pPr>
          </w:p>
        </w:tc>
        <w:tc>
          <w:tcPr>
            <w:tcW w:w="7095" w:type="dxa"/>
            <w:shd w:val="clear" w:color="auto" w:fill="auto"/>
            <w:vAlign w:val="center"/>
          </w:tcPr>
          <w:p w14:paraId="188D70E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531D8D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B7869D6" w14:textId="77777777" w:rsidR="00000000" w:rsidRDefault="00000000">
      <w:pPr>
        <w:pStyle w:val="Heading2"/>
        <w:spacing w:after="0"/>
        <w:rPr>
          <w:rFonts w:cs="Arial"/>
        </w:rPr>
      </w:pPr>
      <w:r>
        <w:rPr>
          <w:rFonts w:cs="Arial"/>
        </w:rPr>
        <w:t>General overview of the audit</w:t>
      </w:r>
    </w:p>
    <w:p w14:paraId="2580E187" w14:textId="77777777" w:rsidR="00000000" w:rsidRDefault="00000000">
      <w:pPr>
        <w:spacing w:before="240" w:line="276" w:lineRule="auto"/>
        <w:rPr>
          <w:rFonts w:eastAsia="Calibri"/>
        </w:rPr>
      </w:pPr>
      <w:bookmarkStart w:id="13" w:name="GeneralOverview"/>
      <w:r w:rsidRPr="00A4268A">
        <w:rPr>
          <w:rFonts w:eastAsia="Calibri"/>
        </w:rPr>
        <w:t>Lexham Gardens Rest Home and Hospital (Lexham Gardens) provides rest home and hospital (medical and geriatric) services for up to 50 residents. Lexham Gardens is one of the 11 facilities owned by New Zealand Aged care Services Ltd (NZACS).</w:t>
      </w:r>
    </w:p>
    <w:p w14:paraId="5C58C704" w14:textId="77777777" w:rsidR="007A2FD1" w:rsidRPr="00A4268A" w:rsidRDefault="00000000">
      <w:pPr>
        <w:spacing w:before="240" w:line="276" w:lineRule="auto"/>
        <w:rPr>
          <w:rFonts w:eastAsia="Calibri"/>
        </w:rPr>
      </w:pPr>
      <w:r w:rsidRPr="00A4268A">
        <w:rPr>
          <w:rFonts w:eastAsia="Calibri"/>
        </w:rPr>
        <w:t>This certification audit included review of policies and procedures, review of residents and staff files, observations and interviews with residents, family members, a member of the governance group, the NZACS general manager, Lexham Gardens managers, staff and a general practitioner.</w:t>
      </w:r>
    </w:p>
    <w:p w14:paraId="54D7CF86" w14:textId="77777777" w:rsidR="007A2FD1" w:rsidRPr="00A4268A" w:rsidRDefault="00000000">
      <w:pPr>
        <w:spacing w:before="240" w:line="276" w:lineRule="auto"/>
        <w:rPr>
          <w:rFonts w:eastAsia="Calibri"/>
        </w:rPr>
      </w:pPr>
      <w:r w:rsidRPr="00A4268A">
        <w:rPr>
          <w:rFonts w:eastAsia="Calibri"/>
        </w:rPr>
        <w:t xml:space="preserve">There were no areas identified requiring improvement. </w:t>
      </w:r>
    </w:p>
    <w:bookmarkEnd w:id="13"/>
    <w:p w14:paraId="7641372C" w14:textId="77777777" w:rsidR="007A2FD1" w:rsidRPr="00A4268A" w:rsidRDefault="007A2FD1">
      <w:pPr>
        <w:spacing w:before="240" w:line="276" w:lineRule="auto"/>
        <w:rPr>
          <w:rFonts w:eastAsia="Calibri"/>
        </w:rPr>
      </w:pPr>
    </w:p>
    <w:p w14:paraId="3EEE779D"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A2FD1" w14:paraId="0292223F" w14:textId="77777777" w:rsidTr="00A4268A">
        <w:trPr>
          <w:cantSplit/>
        </w:trPr>
        <w:tc>
          <w:tcPr>
            <w:tcW w:w="10206" w:type="dxa"/>
            <w:vAlign w:val="center"/>
          </w:tcPr>
          <w:p w14:paraId="5D6F99C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D6B35A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4F6BAD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869814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B387213" w14:textId="77777777" w:rsidR="00000000" w:rsidRDefault="00000000">
      <w:pPr>
        <w:spacing w:before="240" w:line="276" w:lineRule="auto"/>
        <w:rPr>
          <w:rFonts w:eastAsia="Calibri"/>
        </w:rPr>
      </w:pPr>
      <w:bookmarkStart w:id="16" w:name="ConsumerRights"/>
      <w:r w:rsidRPr="00A4268A">
        <w:rPr>
          <w:rFonts w:eastAsia="Calibri"/>
        </w:rPr>
        <w:t xml:space="preserve">Lexham Gardens supports and encourages a Māori world view of health in service delivery. Māori are provided with equitable and effective services based on Te Tiriti o Waitangi and the principles of mana motuhake. </w:t>
      </w:r>
    </w:p>
    <w:p w14:paraId="7F7D1CAA" w14:textId="77777777" w:rsidR="007A2FD1" w:rsidRPr="00A4268A" w:rsidRDefault="00000000">
      <w:pPr>
        <w:spacing w:before="240" w:line="276" w:lineRule="auto"/>
        <w:rPr>
          <w:rFonts w:eastAsia="Calibri"/>
        </w:rPr>
      </w:pPr>
      <w:r w:rsidRPr="00A4268A">
        <w:rPr>
          <w:rFonts w:eastAsia="Calibri"/>
        </w:rPr>
        <w:lastRenderedPageBreak/>
        <w:t xml:space="preserve">Pacific peoples are provided with services that recognise their worldviews and are culturally safe.  </w:t>
      </w:r>
    </w:p>
    <w:p w14:paraId="7DC1ADD3" w14:textId="77777777" w:rsidR="007A2FD1"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are respected and supported. Staff have participated in Te Tiriti o Waitangi training which is reflected in day-to-day service delivery.  Residents were safe from abuse.</w:t>
      </w:r>
    </w:p>
    <w:p w14:paraId="0A367277" w14:textId="77777777" w:rsidR="007A2FD1"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was practised. Interpreter services were provided as needed.  Whānau and legal representatives are involved in decision making that complies with the law. Advance directives were followed wherever possible. </w:t>
      </w:r>
    </w:p>
    <w:p w14:paraId="65D1E79D" w14:textId="77777777" w:rsidR="007A2FD1"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40AF6E91" w14:textId="77777777" w:rsidR="007A2FD1" w:rsidRPr="00A4268A" w:rsidRDefault="007A2FD1">
      <w:pPr>
        <w:spacing w:before="240" w:line="276" w:lineRule="auto"/>
        <w:rPr>
          <w:rFonts w:eastAsia="Calibri"/>
        </w:rPr>
      </w:pPr>
    </w:p>
    <w:p w14:paraId="2531862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A2FD1" w14:paraId="5E9394EE" w14:textId="77777777" w:rsidTr="00A4268A">
        <w:trPr>
          <w:cantSplit/>
        </w:trPr>
        <w:tc>
          <w:tcPr>
            <w:tcW w:w="10206" w:type="dxa"/>
            <w:vAlign w:val="center"/>
          </w:tcPr>
          <w:p w14:paraId="77F5031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D85C4D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FDDE47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EC56286"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One of the four directors identifies as Māori and there is an understanding of the need to honour Te Tiriti and reduce barriers to improve outcomes for Māori and people with disabilities.</w:t>
      </w:r>
    </w:p>
    <w:p w14:paraId="55619661" w14:textId="77777777" w:rsidR="007A2FD1"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BD2F011" w14:textId="77777777" w:rsidR="007A2FD1"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w:t>
      </w:r>
      <w:r w:rsidRPr="00A4268A">
        <w:rPr>
          <w:rFonts w:eastAsia="Calibri"/>
        </w:rPr>
        <w:lastRenderedPageBreak/>
        <w:t xml:space="preserve">collection and analysis of quality improvement data, identifies trends, is benchmarked with other providers in the group (NZACS) and leads to improvements. Actual and potential risks were identified and mitigated.  </w:t>
      </w:r>
    </w:p>
    <w:p w14:paraId="06507413" w14:textId="77777777" w:rsidR="007A2FD1" w:rsidRPr="00A4268A" w:rsidRDefault="00000000">
      <w:pPr>
        <w:spacing w:before="240" w:line="276" w:lineRule="auto"/>
        <w:rPr>
          <w:rFonts w:eastAsia="Calibri"/>
        </w:rPr>
      </w:pPr>
      <w:r w:rsidRPr="00A4268A">
        <w:rPr>
          <w:rFonts w:eastAsia="Calibri"/>
        </w:rPr>
        <w:t xml:space="preserve">The National Adverse Events Policy was followed with corrective actions supporting systems learnings. The service complied with statutory and regulatory reporting obligations.  </w:t>
      </w:r>
    </w:p>
    <w:p w14:paraId="5781C3B5" w14:textId="77777777" w:rsidR="007A2FD1"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are appointed, orientated, and managed using current good practice. A systematic approach to identify and deliver ongoing learning supports safe equitable service delivery. </w:t>
      </w:r>
    </w:p>
    <w:p w14:paraId="283DE98C" w14:textId="77777777" w:rsidR="007A2FD1"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6A355DD3" w14:textId="77777777" w:rsidR="007A2FD1" w:rsidRPr="00A4268A" w:rsidRDefault="007A2FD1">
      <w:pPr>
        <w:spacing w:before="240" w:line="276" w:lineRule="auto"/>
        <w:rPr>
          <w:rFonts w:eastAsia="Calibri"/>
        </w:rPr>
      </w:pPr>
    </w:p>
    <w:p w14:paraId="1C5D49D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A2FD1" w14:paraId="6C4DDA85" w14:textId="77777777" w:rsidTr="00A4268A">
        <w:trPr>
          <w:cantSplit/>
        </w:trPr>
        <w:tc>
          <w:tcPr>
            <w:tcW w:w="10206" w:type="dxa"/>
            <w:vAlign w:val="center"/>
          </w:tcPr>
          <w:p w14:paraId="41E562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7F0E8A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01AB99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1C5214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residents enter the service a resident-centred and whānau-centred approach is adopted. Relevant information is provided to the potential resident and whānau.  </w:t>
      </w:r>
    </w:p>
    <w:p w14:paraId="029A1EC6" w14:textId="77777777" w:rsidR="007A2FD1"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6D9B4914" w14:textId="77777777" w:rsidR="007A2FD1"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794F691C" w14:textId="77777777" w:rsidR="007A2FD1"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7680629C" w14:textId="77777777" w:rsidR="007A2FD1" w:rsidRPr="00A4268A" w:rsidRDefault="00000000" w:rsidP="00621629">
      <w:pPr>
        <w:spacing w:before="240" w:line="276" w:lineRule="auto"/>
        <w:rPr>
          <w:rFonts w:eastAsia="Calibri"/>
        </w:rPr>
      </w:pPr>
      <w:r w:rsidRPr="00A4268A">
        <w:rPr>
          <w:rFonts w:eastAsia="Calibri"/>
        </w:rPr>
        <w:lastRenderedPageBreak/>
        <w:t xml:space="preserve">The food service met the nutritional needs of the residents, with special cultural needs catered for. Food was safely managed.  </w:t>
      </w:r>
    </w:p>
    <w:p w14:paraId="3653FC39" w14:textId="77777777" w:rsidR="007A2FD1"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4EFFF2CB" w14:textId="77777777" w:rsidR="007A2FD1" w:rsidRPr="00A4268A" w:rsidRDefault="007A2FD1" w:rsidP="00621629">
      <w:pPr>
        <w:spacing w:before="240" w:line="276" w:lineRule="auto"/>
        <w:rPr>
          <w:rFonts w:eastAsia="Calibri"/>
        </w:rPr>
      </w:pPr>
    </w:p>
    <w:p w14:paraId="4C1238A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A2FD1" w14:paraId="7C1E0D8C" w14:textId="77777777" w:rsidTr="00A4268A">
        <w:trPr>
          <w:cantSplit/>
        </w:trPr>
        <w:tc>
          <w:tcPr>
            <w:tcW w:w="10206" w:type="dxa"/>
            <w:vAlign w:val="center"/>
          </w:tcPr>
          <w:p w14:paraId="72142F8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B6FB46C"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769423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7FA9E56"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and bio-medical equipment is tested as required. External areas are accessible, safe and provide shade and seating, and meet the needs of people with disabilities. </w:t>
      </w:r>
    </w:p>
    <w:p w14:paraId="54990110" w14:textId="77777777" w:rsidR="007A2FD1"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is maintained.</w:t>
      </w:r>
    </w:p>
    <w:bookmarkEnd w:id="25"/>
    <w:p w14:paraId="0CCAA905" w14:textId="77777777" w:rsidR="007A2FD1" w:rsidRPr="00A4268A" w:rsidRDefault="007A2FD1">
      <w:pPr>
        <w:spacing w:before="240" w:line="276" w:lineRule="auto"/>
        <w:rPr>
          <w:rFonts w:eastAsia="Calibri"/>
        </w:rPr>
      </w:pPr>
    </w:p>
    <w:p w14:paraId="55C2CF0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A2FD1" w14:paraId="0A64BF2D" w14:textId="77777777" w:rsidTr="00A4268A">
        <w:trPr>
          <w:cantSplit/>
        </w:trPr>
        <w:tc>
          <w:tcPr>
            <w:tcW w:w="10206" w:type="dxa"/>
            <w:vAlign w:val="center"/>
          </w:tcPr>
          <w:p w14:paraId="2D8C16F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259745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CD033E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606DE1D"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clinical nurse leader (CNL) leads the programme. </w:t>
      </w:r>
    </w:p>
    <w:p w14:paraId="6083E449" w14:textId="77777777" w:rsidR="007A2FD1"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3ED9B7FC" w14:textId="77777777" w:rsidR="007A2FD1"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17414DD" w14:textId="77777777" w:rsidR="007A2FD1" w:rsidRPr="00A4268A" w:rsidRDefault="00000000">
      <w:pPr>
        <w:spacing w:before="240" w:line="276" w:lineRule="auto"/>
        <w:rPr>
          <w:rFonts w:eastAsia="Calibri"/>
        </w:rPr>
      </w:pPr>
      <w:r w:rsidRPr="00A4268A">
        <w:rPr>
          <w:rFonts w:eastAsia="Calibri"/>
        </w:rPr>
        <w:t>The service promotes responsible prescribing of antimicrobials. Infection surveillance was undertaken with follow-up action taken as required.</w:t>
      </w:r>
    </w:p>
    <w:p w14:paraId="1D5145B8" w14:textId="77777777" w:rsidR="007A2FD1"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51EC58BE" w14:textId="77777777" w:rsidR="007A2FD1" w:rsidRPr="00A4268A" w:rsidRDefault="007A2FD1">
      <w:pPr>
        <w:spacing w:before="240" w:line="276" w:lineRule="auto"/>
        <w:rPr>
          <w:rFonts w:eastAsia="Calibri"/>
        </w:rPr>
      </w:pPr>
    </w:p>
    <w:p w14:paraId="7315540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A2FD1" w14:paraId="509BFB24" w14:textId="77777777" w:rsidTr="00A4268A">
        <w:trPr>
          <w:cantSplit/>
        </w:trPr>
        <w:tc>
          <w:tcPr>
            <w:tcW w:w="10206" w:type="dxa"/>
            <w:vAlign w:val="center"/>
          </w:tcPr>
          <w:p w14:paraId="1444822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342F40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A9992A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AFE7231"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have been no restraints used since the previous audit.  </w:t>
      </w:r>
    </w:p>
    <w:p w14:paraId="5E6F7AAB" w14:textId="77777777" w:rsidR="007A2FD1" w:rsidRPr="00A4268A" w:rsidRDefault="00000000">
      <w:pPr>
        <w:spacing w:before="240" w:line="276" w:lineRule="auto"/>
        <w:rPr>
          <w:rFonts w:eastAsia="Calibri"/>
        </w:rPr>
      </w:pPr>
      <w:r w:rsidRPr="00A4268A">
        <w:rPr>
          <w:rFonts w:eastAsia="Calibri"/>
        </w:rPr>
        <w:t xml:space="preserve">Processes and related documentation are in place should any restraint be required. Staff demonstrated a sound knowledge and understanding of providing the least restrictive practice, de-escalation techniques and alternative interventions.  </w:t>
      </w:r>
    </w:p>
    <w:bookmarkEnd w:id="31"/>
    <w:p w14:paraId="75C1ED26" w14:textId="77777777" w:rsidR="007A2FD1" w:rsidRPr="00A4268A" w:rsidRDefault="007A2FD1">
      <w:pPr>
        <w:spacing w:before="240" w:line="276" w:lineRule="auto"/>
        <w:rPr>
          <w:rFonts w:eastAsia="Calibri"/>
        </w:rPr>
      </w:pPr>
    </w:p>
    <w:p w14:paraId="2BB3D4C0" w14:textId="77777777" w:rsidR="00000000" w:rsidRDefault="00000000" w:rsidP="000E6E02">
      <w:pPr>
        <w:pStyle w:val="Heading2"/>
        <w:spacing w:before="0"/>
        <w:rPr>
          <w:rFonts w:cs="Arial"/>
        </w:rPr>
      </w:pPr>
      <w:r>
        <w:rPr>
          <w:rFonts w:cs="Arial"/>
        </w:rPr>
        <w:lastRenderedPageBreak/>
        <w:t>Summary of attainment</w:t>
      </w:r>
    </w:p>
    <w:p w14:paraId="2CF58CA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A2FD1" w14:paraId="460B603A" w14:textId="77777777">
        <w:tc>
          <w:tcPr>
            <w:tcW w:w="1384" w:type="dxa"/>
            <w:vAlign w:val="center"/>
          </w:tcPr>
          <w:p w14:paraId="6322111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CF6E6E4" w14:textId="77777777" w:rsidR="00000000" w:rsidRDefault="00000000">
            <w:pPr>
              <w:keepNext/>
              <w:spacing w:before="60" w:after="60"/>
              <w:jc w:val="center"/>
              <w:rPr>
                <w:rFonts w:cs="Arial"/>
                <w:b/>
                <w:sz w:val="20"/>
                <w:szCs w:val="20"/>
              </w:rPr>
            </w:pPr>
            <w:r>
              <w:rPr>
                <w:rFonts w:cs="Arial"/>
                <w:b/>
                <w:sz w:val="20"/>
                <w:szCs w:val="20"/>
              </w:rPr>
              <w:t>Continuous Improvement</w:t>
            </w:r>
          </w:p>
          <w:p w14:paraId="1704878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3CF2F11" w14:textId="77777777" w:rsidR="00000000" w:rsidRDefault="00000000">
            <w:pPr>
              <w:keepNext/>
              <w:spacing w:before="60" w:after="60"/>
              <w:jc w:val="center"/>
              <w:rPr>
                <w:rFonts w:cs="Arial"/>
                <w:b/>
                <w:sz w:val="20"/>
                <w:szCs w:val="20"/>
              </w:rPr>
            </w:pPr>
            <w:r>
              <w:rPr>
                <w:rFonts w:cs="Arial"/>
                <w:b/>
                <w:sz w:val="20"/>
                <w:szCs w:val="20"/>
              </w:rPr>
              <w:t>Fully Attained</w:t>
            </w:r>
          </w:p>
          <w:p w14:paraId="5E4D526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76002B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9557F5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002604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63373E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EF354E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80C97F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62E3F6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7437BD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2F2684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8984E94" w14:textId="77777777" w:rsidR="00000000" w:rsidRDefault="00000000">
            <w:pPr>
              <w:keepNext/>
              <w:spacing w:before="60" w:after="60"/>
              <w:jc w:val="center"/>
              <w:rPr>
                <w:rFonts w:cs="Arial"/>
                <w:b/>
                <w:sz w:val="20"/>
                <w:szCs w:val="20"/>
              </w:rPr>
            </w:pPr>
            <w:r>
              <w:rPr>
                <w:rFonts w:cs="Arial"/>
                <w:b/>
                <w:sz w:val="20"/>
                <w:szCs w:val="20"/>
              </w:rPr>
              <w:t>(PA Critical)</w:t>
            </w:r>
          </w:p>
        </w:tc>
      </w:tr>
      <w:tr w:rsidR="007A2FD1" w14:paraId="2F038885" w14:textId="77777777">
        <w:tc>
          <w:tcPr>
            <w:tcW w:w="1384" w:type="dxa"/>
            <w:vAlign w:val="center"/>
          </w:tcPr>
          <w:p w14:paraId="3D77707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A21F4B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3B71EB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5322892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F4976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860218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AF3285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D6035F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A2FD1" w14:paraId="533D3190" w14:textId="77777777">
        <w:tc>
          <w:tcPr>
            <w:tcW w:w="1384" w:type="dxa"/>
            <w:vAlign w:val="center"/>
          </w:tcPr>
          <w:p w14:paraId="359921D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EB438E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2F7E32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2AD295A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BC407F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A71DEC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D7C488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3F7C49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DA34C4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A2FD1" w14:paraId="381B3849" w14:textId="77777777">
        <w:tc>
          <w:tcPr>
            <w:tcW w:w="1384" w:type="dxa"/>
            <w:vAlign w:val="center"/>
          </w:tcPr>
          <w:p w14:paraId="2CB35B3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7BF828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8FF79A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BEB5C14" w14:textId="77777777" w:rsidR="00000000" w:rsidRDefault="00000000">
            <w:pPr>
              <w:keepNext/>
              <w:spacing w:before="60" w:after="60"/>
              <w:jc w:val="center"/>
              <w:rPr>
                <w:rFonts w:cs="Arial"/>
                <w:b/>
                <w:sz w:val="20"/>
                <w:szCs w:val="20"/>
              </w:rPr>
            </w:pPr>
            <w:r>
              <w:rPr>
                <w:rFonts w:cs="Arial"/>
                <w:b/>
                <w:sz w:val="20"/>
                <w:szCs w:val="20"/>
              </w:rPr>
              <w:t>Unattained Low Risk</w:t>
            </w:r>
          </w:p>
          <w:p w14:paraId="1F3845A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CD40D93" w14:textId="77777777" w:rsidR="00000000" w:rsidRDefault="00000000">
            <w:pPr>
              <w:keepNext/>
              <w:spacing w:before="60" w:after="60"/>
              <w:jc w:val="center"/>
              <w:rPr>
                <w:rFonts w:cs="Arial"/>
                <w:b/>
                <w:sz w:val="20"/>
                <w:szCs w:val="20"/>
              </w:rPr>
            </w:pPr>
            <w:r>
              <w:rPr>
                <w:rFonts w:cs="Arial"/>
                <w:b/>
                <w:sz w:val="20"/>
                <w:szCs w:val="20"/>
              </w:rPr>
              <w:t>Unattained Moderate Risk</w:t>
            </w:r>
          </w:p>
          <w:p w14:paraId="7E19A34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89ADE8C" w14:textId="77777777" w:rsidR="00000000" w:rsidRDefault="00000000">
            <w:pPr>
              <w:keepNext/>
              <w:spacing w:before="60" w:after="60"/>
              <w:jc w:val="center"/>
              <w:rPr>
                <w:rFonts w:cs="Arial"/>
                <w:b/>
                <w:sz w:val="20"/>
                <w:szCs w:val="20"/>
              </w:rPr>
            </w:pPr>
            <w:r>
              <w:rPr>
                <w:rFonts w:cs="Arial"/>
                <w:b/>
                <w:sz w:val="20"/>
                <w:szCs w:val="20"/>
              </w:rPr>
              <w:t>Unattained High Risk</w:t>
            </w:r>
          </w:p>
          <w:p w14:paraId="28587A6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55C7737" w14:textId="77777777" w:rsidR="00000000" w:rsidRDefault="00000000">
            <w:pPr>
              <w:keepNext/>
              <w:spacing w:before="60" w:after="60"/>
              <w:jc w:val="center"/>
              <w:rPr>
                <w:rFonts w:cs="Arial"/>
                <w:b/>
                <w:sz w:val="20"/>
                <w:szCs w:val="20"/>
              </w:rPr>
            </w:pPr>
            <w:r>
              <w:rPr>
                <w:rFonts w:cs="Arial"/>
                <w:b/>
                <w:sz w:val="20"/>
                <w:szCs w:val="20"/>
              </w:rPr>
              <w:t>Unattained Critical Risk</w:t>
            </w:r>
          </w:p>
          <w:p w14:paraId="275662DB" w14:textId="77777777" w:rsidR="00000000" w:rsidRDefault="00000000">
            <w:pPr>
              <w:keepNext/>
              <w:spacing w:before="60" w:after="60"/>
              <w:jc w:val="center"/>
              <w:rPr>
                <w:rFonts w:cs="Arial"/>
                <w:b/>
                <w:sz w:val="20"/>
                <w:szCs w:val="20"/>
              </w:rPr>
            </w:pPr>
            <w:r>
              <w:rPr>
                <w:rFonts w:cs="Arial"/>
                <w:b/>
                <w:sz w:val="20"/>
                <w:szCs w:val="20"/>
              </w:rPr>
              <w:t>(UA Critical)</w:t>
            </w:r>
          </w:p>
        </w:tc>
      </w:tr>
      <w:tr w:rsidR="007A2FD1" w14:paraId="17E0233C" w14:textId="77777777">
        <w:tc>
          <w:tcPr>
            <w:tcW w:w="1384" w:type="dxa"/>
            <w:vAlign w:val="center"/>
          </w:tcPr>
          <w:p w14:paraId="074B225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871F51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6D4731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F50C76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8FE5FC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1AE542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A2FD1" w14:paraId="25B558AC" w14:textId="77777777">
        <w:tc>
          <w:tcPr>
            <w:tcW w:w="1384" w:type="dxa"/>
            <w:vAlign w:val="center"/>
          </w:tcPr>
          <w:p w14:paraId="0CB462F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F45174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89B33E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522B31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F3CECC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F5407A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917864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686B8F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973BD6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358C5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7"/>
        <w:gridCol w:w="1352"/>
        <w:gridCol w:w="6519"/>
      </w:tblGrid>
      <w:tr w:rsidR="007A2FD1" w14:paraId="1BA25EB2" w14:textId="77777777">
        <w:tc>
          <w:tcPr>
            <w:tcW w:w="0" w:type="auto"/>
          </w:tcPr>
          <w:p w14:paraId="79564F8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F35F16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7A733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A2FD1" w14:paraId="4D47FC43" w14:textId="77777777">
        <w:tc>
          <w:tcPr>
            <w:tcW w:w="0" w:type="auto"/>
          </w:tcPr>
          <w:p w14:paraId="3F178D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58D38B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5C5EAF9" w14:textId="77777777" w:rsidR="00000000" w:rsidRPr="00BE00C7" w:rsidRDefault="00000000" w:rsidP="00BE00C7">
            <w:pPr>
              <w:pStyle w:val="OutcomeDescription"/>
              <w:spacing w:before="120" w:after="120"/>
              <w:rPr>
                <w:rFonts w:cs="Arial"/>
                <w:lang w:eastAsia="en-NZ"/>
              </w:rPr>
            </w:pPr>
          </w:p>
        </w:tc>
        <w:tc>
          <w:tcPr>
            <w:tcW w:w="0" w:type="auto"/>
          </w:tcPr>
          <w:p w14:paraId="64D41D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6F8B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Lexham Gardens/NZACS has developed policies, a ‘Treaty of Waitangi Information’ brochure, Tikanga Guidelines and a Māori health plan to embed and enact Te Tiriti o Waitangi in all aspects of its work. Mana motuhake is respected. The eight Māori residents were provided with support to achieve their goals. The Māori board director has iwi connections and provides cultural guidance. </w:t>
            </w:r>
          </w:p>
          <w:p w14:paraId="2A43E2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Contact with the local iwi Ngāti Whātua-o-Ōrākei has been made by the care home manager (CHM) and a contact number was available for access to support for residents if this is required/requested.  Residents interviewed reported that staff respected their right to Māori self-determination, and they felt culturally safe. This was confirmed in the most recent resident satisfaction survey reviewed. </w:t>
            </w:r>
          </w:p>
          <w:p w14:paraId="095A3021"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no Māori staff employed. Staff ethnicity data is documented on recruitment. The regulated and non-regulated workforce is a culturally diverse team. Staff have completed a range of relevant cultural training.</w:t>
            </w:r>
          </w:p>
          <w:p w14:paraId="63F51C35" w14:textId="77777777" w:rsidR="00000000" w:rsidRPr="00BE00C7" w:rsidRDefault="00000000" w:rsidP="00BE00C7">
            <w:pPr>
              <w:pStyle w:val="OutcomeDescription"/>
              <w:spacing w:before="120" w:after="120"/>
              <w:rPr>
                <w:rFonts w:cs="Arial"/>
                <w:lang w:eastAsia="en-NZ"/>
              </w:rPr>
            </w:pPr>
          </w:p>
        </w:tc>
      </w:tr>
      <w:tr w:rsidR="007A2FD1" w14:paraId="173E5833" w14:textId="77777777">
        <w:tc>
          <w:tcPr>
            <w:tcW w:w="0" w:type="auto"/>
          </w:tcPr>
          <w:p w14:paraId="5DA57C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0A4D1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DF96D0F" w14:textId="77777777" w:rsidR="00000000" w:rsidRPr="00BE00C7" w:rsidRDefault="00000000" w:rsidP="00BE00C7">
            <w:pPr>
              <w:pStyle w:val="OutcomeDescription"/>
              <w:spacing w:before="120" w:after="120"/>
              <w:rPr>
                <w:rFonts w:cs="Arial"/>
                <w:lang w:eastAsia="en-NZ"/>
              </w:rPr>
            </w:pPr>
          </w:p>
        </w:tc>
        <w:tc>
          <w:tcPr>
            <w:tcW w:w="0" w:type="auto"/>
          </w:tcPr>
          <w:p w14:paraId="24D9BD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515E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Lexham Garden’s culturally diverse workforce, including several staff from the Pacific region. These staff support the eight Pacific people residents to maintain contacts with Pacific communities and organisations. They were able to communicate with residents in their own languages. A Pacific plan supports culturally safe practices for Pacific peoples. </w:t>
            </w:r>
          </w:p>
          <w:p w14:paraId="5CAD743F" w14:textId="77777777" w:rsidR="00000000" w:rsidRPr="00BE00C7" w:rsidRDefault="00000000" w:rsidP="00BE00C7">
            <w:pPr>
              <w:pStyle w:val="OutcomeDescription"/>
              <w:spacing w:before="120" w:after="120"/>
              <w:rPr>
                <w:rFonts w:cs="Arial"/>
                <w:lang w:eastAsia="en-NZ"/>
              </w:rPr>
            </w:pPr>
            <w:r w:rsidRPr="00BE00C7">
              <w:rPr>
                <w:rFonts w:cs="Arial"/>
                <w:lang w:eastAsia="en-NZ"/>
              </w:rPr>
              <w:t>Pacific people interviewed felt their worldview, and cultural and spiritual beliefs were embraced. This was confirmed in the most recent resident satisfaction survey reviewed.</w:t>
            </w:r>
          </w:p>
          <w:p w14:paraId="05517613" w14:textId="77777777" w:rsidR="00000000" w:rsidRPr="00BE00C7" w:rsidRDefault="00000000" w:rsidP="00BE00C7">
            <w:pPr>
              <w:pStyle w:val="OutcomeDescription"/>
              <w:spacing w:before="120" w:after="120"/>
              <w:rPr>
                <w:rFonts w:cs="Arial"/>
                <w:lang w:eastAsia="en-NZ"/>
              </w:rPr>
            </w:pPr>
            <w:r w:rsidRPr="00BE00C7">
              <w:rPr>
                <w:rFonts w:cs="Arial"/>
                <w:lang w:eastAsia="en-NZ"/>
              </w:rPr>
              <w:t>Recruitment, training and actions to employ and retain a Pacific workforce are supported resulting in Pacific staff employed across a range of roles.</w:t>
            </w:r>
          </w:p>
          <w:p w14:paraId="212B5A92" w14:textId="77777777" w:rsidR="00000000" w:rsidRPr="00BE00C7" w:rsidRDefault="00000000" w:rsidP="00BE00C7">
            <w:pPr>
              <w:pStyle w:val="OutcomeDescription"/>
              <w:spacing w:before="120" w:after="120"/>
              <w:rPr>
                <w:rFonts w:cs="Arial"/>
                <w:lang w:eastAsia="en-NZ"/>
              </w:rPr>
            </w:pPr>
          </w:p>
        </w:tc>
      </w:tr>
      <w:tr w:rsidR="007A2FD1" w14:paraId="0D3C55BB" w14:textId="77777777">
        <w:tc>
          <w:tcPr>
            <w:tcW w:w="0" w:type="auto"/>
          </w:tcPr>
          <w:p w14:paraId="4DCA69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92EFC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AA1AC08" w14:textId="77777777" w:rsidR="00000000" w:rsidRPr="00BE00C7" w:rsidRDefault="00000000" w:rsidP="00BE00C7">
            <w:pPr>
              <w:pStyle w:val="OutcomeDescription"/>
              <w:spacing w:before="120" w:after="120"/>
              <w:rPr>
                <w:rFonts w:cs="Arial"/>
                <w:lang w:eastAsia="en-NZ"/>
              </w:rPr>
            </w:pPr>
          </w:p>
        </w:tc>
        <w:tc>
          <w:tcPr>
            <w:tcW w:w="0" w:type="auto"/>
          </w:tcPr>
          <w:p w14:paraId="375187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C9DB2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understood the requirements of the Code of Health and Disability Services Consumers’ Rights (the Code) and were observed supporting residents to follow their wishes. Family/whānau and residents interviewed reported being made aware of the Code and the Nationwide Health and Disability Advocacy Service (Advocacy Service), and confirmed they were provided with opportunities to discuss and clarify their rights. The Code is available in te reo Māori, English, and New Zealand Sign Language. Staff training on the Code has been conducted.</w:t>
            </w:r>
          </w:p>
          <w:p w14:paraId="53E84F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CNL interviewed, reported that the service recognises Māori mana motuhake (self-determination) of residents, family/whānau, or their representatives in its updated cultural safety policy. The assessment process includes the residents’ wishes and support needs.</w:t>
            </w:r>
          </w:p>
          <w:p w14:paraId="12421C17" w14:textId="77777777" w:rsidR="00000000" w:rsidRPr="00BE00C7" w:rsidRDefault="00000000" w:rsidP="00BE00C7">
            <w:pPr>
              <w:pStyle w:val="OutcomeDescription"/>
              <w:spacing w:before="120" w:after="120"/>
              <w:rPr>
                <w:rFonts w:cs="Arial"/>
                <w:lang w:eastAsia="en-NZ"/>
              </w:rPr>
            </w:pPr>
          </w:p>
        </w:tc>
      </w:tr>
      <w:tr w:rsidR="007A2FD1" w14:paraId="0EB54A68" w14:textId="77777777">
        <w:tc>
          <w:tcPr>
            <w:tcW w:w="0" w:type="auto"/>
          </w:tcPr>
          <w:p w14:paraId="5EB1A3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FD390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way that is inclusive and respects their identity and their </w:t>
            </w:r>
            <w:r w:rsidRPr="00BE00C7">
              <w:rPr>
                <w:rFonts w:cs="Arial"/>
                <w:lang w:eastAsia="en-NZ"/>
              </w:rPr>
              <w:lastRenderedPageBreak/>
              <w:t>experiences.</w:t>
            </w:r>
          </w:p>
          <w:p w14:paraId="5258874E" w14:textId="77777777" w:rsidR="00000000" w:rsidRPr="00BE00C7" w:rsidRDefault="00000000" w:rsidP="00BE00C7">
            <w:pPr>
              <w:pStyle w:val="OutcomeDescription"/>
              <w:spacing w:before="120" w:after="120"/>
              <w:rPr>
                <w:rFonts w:cs="Arial"/>
                <w:lang w:eastAsia="en-NZ"/>
              </w:rPr>
            </w:pPr>
          </w:p>
        </w:tc>
        <w:tc>
          <w:tcPr>
            <w:tcW w:w="0" w:type="auto"/>
          </w:tcPr>
          <w:p w14:paraId="294B8F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D7BA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supported in a way that is inclusive and respects their identity and experiences. All residents, including young people with disabilities, are able to maintain their personal, gender, sexual, cultural, religious, and spiritual identity. Young people with disabilities (YPD) have input into their own routine where applicable, and their identity, gender, and sexuality were respected. These were documented in the </w:t>
            </w:r>
            <w:r w:rsidRPr="00BE00C7">
              <w:rPr>
                <w:rFonts w:cs="Arial"/>
                <w:lang w:eastAsia="en-NZ"/>
              </w:rPr>
              <w:lastRenderedPageBreak/>
              <w:t>residents’ care plans sampled. Family/whānau and residents, including people with disabilities, confirmed being consulted.</w:t>
            </w:r>
          </w:p>
          <w:p w14:paraId="39141E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CNL reported that residents are supported to maintain their independence by staff through daily activities. Residents were able to move freely within and outside the facility. There is a documented privacy policy that references current legislation requirements. Staff were observed to maintain privacy throughout the audit, including respecting residents’ personal areas, and knocking on the doors before entering.</w:t>
            </w:r>
          </w:p>
          <w:p w14:paraId="53D2BEE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had completed cultural training as part of orientation and annually through the education programme, along with Te Tiriti o Waitangi, te reo Māori, and tikanga practices. The CNL reported that te reo Māori and tikanga Māori practices are promoted within the service through activities undertaken, such as policy reviews and translation of English words into Māori.</w:t>
            </w:r>
          </w:p>
          <w:p w14:paraId="56F1A0DE" w14:textId="77777777" w:rsidR="00000000" w:rsidRPr="00BE00C7" w:rsidRDefault="00000000" w:rsidP="00BE00C7">
            <w:pPr>
              <w:pStyle w:val="OutcomeDescription"/>
              <w:spacing w:before="120" w:after="120"/>
              <w:rPr>
                <w:rFonts w:cs="Arial"/>
                <w:lang w:eastAsia="en-NZ"/>
              </w:rPr>
            </w:pPr>
          </w:p>
        </w:tc>
      </w:tr>
      <w:tr w:rsidR="007A2FD1" w14:paraId="24A75F82" w14:textId="77777777">
        <w:tc>
          <w:tcPr>
            <w:tcW w:w="0" w:type="auto"/>
          </w:tcPr>
          <w:p w14:paraId="5BF41E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F43AA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1F5EC49" w14:textId="77777777" w:rsidR="00000000" w:rsidRPr="00BE00C7" w:rsidRDefault="00000000" w:rsidP="00BE00C7">
            <w:pPr>
              <w:pStyle w:val="OutcomeDescription"/>
              <w:spacing w:before="120" w:after="120"/>
              <w:rPr>
                <w:rFonts w:cs="Arial"/>
                <w:lang w:eastAsia="en-NZ"/>
              </w:rPr>
            </w:pPr>
          </w:p>
        </w:tc>
        <w:tc>
          <w:tcPr>
            <w:tcW w:w="0" w:type="auto"/>
          </w:tcPr>
          <w:p w14:paraId="727661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8428D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annually.</w:t>
            </w:r>
          </w:p>
          <w:p w14:paraId="63200B1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and finances were respected and that professional boundaries were maintained. The CNL reported that staff were guided by the code of conduct to ensure the environment is safe and free from any form of institutional and/or systemic racism. Family/whānau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5F5627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cultural policy in place identified strengths-based, person-centred care and general healthy wellbeing outcomes for Māori residents admitted to the service. This was further reiterated by the registered nurse (RN) and CNL who reported that all outcomes are </w:t>
            </w:r>
            <w:r w:rsidRPr="00BE00C7">
              <w:rPr>
                <w:rFonts w:cs="Arial"/>
                <w:lang w:eastAsia="en-NZ"/>
              </w:rPr>
              <w:lastRenderedPageBreak/>
              <w:t>managed and documented in consultation with residents, Enduring Power of Attorney (EPOA)/whānau, and Māori health organisations and practitioners (as applicable).</w:t>
            </w:r>
          </w:p>
          <w:p w14:paraId="072EACC9" w14:textId="77777777" w:rsidR="00000000" w:rsidRPr="00BE00C7" w:rsidRDefault="00000000" w:rsidP="00BE00C7">
            <w:pPr>
              <w:pStyle w:val="OutcomeDescription"/>
              <w:spacing w:before="120" w:after="120"/>
              <w:rPr>
                <w:rFonts w:cs="Arial"/>
                <w:lang w:eastAsia="en-NZ"/>
              </w:rPr>
            </w:pPr>
          </w:p>
        </w:tc>
      </w:tr>
      <w:tr w:rsidR="007A2FD1" w14:paraId="5A1606C0" w14:textId="77777777">
        <w:tc>
          <w:tcPr>
            <w:tcW w:w="0" w:type="auto"/>
          </w:tcPr>
          <w:p w14:paraId="4407B2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655D6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61D1A1C" w14:textId="77777777" w:rsidR="00000000" w:rsidRPr="00BE00C7" w:rsidRDefault="00000000" w:rsidP="00BE00C7">
            <w:pPr>
              <w:pStyle w:val="OutcomeDescription"/>
              <w:spacing w:before="120" w:after="120"/>
              <w:rPr>
                <w:rFonts w:cs="Arial"/>
                <w:lang w:eastAsia="en-NZ"/>
              </w:rPr>
            </w:pPr>
          </w:p>
        </w:tc>
        <w:tc>
          <w:tcPr>
            <w:tcW w:w="0" w:type="auto"/>
          </w:tcPr>
          <w:p w14:paraId="357F76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E718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conducted, residents and whānau reported that communication was open and effective, and they felt listened to. Enduring Power of Attorney (EPOA)/whānau/family stated they were kept well informed about any changes to their relative’s health status and were advised in a timely manner about any incidents or accidents and outcomes of regular or urgent medical reviews. This was supported in residents’ records reviewed. Staff understood the principles of open disclosure, which are supported by policies and procedures. </w:t>
            </w:r>
          </w:p>
          <w:p w14:paraId="3D98AF9A"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w:t>
            </w:r>
          </w:p>
          <w:p w14:paraId="259574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required the services of an interpreter; however, the staff knew how to access interpreter services if required. Staff can provide interpretation as and when needed and use family members as appropriate. Residents including YPD reported that they were provided with access to use the facility’s main phone to communicate with their whānau, Wi-Fi access for their electronic gadgets such as I-pads, mobile phones, and laptops.</w:t>
            </w:r>
          </w:p>
          <w:p w14:paraId="71A8C5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nursing team, care, and activities staff reported that verbal and non-verbal communication cards and regular use of hearing aids by residents when required, was encouraged.</w:t>
            </w:r>
          </w:p>
          <w:p w14:paraId="72B30D66" w14:textId="77777777" w:rsidR="00000000" w:rsidRPr="00BE00C7" w:rsidRDefault="00000000" w:rsidP="00BE00C7">
            <w:pPr>
              <w:pStyle w:val="OutcomeDescription"/>
              <w:spacing w:before="120" w:after="120"/>
              <w:rPr>
                <w:rFonts w:cs="Arial"/>
                <w:lang w:eastAsia="en-NZ"/>
              </w:rPr>
            </w:pPr>
          </w:p>
        </w:tc>
      </w:tr>
      <w:tr w:rsidR="007A2FD1" w14:paraId="6F9168B9" w14:textId="77777777">
        <w:tc>
          <w:tcPr>
            <w:tcW w:w="0" w:type="auto"/>
          </w:tcPr>
          <w:p w14:paraId="1A0DE7F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288BE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2EE0CF1" w14:textId="77777777" w:rsidR="00000000" w:rsidRPr="00BE00C7" w:rsidRDefault="00000000" w:rsidP="00BE00C7">
            <w:pPr>
              <w:pStyle w:val="OutcomeDescription"/>
              <w:spacing w:before="120" w:after="120"/>
              <w:rPr>
                <w:rFonts w:cs="Arial"/>
                <w:lang w:eastAsia="en-NZ"/>
              </w:rPr>
            </w:pPr>
          </w:p>
        </w:tc>
        <w:tc>
          <w:tcPr>
            <w:tcW w:w="0" w:type="auto"/>
          </w:tcPr>
          <w:p w14:paraId="31737E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D909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understood the principles and practice of informed consent. Informed consent is obtained as part of the admission documents which the resident and/or their nominated legal representative sign on admission. Signed admission agreements were evidenced in the sampled residents’ records. Informed consent for specific procedures had been gained appropriately. Resuscitation treatment plans, and advance directives were signed by residents who were competent and able to consent, and a medical decision was made </w:t>
            </w:r>
            <w:r w:rsidRPr="00BE00C7">
              <w:rPr>
                <w:rFonts w:cs="Arial"/>
                <w:lang w:eastAsia="en-NZ"/>
              </w:rPr>
              <w:lastRenderedPageBreak/>
              <w:t xml:space="preserve">by the geriatrician, and the general practitioner (GP) for residents who were unable to provide consent. The CNL reported that the GP discusses the resuscitation treatment plan with the resident, where applicable, or with the resident’s family/whānau. This was verified in interviews with residents, their whānau, and the GP. Staff were observed to gain consent for daily cares.  </w:t>
            </w:r>
          </w:p>
          <w:p w14:paraId="3F5C2CD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confirmed that they were provided with information and were involved in making decisions about their care. Where required, a nominated support person is involved with the resident’s consent. Information about the nominated resident’s representative of choice, next of kin, or EPOA is provided on admission. Communication records verified the inclusion of residents where applicable. The informed consent policy considers appropriate best practice tikanga guidelines in relation to consent.</w:t>
            </w:r>
          </w:p>
          <w:p w14:paraId="4E32025C" w14:textId="77777777" w:rsidR="00000000" w:rsidRPr="00BE00C7" w:rsidRDefault="00000000" w:rsidP="00BE00C7">
            <w:pPr>
              <w:pStyle w:val="OutcomeDescription"/>
              <w:spacing w:before="120" w:after="120"/>
              <w:rPr>
                <w:rFonts w:cs="Arial"/>
                <w:lang w:eastAsia="en-NZ"/>
              </w:rPr>
            </w:pPr>
          </w:p>
        </w:tc>
      </w:tr>
      <w:tr w:rsidR="007A2FD1" w14:paraId="659E3C0D" w14:textId="77777777">
        <w:tc>
          <w:tcPr>
            <w:tcW w:w="0" w:type="auto"/>
          </w:tcPr>
          <w:p w14:paraId="386B71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CE386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FB834CE" w14:textId="77777777" w:rsidR="00000000" w:rsidRPr="00BE00C7" w:rsidRDefault="00000000" w:rsidP="00BE00C7">
            <w:pPr>
              <w:pStyle w:val="OutcomeDescription"/>
              <w:spacing w:before="120" w:after="120"/>
              <w:rPr>
                <w:rFonts w:cs="Arial"/>
                <w:lang w:eastAsia="en-NZ"/>
              </w:rPr>
            </w:pPr>
          </w:p>
        </w:tc>
        <w:tc>
          <w:tcPr>
            <w:tcW w:w="0" w:type="auto"/>
          </w:tcPr>
          <w:p w14:paraId="28CE88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60CC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with these defined in policy.  Residents interviewed understood their right to make a complaint and knew how to do so. The CHM completed a ‘walk around’ each morning to make contact with each resident and to support open communication and identify any concerns. </w:t>
            </w:r>
          </w:p>
          <w:p w14:paraId="1AA242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complaints reviewed showed that complainants had been informed of findings following investigation. Most complaints were of a minor nature. Where possible, improvements had been made as a result of the investigation. </w:t>
            </w:r>
          </w:p>
          <w:p w14:paraId="5DE91D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not been any complaints received from Māori, but should this occur, access to cultural support would be provided. The Code and complaints process was available in te reo Māori.</w:t>
            </w:r>
          </w:p>
          <w:p w14:paraId="530C0A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past year, two complaints have been received via the Health and Disability Commissioner and one via the Ministry for Disabled People.  All three were reviewed and discussed on site. None of these related to the quality of care received, but rather administrative aspects of the service. All requirements had been responded to promptly as required and all three had been closed and/or referred on to a more appropriate </w:t>
            </w:r>
            <w:r w:rsidRPr="00BE00C7">
              <w:rPr>
                <w:rFonts w:cs="Arial"/>
                <w:lang w:eastAsia="en-NZ"/>
              </w:rPr>
              <w:lastRenderedPageBreak/>
              <w:t xml:space="preserve">organisation/agency.  </w:t>
            </w:r>
          </w:p>
          <w:p w14:paraId="1006880E" w14:textId="77777777" w:rsidR="00000000" w:rsidRPr="00BE00C7" w:rsidRDefault="00000000" w:rsidP="00BE00C7">
            <w:pPr>
              <w:pStyle w:val="OutcomeDescription"/>
              <w:spacing w:before="120" w:after="120"/>
              <w:rPr>
                <w:rFonts w:cs="Arial"/>
                <w:lang w:eastAsia="en-NZ"/>
              </w:rPr>
            </w:pPr>
          </w:p>
        </w:tc>
      </w:tr>
      <w:tr w:rsidR="007A2FD1" w14:paraId="1F41A890" w14:textId="77777777">
        <w:tc>
          <w:tcPr>
            <w:tcW w:w="0" w:type="auto"/>
          </w:tcPr>
          <w:p w14:paraId="0272BD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6CB7F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7D416B1" w14:textId="77777777" w:rsidR="00000000" w:rsidRPr="00BE00C7" w:rsidRDefault="00000000" w:rsidP="00BE00C7">
            <w:pPr>
              <w:pStyle w:val="OutcomeDescription"/>
              <w:spacing w:before="120" w:after="120"/>
              <w:rPr>
                <w:rFonts w:cs="Arial"/>
                <w:lang w:eastAsia="en-NZ"/>
              </w:rPr>
            </w:pPr>
          </w:p>
        </w:tc>
        <w:tc>
          <w:tcPr>
            <w:tcW w:w="0" w:type="auto"/>
          </w:tcPr>
          <w:p w14:paraId="2E7760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B09D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NZACS directors/board assumes accountability for delivering a high-quality service to the residents. The numbers of directors have recently increased to four with the addition of a clinical person with extensive aged care experience. One of the directors identifies as Māori and supports cultural safety, health equity and Te Tiriti responsibilities. Te Tiriti training has been undertaken by the directors. The managing director was interviewed during the audit and displayed a commitment to ongoing quality improvement, resident safety, elimination of restraints, and equity principles, including for tāngata whaikaha.</w:t>
            </w:r>
          </w:p>
          <w:p w14:paraId="768D54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NZACS leadership structure was undergoing some development at the time of the audit, with the general manager (GM) operations now also responsible for clinical leadership. This person is a registered nurse with a current practising certificate. At Lexham Gardens, the CHM oversees the facility and is supported by a recently appointed clinical nurse leader (CNL). All these leaders/managers are suitably qualified and experienced for their roles and within the aged care sector. </w:t>
            </w:r>
          </w:p>
          <w:p w14:paraId="2702B6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of Lexham Gardens are defined as part of the business plan, which has been signed off by the GM. This plan is in line with the NZACS strategic direction.  Monitoring and review of performance occurs through regular reporting at planned intervals. Reporting to the directors from the GM was sighted in a sample of reports. The managing director interviewed felt well informed on progress and risks. Risks were noted in the reports sighted.   </w:t>
            </w:r>
          </w:p>
          <w:p w14:paraId="2E0EA4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NZACS leadership team and governance group, with external advice sought as required. Leaders at both NZACS and Lexham Gardens discussed a range of professional and business relationships to maintain current knowledge on legislative changes and requirements. </w:t>
            </w:r>
          </w:p>
          <w:p w14:paraId="02BB61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People receiving services and their whānau participate in planning and evaluation of services through satisfaction surveys and regular monthly residents’ meetings. A sample of minutes of these showed good attendance, a comprehensive agenda and that any concerns raised are </w:t>
            </w:r>
            <w:r w:rsidRPr="00BE00C7">
              <w:rPr>
                <w:rFonts w:cs="Arial"/>
                <w:lang w:eastAsia="en-NZ"/>
              </w:rPr>
              <w:lastRenderedPageBreak/>
              <w:t xml:space="preserve">addressed and reported back to the residents. Residents and whānau interviewed were happy with the services provided and their level of involvement. There is also a resident representative who acts in an advocacy role. This person was interviewed by one of the auditors and was happy with the current systems/services. </w:t>
            </w:r>
          </w:p>
          <w:p w14:paraId="699A36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at Lexham Gardens is managed by the CNL and team of registered nurses who meet regularly and discuss clinical matters and monitoring data. At the NZACS level, clinical governance was being strengthened through the GM and new clinical director who have established an organisation-wide clinical governance group with monitoring of clinical practice, clinical risks and clinical developments across all 11 facilities being the focus. This forum was about to meet for the first time during the month of this audit. </w:t>
            </w:r>
          </w:p>
          <w:p w14:paraId="5C31D1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Lexham Gardens holds contracts with Health New Zealand Te Whatu Ora Te Toka Tumai Auckland for the provision of rest home, hospital, respite, and Long-term Support Chronic Health Conditions (LTS-CHC), and with the Ministry for Disabled People for younger persons with a disability (YPD).  At the time of audit there were four YPD residents, one respite resident, 16 rest home residents and 31 hospital level care residents.   </w:t>
            </w:r>
          </w:p>
          <w:p w14:paraId="7E4B0667" w14:textId="77777777" w:rsidR="00000000" w:rsidRPr="00BE00C7" w:rsidRDefault="00000000" w:rsidP="00BE00C7">
            <w:pPr>
              <w:pStyle w:val="OutcomeDescription"/>
              <w:spacing w:before="120" w:after="120"/>
              <w:rPr>
                <w:rFonts w:cs="Arial"/>
                <w:lang w:eastAsia="en-NZ"/>
              </w:rPr>
            </w:pPr>
          </w:p>
        </w:tc>
      </w:tr>
      <w:tr w:rsidR="007A2FD1" w14:paraId="7D73DE0C" w14:textId="77777777">
        <w:tc>
          <w:tcPr>
            <w:tcW w:w="0" w:type="auto"/>
          </w:tcPr>
          <w:p w14:paraId="34EC5B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A83F5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372AF33" w14:textId="77777777" w:rsidR="00000000" w:rsidRPr="00BE00C7" w:rsidRDefault="00000000" w:rsidP="00BE00C7">
            <w:pPr>
              <w:pStyle w:val="OutcomeDescription"/>
              <w:spacing w:before="120" w:after="120"/>
              <w:rPr>
                <w:rFonts w:cs="Arial"/>
                <w:lang w:eastAsia="en-NZ"/>
              </w:rPr>
            </w:pPr>
          </w:p>
        </w:tc>
        <w:tc>
          <w:tcPr>
            <w:tcW w:w="0" w:type="auto"/>
          </w:tcPr>
          <w:p w14:paraId="41B81A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E0A4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 and complaints, audit activities, a regular resident satisfaction survey, monitoring of several resident safety/quality indicators (e.g., falls, skin tears, bruising, infections), policies and procedures, clinical incidents and any quality improvement projects. Improvements to trending of quality and safety data was evident with a new consistent format to improve benchmarking and reporting across the 11 facility sites and greater involvement of site leaders/managers. Several improvement projects at Lexham Gardens have been progressed over the past year, including the conversion of a storage area to a whānau room, the introduction of an ‘employee of the month’ process and improved training and support for the large numbers of internationally qualified nurses (IQNs) employed.</w:t>
            </w:r>
          </w:p>
          <w:p w14:paraId="1B2376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whānau contribute to quality improvement through satisfaction surveys and residents’ meetings and staff contribute through reviewing of data as part of regular staff/quality meetings and audit activities. Staff meeting agendas and minutes reviewed showed good attendance and comprehensive agendas covering quality and safety measures/activities. The most recent resident/whānau satisfaction survey (December 2024) showed a high level of satisfaction covering a wide range of measures (e.g., communication/information sharing, facilities, hygiene and cleanliness, cultural aspects, food, activities, privacy, rights and security). Ethnicity data is included for most measures, with plans to analyse this data more fully. Delivering high-quality care to Māori residents is supported through relevant training, tikanga policies, and access to cultural support roles externally as required. </w:t>
            </w:r>
          </w:p>
          <w:p w14:paraId="3A7B8B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extensive audit programme is followed, with a sample of audits reviewed showing positive outcomes, and where shortfalls were identified, corrective actions in place and reaudit occurring. </w:t>
            </w:r>
          </w:p>
          <w:p w14:paraId="309EC8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The organisation is transitioning to NZACS specific policies. </w:t>
            </w:r>
          </w:p>
          <w:p w14:paraId="568B36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described the processes for the identification, documentation, monitoring, review and reporting of risks, including health and safety risks, and development of mitigation strategies. These are reported from the facility to the GM and senior leadership team and then to the board of directors. </w:t>
            </w:r>
          </w:p>
          <w:p w14:paraId="35B76D6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 Policy. A sample of five incidents forms reviewed showed these were fully completed, incidents were investigated, action plans developed, and actions followed up in a timely manner. The process around review of severity assessment code (SAC) 1 and 2 events was under review and further development at NZACS level as described by the GM.</w:t>
            </w:r>
          </w:p>
          <w:p w14:paraId="58EDB1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CHM understood essential notification reporting requirements. Two pressure injuries, present on admission to the facility, were reported in 2024. Notification of the additional new director to the board was made during the audit.</w:t>
            </w:r>
          </w:p>
          <w:p w14:paraId="31C569AD" w14:textId="77777777" w:rsidR="00000000" w:rsidRPr="00BE00C7" w:rsidRDefault="00000000" w:rsidP="00BE00C7">
            <w:pPr>
              <w:pStyle w:val="OutcomeDescription"/>
              <w:spacing w:before="120" w:after="120"/>
              <w:rPr>
                <w:rFonts w:cs="Arial"/>
                <w:lang w:eastAsia="en-NZ"/>
              </w:rPr>
            </w:pPr>
          </w:p>
        </w:tc>
      </w:tr>
      <w:tr w:rsidR="007A2FD1" w14:paraId="77D9A40B" w14:textId="77777777">
        <w:tc>
          <w:tcPr>
            <w:tcW w:w="0" w:type="auto"/>
          </w:tcPr>
          <w:p w14:paraId="611A68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D1A41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3615123" w14:textId="77777777" w:rsidR="00000000" w:rsidRPr="00BE00C7" w:rsidRDefault="00000000" w:rsidP="00BE00C7">
            <w:pPr>
              <w:pStyle w:val="OutcomeDescription"/>
              <w:spacing w:before="120" w:after="120"/>
              <w:rPr>
                <w:rFonts w:cs="Arial"/>
                <w:lang w:eastAsia="en-NZ"/>
              </w:rPr>
            </w:pPr>
          </w:p>
        </w:tc>
        <w:tc>
          <w:tcPr>
            <w:tcW w:w="0" w:type="auto"/>
          </w:tcPr>
          <w:p w14:paraId="47726C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AED5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safe care, 24 hours a day, seven days a week (24/7). The facility adjusts staffing levels to meet the changing needs of residents.  A team approach ensures all aspects of service delivery are met.   Those providing care reported there were adequate staff to complete the work allocated to them.  Residents and whānau interviewed supported this. At least one staff member on duty has a current first aid certificate and there is 24/7 RN coverage.  </w:t>
            </w:r>
          </w:p>
          <w:p w14:paraId="4D5370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1508E2D7"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annually, covering a wide range of topics including infection prevention and control, medication management, care planning and assessment and cultural safety, assisted dying and the Māori care plan, for example. Related competencies were assessed. High-quality Māori health information was accessed and used to support training and development programmes, policy development, and care delivery.</w:t>
            </w:r>
          </w:p>
          <w:p w14:paraId="10F31E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Most care staff have either completed or commenced a New Zealand Qualification Authority education programme to meet the requirements of the provider’s agreement with Health New Zealand - Te Whatu Ora. Six healthcare assistants have achieved level 3, three level 2 and 10 have recently commenced level 1. Records reviewed demonstrated completion of the required training and competency assessments. </w:t>
            </w:r>
          </w:p>
          <w:p w14:paraId="59F58B1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felt well supported and safe in the workplace.</w:t>
            </w:r>
          </w:p>
          <w:p w14:paraId="3BE5BEE8" w14:textId="77777777" w:rsidR="00000000" w:rsidRPr="00BE00C7" w:rsidRDefault="00000000" w:rsidP="00BE00C7">
            <w:pPr>
              <w:pStyle w:val="OutcomeDescription"/>
              <w:spacing w:before="120" w:after="120"/>
              <w:rPr>
                <w:rFonts w:cs="Arial"/>
                <w:lang w:eastAsia="en-NZ"/>
              </w:rPr>
            </w:pPr>
          </w:p>
        </w:tc>
      </w:tr>
      <w:tr w:rsidR="007A2FD1" w14:paraId="1DFFD09F" w14:textId="77777777">
        <w:tc>
          <w:tcPr>
            <w:tcW w:w="0" w:type="auto"/>
          </w:tcPr>
          <w:p w14:paraId="73772B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3DBBE2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w:t>
            </w:r>
            <w:r w:rsidRPr="00BE00C7">
              <w:rPr>
                <w:rFonts w:cs="Arial"/>
                <w:lang w:eastAsia="en-NZ"/>
              </w:rPr>
              <w:lastRenderedPageBreak/>
              <w:t>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BE937F2" w14:textId="77777777" w:rsidR="00000000" w:rsidRPr="00BE00C7" w:rsidRDefault="00000000" w:rsidP="00BE00C7">
            <w:pPr>
              <w:pStyle w:val="OutcomeDescription"/>
              <w:spacing w:before="120" w:after="120"/>
              <w:rPr>
                <w:rFonts w:cs="Arial"/>
                <w:lang w:eastAsia="en-NZ"/>
              </w:rPr>
            </w:pPr>
          </w:p>
        </w:tc>
        <w:tc>
          <w:tcPr>
            <w:tcW w:w="0" w:type="auto"/>
          </w:tcPr>
          <w:p w14:paraId="6D1437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9E20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were consistently implemented. Job descriptions were documented for each role. Professional qualifications and registration (where applicable) had been validated prior to employment. Practising certificates were current for all regulated health professionals, including the general practitioner, </w:t>
            </w:r>
            <w:r w:rsidRPr="00BE00C7">
              <w:rPr>
                <w:rFonts w:cs="Arial"/>
                <w:lang w:eastAsia="en-NZ"/>
              </w:rPr>
              <w:lastRenderedPageBreak/>
              <w:t xml:space="preserve">pharmacists, podiatrist and dietitian. </w:t>
            </w:r>
          </w:p>
          <w:p w14:paraId="3C60A6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their roles. Evidence of completion was seen in files reviewed. Opportunities to discuss and review performance occur three months following appointment and yearly thereafter, as confirmed in records reviewed. </w:t>
            </w:r>
          </w:p>
          <w:p w14:paraId="62EA822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 Staff reported they are involved with debriefs and discussions following any serious incidents or stressful situations.</w:t>
            </w:r>
          </w:p>
          <w:p w14:paraId="5990AB13" w14:textId="77777777" w:rsidR="00000000" w:rsidRPr="00BE00C7" w:rsidRDefault="00000000" w:rsidP="00BE00C7">
            <w:pPr>
              <w:pStyle w:val="OutcomeDescription"/>
              <w:spacing w:before="120" w:after="120"/>
              <w:rPr>
                <w:rFonts w:cs="Arial"/>
                <w:lang w:eastAsia="en-NZ"/>
              </w:rPr>
            </w:pPr>
          </w:p>
        </w:tc>
      </w:tr>
      <w:tr w:rsidR="007A2FD1" w14:paraId="6B2FC06C" w14:textId="77777777">
        <w:tc>
          <w:tcPr>
            <w:tcW w:w="0" w:type="auto"/>
          </w:tcPr>
          <w:p w14:paraId="79F319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E2B4C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E2A116B" w14:textId="77777777" w:rsidR="00000000" w:rsidRPr="00BE00C7" w:rsidRDefault="00000000" w:rsidP="00BE00C7">
            <w:pPr>
              <w:pStyle w:val="OutcomeDescription"/>
              <w:spacing w:before="120" w:after="120"/>
              <w:rPr>
                <w:rFonts w:cs="Arial"/>
                <w:lang w:eastAsia="en-NZ"/>
              </w:rPr>
            </w:pPr>
          </w:p>
        </w:tc>
        <w:tc>
          <w:tcPr>
            <w:tcW w:w="0" w:type="auto"/>
          </w:tcPr>
          <w:p w14:paraId="0EEB1E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EE71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was accessible for all those who needed it. </w:t>
            </w:r>
          </w:p>
          <w:p w14:paraId="1296ABC8"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w:t>
            </w:r>
          </w:p>
          <w:p w14:paraId="3948E1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registration/data.</w:t>
            </w:r>
          </w:p>
          <w:p w14:paraId="3BF2C301" w14:textId="77777777" w:rsidR="00000000" w:rsidRPr="00BE00C7" w:rsidRDefault="00000000" w:rsidP="00BE00C7">
            <w:pPr>
              <w:pStyle w:val="OutcomeDescription"/>
              <w:spacing w:before="120" w:after="120"/>
              <w:rPr>
                <w:rFonts w:cs="Arial"/>
                <w:lang w:eastAsia="en-NZ"/>
              </w:rPr>
            </w:pPr>
          </w:p>
        </w:tc>
      </w:tr>
      <w:tr w:rsidR="007A2FD1" w14:paraId="4B0A516A" w14:textId="77777777">
        <w:tc>
          <w:tcPr>
            <w:tcW w:w="0" w:type="auto"/>
          </w:tcPr>
          <w:p w14:paraId="21F5DE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0742A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337F91B8" w14:textId="77777777" w:rsidR="00000000" w:rsidRPr="00BE00C7" w:rsidRDefault="00000000" w:rsidP="00BE00C7">
            <w:pPr>
              <w:pStyle w:val="OutcomeDescription"/>
              <w:spacing w:before="120" w:after="120"/>
              <w:rPr>
                <w:rFonts w:cs="Arial"/>
                <w:lang w:eastAsia="en-NZ"/>
              </w:rPr>
            </w:pPr>
          </w:p>
        </w:tc>
        <w:tc>
          <w:tcPr>
            <w:tcW w:w="0" w:type="auto"/>
          </w:tcPr>
          <w:p w14:paraId="4005FF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374C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policy for the management of inquiries and entry to service is in place. The admission pack contains all the information about entry to the service. Assessments and entry screening processes are documented and communicated to the EPOA/whānau/family of choice, where appropriate, local communities, and referral agencies. Completed Needs Assessment and Service Coordination (NASC) agency authorisation forms for residents assessed as requiring hospital, rest home, young people with disabilities (YPD), Long-term Support Chronic Health Conditions (LTS-CHC), and respite level of care were sighted.   </w:t>
            </w:r>
          </w:p>
          <w:p w14:paraId="01879F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records reviewed confirmed that admission requirements were </w:t>
            </w:r>
            <w:r w:rsidRPr="00BE00C7">
              <w:rPr>
                <w:rFonts w:cs="Arial"/>
                <w:lang w:eastAsia="en-NZ"/>
              </w:rPr>
              <w:lastRenderedPageBreak/>
              <w:t xml:space="preserve">conducted within the required time frames and were signed on entry. Family/whānau were updated where there was a delay in entry to service. This was observed on the days of the audit and in the inquiry records sampled. Residents and family/whānau interviewed confirmed they were consulted and received ongoing sufficient information regarding the services provided. </w:t>
            </w:r>
          </w:p>
          <w:p w14:paraId="4B0DAE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CNL reported that all potential residents who are declined entry were recorded. When an entry was declined relatives were informed of the reason for this and made aware of other options or alternative services available. The consumer/whānau were referred to a referral agency to ensure the person would  be admitted to the appropriate service provider.  </w:t>
            </w:r>
          </w:p>
          <w:p w14:paraId="66E348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at the time of the audit. The service was collecting and analysing entry and decline rates including specific data for entry and decline rates for Māori. The service has developed partnerships with Māori communities and organisations and supports Māori and their whānau when entering the service.</w:t>
            </w:r>
          </w:p>
          <w:p w14:paraId="386663AA" w14:textId="77777777" w:rsidR="00000000" w:rsidRPr="00BE00C7" w:rsidRDefault="00000000" w:rsidP="00BE00C7">
            <w:pPr>
              <w:pStyle w:val="OutcomeDescription"/>
              <w:spacing w:before="120" w:after="120"/>
              <w:rPr>
                <w:rFonts w:cs="Arial"/>
                <w:lang w:eastAsia="en-NZ"/>
              </w:rPr>
            </w:pPr>
          </w:p>
        </w:tc>
      </w:tr>
      <w:tr w:rsidR="007A2FD1" w14:paraId="7C17AA7A" w14:textId="77777777">
        <w:tc>
          <w:tcPr>
            <w:tcW w:w="0" w:type="auto"/>
          </w:tcPr>
          <w:p w14:paraId="65E235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22AB8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BE3BB0B" w14:textId="77777777" w:rsidR="00000000" w:rsidRPr="00BE00C7" w:rsidRDefault="00000000" w:rsidP="00BE00C7">
            <w:pPr>
              <w:pStyle w:val="OutcomeDescription"/>
              <w:spacing w:before="120" w:after="120"/>
              <w:rPr>
                <w:rFonts w:cs="Arial"/>
                <w:lang w:eastAsia="en-NZ"/>
              </w:rPr>
            </w:pPr>
          </w:p>
        </w:tc>
        <w:tc>
          <w:tcPr>
            <w:tcW w:w="0" w:type="auto"/>
          </w:tcPr>
          <w:p w14:paraId="5A8B53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0329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files sampled identified that initial assessments and initial care plans were resident-centred, and these were completed in a timely manner. The service uses assessment tools that include consideration of residents’ lived experiences, cultural needs, values, and beliefs. Nursing care is undertaken by appropriately trained and skilled staff including the nursing team and care staff; interRAI assessments were completed within 21 days of admission. Cultural assessments were completed by the nursing team in consultation with the residents, EPOA, and/or family/whānau. Long-term care plans were also developed, and six-monthly evaluation processes ensured that assessments reflected the residents’ daily care needs. Resident, family/whānau/EPOA, and GP involvement is encouraged in the plan of care.  </w:t>
            </w:r>
          </w:p>
          <w:p w14:paraId="4A4DEF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GP completed the residents’ medical admission within the required time frames and conducted medical reviews promptly. Completed medical records were sighted in all files sampled. Residents’ files sampled identified service integration with other members of the health team. Multidisciplinary team (MDT) meetings were completed annually.  </w:t>
            </w:r>
          </w:p>
          <w:p w14:paraId="2ADFFA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care planning process ensured that young people with disabilities have a plan in place that addressed their special needs with the primary goal of increasing access, participation, and integration into the community. Strategies to support, maintain, and strengthen relationships with family/whānau and advocates were documented including development and learning support to encourage residents’ interests.  </w:t>
            </w:r>
          </w:p>
          <w:p w14:paraId="6DAB76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CNL reported that sufficient and appropriate information was shared between the staff at each handover, and this was witnessed during the audit. Interviewed staff stated that they were updated daily regarding each resident’s condition. Progress notes were completed on every shift and more often if there were any changes in a resident’s condition. Short-term care plans were developed for short-term problems or in the event of any significant change, with appropriate interventions formulated to guide staff. The plans were reviewed weekly or earlier if clinically indicated by the degree of risk noted during the assessment process. These were added to the long-term care plan if the condition did not resolve within three weeks. Any change in condition was reported to the nursing team and this was evidenced in the records sampled. </w:t>
            </w:r>
          </w:p>
          <w:p w14:paraId="65E448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verified residents and EPOA/whānau are included and informed of all changes. Long-term care plans were reviewed following interRAI reassessments. Where progress was different from expected, the service, in collaboration with the resident or EPOA/whānau responded by initiating changes to the care plan. A range of equipment and resources were available, suited to the level of care provided and in accordance with the residents’ needs.  </w:t>
            </w:r>
          </w:p>
          <w:p w14:paraId="01C3C2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clear guidelines for reporting of pressure injuries and interviews with registered nurses indicated their awareness of Section 31 requirements about pressure injuries. Neurological observations were completed as per policy requirements and evidence of this was sighted in resident files reviewed. </w:t>
            </w:r>
          </w:p>
          <w:p w14:paraId="4DFEEE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reflected the partnership and support of residents, whānau, and the extended whānau, as applicable, to support wellbeing. Tikanga principles were included within the Māori health care plan. Any barriers that prevent tāngata whaikaha and whānau from independently accessing information or services are </w:t>
            </w:r>
            <w:r w:rsidRPr="00BE00C7">
              <w:rPr>
                <w:rFonts w:cs="Arial"/>
                <w:lang w:eastAsia="en-NZ"/>
              </w:rPr>
              <w:lastRenderedPageBreak/>
              <w:t xml:space="preserve">identified and strategies to manage these are documented. The staff confirmed they understood the process to support residents and whānau.  </w:t>
            </w:r>
          </w:p>
          <w:p w14:paraId="480537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file of a resident receiving services under a YPD contract was reviewed and showed that the resident’s entry to service was clearly documented in the records reviewed.  The initial and long-term care plans completed had detailed interventions and goals of care. The GP three-monthly reviews were completed in consultation with staff, the resident, and family member representatives. Behavioural issues of concern were addressed on the long-term care plan. The staff have received education in challenging behaviour management and de-escalation techniques.  The resident expressed satisfaction with care provided by the service.  </w:t>
            </w:r>
          </w:p>
          <w:p w14:paraId="1CE79A50" w14:textId="77777777" w:rsidR="00000000" w:rsidRPr="00BE00C7" w:rsidRDefault="00000000" w:rsidP="00931823">
            <w:pPr>
              <w:pStyle w:val="OutcomeDescription"/>
              <w:spacing w:before="120" w:after="120"/>
              <w:rPr>
                <w:rFonts w:cs="Arial"/>
                <w:lang w:eastAsia="en-NZ"/>
              </w:rPr>
            </w:pPr>
          </w:p>
        </w:tc>
      </w:tr>
      <w:tr w:rsidR="007A2FD1" w14:paraId="297F1AEE" w14:textId="77777777">
        <w:tc>
          <w:tcPr>
            <w:tcW w:w="0" w:type="auto"/>
          </w:tcPr>
          <w:p w14:paraId="32F40C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780E5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6F66DCB" w14:textId="77777777" w:rsidR="00000000" w:rsidRPr="00BE00C7" w:rsidRDefault="00000000" w:rsidP="00BE00C7">
            <w:pPr>
              <w:pStyle w:val="OutcomeDescription"/>
              <w:spacing w:before="120" w:after="120"/>
              <w:rPr>
                <w:rFonts w:cs="Arial"/>
                <w:lang w:eastAsia="en-NZ"/>
              </w:rPr>
            </w:pPr>
          </w:p>
        </w:tc>
        <w:tc>
          <w:tcPr>
            <w:tcW w:w="0" w:type="auto"/>
          </w:tcPr>
          <w:p w14:paraId="36DEB4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BE7A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activities are appropriate to the residents’ needs and abilities. Activities are facilitated by an experienced activities coordinator. The programme runs from Tuesday to Saturdays. Sundays and Mondays are reserved for church services, movies, EPOA/whānau/family visits. Other activities are facilitated by the care staff as required. The activities are based on assessments and reflect the residents’ social, cultural, spiritual, physical, and cognitive needs/abilities, past hobbies, interests, and enjoyments. Residents’ birthdays were celebrated, and resident meetings undertaken monthly. An activity profile detailing residents’ life history was completed for each resident within two weeks of admission in consultation with the family and resident.  </w:t>
            </w:r>
          </w:p>
          <w:p w14:paraId="5E7B98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formulated by the activities coordinator in consultation with the registered nurses, management, EPOAs, residents, and care staff. These are approved by the diversional therapist from another sister facility. The activities were varied and appropriate for people assessed as requiring hospital, rest home, YPD, LTS-CHC, and respite care. Residents assessed as requiring YPD care were involved in activities of their choice and reported they have access to the Wi-Fi which enables them to use their electronic gadgets, and participate in, recreation, leisure, cultural, and community events consistent with their interests and preferences.  </w:t>
            </w:r>
          </w:p>
          <w:p w14:paraId="4686B2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Activity progress notes and activity attendance checklists were completed daily. The residents were observed participating in a variety of activities on the audit days that were appropriate to their group settings. The planned activities and community connections were suitable for the residents. The service promotes access to EPOA/whānau/family and friends. Residents go for outings weekly. Residents were observed walking outside the facility accompanied by staff, and family members.  </w:t>
            </w:r>
          </w:p>
          <w:p w14:paraId="387D93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Māori. The activities staff reported that opportunities for Māori and whānau to participate in te ao Māori was facilitated through community engagements with community traditional leaders, and by celebrating religious and cultural festivals.  </w:t>
            </w:r>
          </w:p>
          <w:p w14:paraId="449B4C74" w14:textId="77777777" w:rsidR="00000000" w:rsidRPr="00BE00C7" w:rsidRDefault="00000000" w:rsidP="00BE00C7">
            <w:pPr>
              <w:pStyle w:val="OutcomeDescription"/>
              <w:spacing w:before="120" w:after="120"/>
              <w:rPr>
                <w:rFonts w:cs="Arial"/>
                <w:lang w:eastAsia="en-NZ"/>
              </w:rPr>
            </w:pPr>
            <w:r w:rsidRPr="00BE00C7">
              <w:rPr>
                <w:rFonts w:cs="Arial"/>
                <w:lang w:eastAsia="en-NZ"/>
              </w:rPr>
              <w:t>EPOA/whānau/family and residents reported overall satisfaction with the level and variety of activities provided.</w:t>
            </w:r>
          </w:p>
          <w:p w14:paraId="14D0CE18" w14:textId="77777777" w:rsidR="00000000" w:rsidRPr="00BE00C7" w:rsidRDefault="00000000" w:rsidP="00BE00C7">
            <w:pPr>
              <w:pStyle w:val="OutcomeDescription"/>
              <w:spacing w:before="120" w:after="120"/>
              <w:rPr>
                <w:rFonts w:cs="Arial"/>
                <w:lang w:eastAsia="en-NZ"/>
              </w:rPr>
            </w:pPr>
          </w:p>
        </w:tc>
      </w:tr>
      <w:tr w:rsidR="007A2FD1" w14:paraId="4A20F7BA" w14:textId="77777777">
        <w:tc>
          <w:tcPr>
            <w:tcW w:w="0" w:type="auto"/>
          </w:tcPr>
          <w:p w14:paraId="0C38D6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B8530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FAB92E9" w14:textId="77777777" w:rsidR="00000000" w:rsidRPr="00BE00C7" w:rsidRDefault="00000000" w:rsidP="00BE00C7">
            <w:pPr>
              <w:pStyle w:val="OutcomeDescription"/>
              <w:spacing w:before="120" w:after="120"/>
              <w:rPr>
                <w:rFonts w:cs="Arial"/>
                <w:lang w:eastAsia="en-NZ"/>
              </w:rPr>
            </w:pPr>
          </w:p>
        </w:tc>
        <w:tc>
          <w:tcPr>
            <w:tcW w:w="0" w:type="auto"/>
          </w:tcPr>
          <w:p w14:paraId="342FBC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6ADB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met current best practices. A safe system for medicine management (electronic system) was observed on the audit days. All staff who administer medicines were competent to perform the function they managed.  </w:t>
            </w:r>
          </w:p>
          <w:p w14:paraId="6C699A09"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 The effectiveness of pro re nata (PRN) medications was documented.</w:t>
            </w:r>
          </w:p>
          <w:p w14:paraId="2A4734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have been completed.  Medicines stored were within the recommended temperature range. </w:t>
            </w:r>
          </w:p>
          <w:p w14:paraId="08A93ADA"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Medicine-related allergies or sensitivities were recorded, and any adverse events responded to appropriately. Over-the-counter medication and supplements were considered by the prescriber as part of the resident’s medication. The required three-monthly GP reviews were consistently documented on the medicine charts. Standing orders were not used.</w:t>
            </w:r>
          </w:p>
          <w:p w14:paraId="5F437F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Self-administration of medication was facilitated and managed safely. Residents, including Māori residents and their whānau, were supported </w:t>
            </w:r>
            <w:r w:rsidRPr="00BE00C7">
              <w:rPr>
                <w:rFonts w:cs="Arial"/>
                <w:lang w:eastAsia="en-NZ"/>
              </w:rPr>
              <w:lastRenderedPageBreak/>
              <w:t>to understand their medications. This was reiterated in interviews with the registered nurses, CNL, family/whānau, and Māori residents.</w:t>
            </w:r>
          </w:p>
          <w:p w14:paraId="3B8DCDE7" w14:textId="77777777" w:rsidR="00000000" w:rsidRPr="00BE00C7" w:rsidRDefault="00000000" w:rsidP="00BE00C7">
            <w:pPr>
              <w:pStyle w:val="OutcomeDescription"/>
              <w:spacing w:before="120" w:after="120"/>
              <w:rPr>
                <w:rFonts w:cs="Arial"/>
                <w:lang w:eastAsia="en-NZ"/>
              </w:rPr>
            </w:pPr>
          </w:p>
        </w:tc>
      </w:tr>
      <w:tr w:rsidR="007A2FD1" w14:paraId="0445B732" w14:textId="77777777">
        <w:tc>
          <w:tcPr>
            <w:tcW w:w="0" w:type="auto"/>
          </w:tcPr>
          <w:p w14:paraId="6DCC68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5C347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F88A266" w14:textId="77777777" w:rsidR="00000000" w:rsidRPr="00BE00C7" w:rsidRDefault="00000000" w:rsidP="00BE00C7">
            <w:pPr>
              <w:pStyle w:val="OutcomeDescription"/>
              <w:spacing w:before="120" w:after="120"/>
              <w:rPr>
                <w:rFonts w:cs="Arial"/>
                <w:lang w:eastAsia="en-NZ"/>
              </w:rPr>
            </w:pPr>
          </w:p>
        </w:tc>
        <w:tc>
          <w:tcPr>
            <w:tcW w:w="0" w:type="auto"/>
          </w:tcPr>
          <w:p w14:paraId="77CAE8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3872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food control plan expires 21 June 2025. The menu has been reviewed by a qualified dietitian within the last two years (30 September 2024). Recommendations made at that time have been implemented. </w:t>
            </w:r>
          </w:p>
          <w:p w14:paraId="16949A0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w:t>
            </w:r>
          </w:p>
          <w:p w14:paraId="5DE62B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had menu options that are culturally specific to te ao Māori.  </w:t>
            </w:r>
          </w:p>
          <w:p w14:paraId="622A4955"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0B4C2C21" w14:textId="77777777" w:rsidR="00000000" w:rsidRPr="00BE00C7" w:rsidRDefault="00000000" w:rsidP="00BE00C7">
            <w:pPr>
              <w:pStyle w:val="OutcomeDescription"/>
              <w:spacing w:before="120" w:after="120"/>
              <w:rPr>
                <w:rFonts w:cs="Arial"/>
                <w:lang w:eastAsia="en-NZ"/>
              </w:rPr>
            </w:pPr>
          </w:p>
        </w:tc>
      </w:tr>
      <w:tr w:rsidR="007A2FD1" w14:paraId="0875727D" w14:textId="77777777">
        <w:tc>
          <w:tcPr>
            <w:tcW w:w="0" w:type="auto"/>
          </w:tcPr>
          <w:p w14:paraId="0191BE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F4222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73635BB" w14:textId="77777777" w:rsidR="00000000" w:rsidRPr="00BE00C7" w:rsidRDefault="00000000" w:rsidP="00BE00C7">
            <w:pPr>
              <w:pStyle w:val="OutcomeDescription"/>
              <w:spacing w:before="120" w:after="120"/>
              <w:rPr>
                <w:rFonts w:cs="Arial"/>
                <w:lang w:eastAsia="en-NZ"/>
              </w:rPr>
            </w:pPr>
          </w:p>
        </w:tc>
        <w:tc>
          <w:tcPr>
            <w:tcW w:w="0" w:type="auto"/>
          </w:tcPr>
          <w:p w14:paraId="35B806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D76B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early discharge/unexpected exit plan and transfer from services. The CNL reported that discharges are normally into similar facilities. The CNL oversees discharges and manages the process until exit. All this is conducted in consultation with the resident, their whānau, and other external agencies. Risks were identified and managed as required.  </w:t>
            </w:r>
          </w:p>
          <w:p w14:paraId="363A72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discharge or transition plan is developed in conjunction with the residents and whānau (where appropriate) and documented on the residents’ files. Referrals to other allied health providers were completed with the safety of the resident identified. Residents and family/whānau are advised of their options to access other health and disability services and social support or kaupapa Māori agencies, where indicated or requested. Upon discharge, current and old notes are archived </w:t>
            </w:r>
            <w:r w:rsidRPr="00BE00C7">
              <w:rPr>
                <w:rFonts w:cs="Arial"/>
                <w:lang w:eastAsia="en-NZ"/>
              </w:rPr>
              <w:lastRenderedPageBreak/>
              <w:t xml:space="preserve">onsite. If a resident’s information is required by a subsequent geriatrician, a written request is required for the file to be transferred.  </w:t>
            </w:r>
          </w:p>
          <w:p w14:paraId="7B57F7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files reviewed contained evidence of residents who had been referred to other specialist services, such as podiatrists, gerontology nurse specialists, and physiotherapists. Residents and EPOA/whānau are involved in all exits or discharges to and from the service, and there was sufficient evidence in the residents’ records to confirm this.</w:t>
            </w:r>
          </w:p>
          <w:p w14:paraId="78CDC116" w14:textId="77777777" w:rsidR="00000000" w:rsidRPr="00BE00C7" w:rsidRDefault="00000000" w:rsidP="00BE00C7">
            <w:pPr>
              <w:pStyle w:val="OutcomeDescription"/>
              <w:spacing w:before="120" w:after="120"/>
              <w:rPr>
                <w:rFonts w:cs="Arial"/>
                <w:lang w:eastAsia="en-NZ"/>
              </w:rPr>
            </w:pPr>
          </w:p>
        </w:tc>
      </w:tr>
      <w:tr w:rsidR="007A2FD1" w14:paraId="22B1A6F4" w14:textId="77777777">
        <w:tc>
          <w:tcPr>
            <w:tcW w:w="0" w:type="auto"/>
          </w:tcPr>
          <w:p w14:paraId="1CB5E4E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91A39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E1A9C9C" w14:textId="77777777" w:rsidR="00000000" w:rsidRPr="00BE00C7" w:rsidRDefault="00000000" w:rsidP="00BE00C7">
            <w:pPr>
              <w:pStyle w:val="OutcomeDescription"/>
              <w:spacing w:before="120" w:after="120"/>
              <w:rPr>
                <w:rFonts w:cs="Arial"/>
                <w:lang w:eastAsia="en-NZ"/>
              </w:rPr>
            </w:pPr>
          </w:p>
        </w:tc>
        <w:tc>
          <w:tcPr>
            <w:tcW w:w="0" w:type="auto"/>
          </w:tcPr>
          <w:p w14:paraId="6DF6F0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7450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Electrical and biomedical equipment has been tested as required. </w:t>
            </w:r>
          </w:p>
          <w:p w14:paraId="4A3044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w:t>
            </w:r>
          </w:p>
          <w:p w14:paraId="38B79F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happy with the environment, including heating and ventilation, natural light, privacy, and maintenance. Residents were observed using electric and other wheelchairs and moving around the facility with ease. </w:t>
            </w:r>
          </w:p>
          <w:p w14:paraId="775B82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environment is inclusive of people’s cultures and supported cultural practices. Input from residents was sought for the renovation of a space to provide a comfortable whanau space, previously used for storage. No changes to the facility are planned.  </w:t>
            </w:r>
          </w:p>
          <w:p w14:paraId="0CAEA30B" w14:textId="77777777" w:rsidR="00000000" w:rsidRPr="00BE00C7" w:rsidRDefault="00000000" w:rsidP="00BE00C7">
            <w:pPr>
              <w:pStyle w:val="OutcomeDescription"/>
              <w:spacing w:before="120" w:after="120"/>
              <w:rPr>
                <w:rFonts w:cs="Arial"/>
                <w:lang w:eastAsia="en-NZ"/>
              </w:rPr>
            </w:pPr>
          </w:p>
        </w:tc>
      </w:tr>
      <w:tr w:rsidR="007A2FD1" w14:paraId="13205662" w14:textId="77777777">
        <w:tc>
          <w:tcPr>
            <w:tcW w:w="0" w:type="auto"/>
          </w:tcPr>
          <w:p w14:paraId="145E9C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CB368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59AC92CB" w14:textId="77777777" w:rsidR="00000000" w:rsidRPr="00BE00C7" w:rsidRDefault="00000000" w:rsidP="00BE00C7">
            <w:pPr>
              <w:pStyle w:val="OutcomeDescription"/>
              <w:spacing w:before="120" w:after="120"/>
              <w:rPr>
                <w:rFonts w:cs="Arial"/>
                <w:lang w:eastAsia="en-NZ"/>
              </w:rPr>
            </w:pPr>
          </w:p>
        </w:tc>
        <w:tc>
          <w:tcPr>
            <w:tcW w:w="0" w:type="auto"/>
          </w:tcPr>
          <w:p w14:paraId="4C8853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EBF8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their preparation for disasters and described the procedures to be followed. These have been recently updated.  Staff have received relevant information and training and have appropriate equipment to respond to emergency and security situations. Staff interviewed knew what to do in an emergency. The fire evacuation plan has been approved by Fire and Emergency New Zealand (FENZ).  Adequate supplies for use in the </w:t>
            </w:r>
            <w:r w:rsidRPr="00BE00C7">
              <w:rPr>
                <w:rFonts w:cs="Arial"/>
                <w:lang w:eastAsia="en-NZ"/>
              </w:rPr>
              <w:lastRenderedPageBreak/>
              <w:t>event of a civil defence emergency meet The National Emergency Management Agency recommendations for the region. Staff can provide a level of first aid relevant to the risks for the type of service provided. First aid training records were sighted, and most staff have completed requirements. There is always at least one person on duty training in first aid.</w:t>
            </w:r>
          </w:p>
          <w:p w14:paraId="0BBAA2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responded promptly to call bells.  </w:t>
            </w:r>
          </w:p>
          <w:p w14:paraId="11F50344"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including security cameras in common areas and facility locking procedures. Signage alerts residents, whānau and visitors to camera use. Residents and whānau were familiarised with emergency and security arrangements on admission and as and when required.</w:t>
            </w:r>
          </w:p>
          <w:p w14:paraId="7F8B03DE" w14:textId="77777777" w:rsidR="00000000" w:rsidRPr="00BE00C7" w:rsidRDefault="00000000" w:rsidP="00BE00C7">
            <w:pPr>
              <w:pStyle w:val="OutcomeDescription"/>
              <w:spacing w:before="120" w:after="120"/>
              <w:rPr>
                <w:rFonts w:cs="Arial"/>
                <w:lang w:eastAsia="en-NZ"/>
              </w:rPr>
            </w:pPr>
          </w:p>
        </w:tc>
      </w:tr>
      <w:tr w:rsidR="007A2FD1" w14:paraId="4DA12D36" w14:textId="77777777">
        <w:tc>
          <w:tcPr>
            <w:tcW w:w="0" w:type="auto"/>
          </w:tcPr>
          <w:p w14:paraId="5A9EB5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5A42A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6094BD6" w14:textId="77777777" w:rsidR="00000000" w:rsidRPr="00BE00C7" w:rsidRDefault="00000000" w:rsidP="00BE00C7">
            <w:pPr>
              <w:pStyle w:val="OutcomeDescription"/>
              <w:spacing w:before="120" w:after="120"/>
              <w:rPr>
                <w:rFonts w:cs="Arial"/>
                <w:lang w:eastAsia="en-NZ"/>
              </w:rPr>
            </w:pPr>
          </w:p>
        </w:tc>
        <w:tc>
          <w:tcPr>
            <w:tcW w:w="0" w:type="auto"/>
          </w:tcPr>
          <w:p w14:paraId="3DAF38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09B0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were sought following a defined process. A documented pathway supports risk-based reporting of progress, issues and significant events to the governing body.</w:t>
            </w:r>
          </w:p>
          <w:p w14:paraId="3CC0DB13" w14:textId="77777777" w:rsidR="00000000" w:rsidRPr="00BE00C7" w:rsidRDefault="00000000" w:rsidP="00BE00C7">
            <w:pPr>
              <w:pStyle w:val="OutcomeDescription"/>
              <w:spacing w:before="120" w:after="120"/>
              <w:rPr>
                <w:rFonts w:cs="Arial"/>
                <w:lang w:eastAsia="en-NZ"/>
              </w:rPr>
            </w:pPr>
          </w:p>
        </w:tc>
      </w:tr>
      <w:tr w:rsidR="007A2FD1" w14:paraId="0ECB6EC6" w14:textId="77777777">
        <w:tc>
          <w:tcPr>
            <w:tcW w:w="0" w:type="auto"/>
          </w:tcPr>
          <w:p w14:paraId="3B504B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25F1B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659C1CC0" w14:textId="77777777" w:rsidR="00000000" w:rsidRPr="00BE00C7" w:rsidRDefault="00000000" w:rsidP="00BE00C7">
            <w:pPr>
              <w:pStyle w:val="OutcomeDescription"/>
              <w:spacing w:before="120" w:after="120"/>
              <w:rPr>
                <w:rFonts w:cs="Arial"/>
                <w:lang w:eastAsia="en-NZ"/>
              </w:rPr>
            </w:pPr>
          </w:p>
        </w:tc>
        <w:tc>
          <w:tcPr>
            <w:tcW w:w="0" w:type="auto"/>
          </w:tcPr>
          <w:p w14:paraId="3107E9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9DBD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CNL is the infection prevention and control coordinator (IPCC). They are responsible for overseeing and implementing the IP programme with reporting lines to senior management and the governance group.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w:t>
            </w:r>
            <w:r w:rsidRPr="00BE00C7">
              <w:rPr>
                <w:rFonts w:cs="Arial"/>
                <w:lang w:eastAsia="en-NZ"/>
              </w:rPr>
              <w:lastRenderedPageBreak/>
              <w:t xml:space="preserve">policies. </w:t>
            </w:r>
          </w:p>
          <w:p w14:paraId="197D29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was accessed where appropriate. </w:t>
            </w:r>
          </w:p>
          <w:p w14:paraId="71AD1F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meets their needs. Educational resources were available in te reo Māori. </w:t>
            </w:r>
          </w:p>
          <w:p w14:paraId="198D7850"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plan is documented and has been regularly tested. There were sufficient resources and personal protective equipment (PPE) available, and staff have been trained accordingly.</w:t>
            </w:r>
          </w:p>
          <w:p w14:paraId="634D644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 use medical devices were not reused.</w:t>
            </w:r>
          </w:p>
          <w:p w14:paraId="2B0C37F5" w14:textId="77777777" w:rsidR="00000000" w:rsidRPr="00BE00C7" w:rsidRDefault="00000000" w:rsidP="00BE00C7">
            <w:pPr>
              <w:pStyle w:val="OutcomeDescription"/>
              <w:spacing w:before="120" w:after="120"/>
              <w:rPr>
                <w:rFonts w:cs="Arial"/>
                <w:lang w:eastAsia="en-NZ"/>
              </w:rPr>
            </w:pPr>
          </w:p>
        </w:tc>
      </w:tr>
      <w:tr w:rsidR="007A2FD1" w14:paraId="210837F6" w14:textId="77777777">
        <w:tc>
          <w:tcPr>
            <w:tcW w:w="0" w:type="auto"/>
          </w:tcPr>
          <w:p w14:paraId="2D65615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55353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8C62826" w14:textId="77777777" w:rsidR="00000000" w:rsidRPr="00BE00C7" w:rsidRDefault="00000000" w:rsidP="00BE00C7">
            <w:pPr>
              <w:pStyle w:val="OutcomeDescription"/>
              <w:spacing w:before="120" w:after="120"/>
              <w:rPr>
                <w:rFonts w:cs="Arial"/>
                <w:lang w:eastAsia="en-NZ"/>
              </w:rPr>
            </w:pPr>
          </w:p>
        </w:tc>
        <w:tc>
          <w:tcPr>
            <w:tcW w:w="0" w:type="auto"/>
          </w:tcPr>
          <w:p w14:paraId="34FEF6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51A4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(AMS) programme guides the use of antimicrobials and is appropriate for the size, scope, and complexity of the service. It was developed using evidence-based antimicrobial prescribing guidance and expertise. The AMS programme was approved by the senior management team. The policy in place aims to promote optimal management of antimicrobials to maximise the effectiveness of treatment and minimise potential for harm. Responsible use of antimicrobials was promoted. The GP has overall responsibility for antimicrobial prescribing. Monthly records of infections and prescribed treatment were maintained. The annual IP and AMS review and the infection control and hand washing audit included the antibiotic usage, monitoring the quantity of antimicrobial prescribed, effectiveness, pathogens isolated, and any occurrence of adverse effects.  </w:t>
            </w:r>
          </w:p>
          <w:p w14:paraId="3B17F469" w14:textId="77777777" w:rsidR="00000000" w:rsidRPr="00BE00C7" w:rsidRDefault="00000000" w:rsidP="00BE00C7">
            <w:pPr>
              <w:pStyle w:val="OutcomeDescription"/>
              <w:spacing w:before="120" w:after="120"/>
              <w:rPr>
                <w:rFonts w:cs="Arial"/>
                <w:lang w:eastAsia="en-NZ"/>
              </w:rPr>
            </w:pPr>
          </w:p>
        </w:tc>
      </w:tr>
      <w:tr w:rsidR="007A2FD1" w14:paraId="2742E408" w14:textId="77777777">
        <w:tc>
          <w:tcPr>
            <w:tcW w:w="0" w:type="auto"/>
          </w:tcPr>
          <w:p w14:paraId="5357AD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5AFF4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lastRenderedPageBreak/>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A4AC80D" w14:textId="77777777" w:rsidR="00000000" w:rsidRPr="00BE00C7" w:rsidRDefault="00000000" w:rsidP="00BE00C7">
            <w:pPr>
              <w:pStyle w:val="OutcomeDescription"/>
              <w:spacing w:before="120" w:after="120"/>
              <w:rPr>
                <w:rFonts w:cs="Arial"/>
                <w:lang w:eastAsia="en-NZ"/>
              </w:rPr>
            </w:pPr>
          </w:p>
        </w:tc>
        <w:tc>
          <w:tcPr>
            <w:tcW w:w="0" w:type="auto"/>
          </w:tcPr>
          <w:p w14:paraId="11E952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0DA4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HAIs is appropriate for the size and complexity of the service. It is in line with priorities recommended for long-term care facilities and is defined in the IPC programme. Infection prevention </w:t>
            </w:r>
            <w:r w:rsidRPr="00BE00C7">
              <w:rPr>
                <w:rFonts w:cs="Arial"/>
                <w:lang w:eastAsia="en-NZ"/>
              </w:rPr>
              <w:lastRenderedPageBreak/>
              <w:t xml:space="preserve">audits were completed, and they included cleaning, laundry, PPE donning and doffing, and hand hygiene. Relevant corrective actions were implemented where required.   </w:t>
            </w:r>
          </w:p>
          <w:p w14:paraId="09792DB0"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was collated and analysed to identify any trends and possible causative factors, and action plans were implemented. The HAIs being monitored include for example, infections of the urinary tract, respiratory tract, skin, eye, and multi-resistant organisms. Surveillance tools are used to collect infection data, and standardised surveillance definitions are used. Results of the surveillance programme were shared with staff at staff meetings and handovers on an ad hoc basis. All infection data was reported to the governing body. Benchmarking was completed by comparing previous monthly results with those of other sister facilities. Surveillance includes ethnicity data.</w:t>
            </w:r>
          </w:p>
          <w:p w14:paraId="08DA76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(where required) were advised of any infections identified, in a culturally safe manner. This was confirmed in progress notes sampled and verified in interviews with residents and whānau.  </w:t>
            </w:r>
          </w:p>
          <w:p w14:paraId="3FF39F5E" w14:textId="77777777" w:rsidR="00000000" w:rsidRPr="00BE00C7" w:rsidRDefault="00000000" w:rsidP="00BE00C7">
            <w:pPr>
              <w:pStyle w:val="OutcomeDescription"/>
              <w:spacing w:before="120" w:after="120"/>
              <w:rPr>
                <w:rFonts w:cs="Arial"/>
                <w:lang w:eastAsia="en-NZ"/>
              </w:rPr>
            </w:pPr>
            <w:r w:rsidRPr="00BE00C7">
              <w:rPr>
                <w:rFonts w:cs="Arial"/>
                <w:lang w:eastAsia="en-NZ"/>
              </w:rPr>
              <w:t>Nil infection outbreaks were reported since the previous audit.</w:t>
            </w:r>
          </w:p>
          <w:p w14:paraId="0035B3E4" w14:textId="77777777" w:rsidR="00000000" w:rsidRPr="00BE00C7" w:rsidRDefault="00000000" w:rsidP="00BE00C7">
            <w:pPr>
              <w:pStyle w:val="OutcomeDescription"/>
              <w:spacing w:before="120" w:after="120"/>
              <w:rPr>
                <w:rFonts w:cs="Arial"/>
                <w:lang w:eastAsia="en-NZ"/>
              </w:rPr>
            </w:pPr>
          </w:p>
        </w:tc>
      </w:tr>
      <w:tr w:rsidR="007A2FD1" w14:paraId="323E091F" w14:textId="77777777">
        <w:tc>
          <w:tcPr>
            <w:tcW w:w="0" w:type="auto"/>
          </w:tcPr>
          <w:p w14:paraId="4C32D5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52A33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F0139D8" w14:textId="77777777" w:rsidR="00000000" w:rsidRPr="00BE00C7" w:rsidRDefault="00000000" w:rsidP="00BE00C7">
            <w:pPr>
              <w:pStyle w:val="OutcomeDescription"/>
              <w:spacing w:before="120" w:after="120"/>
              <w:rPr>
                <w:rFonts w:cs="Arial"/>
                <w:lang w:eastAsia="en-NZ"/>
              </w:rPr>
            </w:pPr>
          </w:p>
        </w:tc>
        <w:tc>
          <w:tcPr>
            <w:tcW w:w="0" w:type="auto"/>
          </w:tcPr>
          <w:p w14:paraId="7D1503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253B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Cleaners ensured that trolleys are safely stored when not in use. Sufficient amounts of PPE were available, including masks, gloves, goggles, and aprons. Staff demonstrated knowledge on donning and doffing of PPE.  </w:t>
            </w:r>
          </w:p>
          <w:p w14:paraId="717191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designated cleaning staff. Cleaning guidelines were provided. Cleaning equipment and supplies were stored safely in locked storerooms. Daily and periodic cleaning schedules were maintained. The facility was observed to be clean throughout. The cleaners have attended training appropriate to their roles. The management team has oversight of the facility testing and monitoring programme for the built environment. There were regular internal environmental cleanliness </w:t>
            </w:r>
            <w:r w:rsidRPr="00BE00C7">
              <w:rPr>
                <w:rFonts w:cs="Arial"/>
                <w:lang w:eastAsia="en-NZ"/>
              </w:rPr>
              <w:lastRenderedPageBreak/>
              <w:t xml:space="preserve">audits.   </w:t>
            </w:r>
          </w:p>
          <w:p w14:paraId="2CDAA10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is done offsite. There is a laundry room clearly separated into clean and dirty areas. Clean laundry was delivered back to the residents in named baskets. Washing temperatures were monitored and maintained to meet safe hygiene requirements. Care staff have received training, and documented guidelines were available. The effectiveness of laundry processes was monitored by the internal audit programme. The staff demonstrated awareness of the infection prevention and control protocols. Residents and family members in interviews confirmed satisfaction with the cleaning and laundry processes</w:t>
            </w:r>
          </w:p>
          <w:p w14:paraId="5A600F76" w14:textId="77777777" w:rsidR="00000000" w:rsidRPr="00BE00C7" w:rsidRDefault="00000000" w:rsidP="00BE00C7">
            <w:pPr>
              <w:pStyle w:val="OutcomeDescription"/>
              <w:spacing w:before="120" w:after="120"/>
              <w:rPr>
                <w:rFonts w:cs="Arial"/>
                <w:lang w:eastAsia="en-NZ"/>
              </w:rPr>
            </w:pPr>
          </w:p>
        </w:tc>
      </w:tr>
      <w:tr w:rsidR="007A2FD1" w14:paraId="54EEDAE6" w14:textId="77777777">
        <w:tc>
          <w:tcPr>
            <w:tcW w:w="0" w:type="auto"/>
          </w:tcPr>
          <w:p w14:paraId="10F0A9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B9AD9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E93A26D" w14:textId="77777777" w:rsidR="00000000" w:rsidRPr="00BE00C7" w:rsidRDefault="00000000" w:rsidP="00BE00C7">
            <w:pPr>
              <w:pStyle w:val="OutcomeDescription"/>
              <w:spacing w:before="120" w:after="120"/>
              <w:rPr>
                <w:rFonts w:cs="Arial"/>
                <w:lang w:eastAsia="en-NZ"/>
              </w:rPr>
            </w:pPr>
          </w:p>
        </w:tc>
        <w:tc>
          <w:tcPr>
            <w:tcW w:w="0" w:type="auto"/>
          </w:tcPr>
          <w:p w14:paraId="00CB37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208F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managing director demonstrated commitment to this. The CNL is the restraint coordinator/lead person, supported by one of the RNs. There has been no restraint used in the facility since the previous audit. Any use of restraint would be reported to the governing body. </w:t>
            </w:r>
          </w:p>
          <w:p w14:paraId="6F385254"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alternative to restraint, safe restraint practice and de-escalation techniques. Health care assistants interviewed were familiar with requirements and ways to prevent use of restraint.</w:t>
            </w:r>
          </w:p>
          <w:p w14:paraId="5EBB5D15" w14:textId="77777777" w:rsidR="00000000" w:rsidRPr="00BE00C7" w:rsidRDefault="00000000" w:rsidP="00BE00C7">
            <w:pPr>
              <w:pStyle w:val="OutcomeDescription"/>
              <w:spacing w:before="120" w:after="120"/>
              <w:rPr>
                <w:rFonts w:cs="Arial"/>
                <w:lang w:eastAsia="en-NZ"/>
              </w:rPr>
            </w:pPr>
          </w:p>
        </w:tc>
      </w:tr>
    </w:tbl>
    <w:p w14:paraId="6A50957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0824C32" w14:textId="77777777" w:rsidR="00000000" w:rsidRDefault="00000000">
      <w:pPr>
        <w:pStyle w:val="Heading1"/>
        <w:rPr>
          <w:rFonts w:cs="Arial"/>
        </w:rPr>
      </w:pPr>
      <w:r>
        <w:rPr>
          <w:rFonts w:cs="Arial"/>
        </w:rPr>
        <w:lastRenderedPageBreak/>
        <w:t>Specific results for criterion where corrective actions are required</w:t>
      </w:r>
    </w:p>
    <w:p w14:paraId="11B1F7D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37D357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577F71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A2FD1" w14:paraId="1673D256" w14:textId="77777777">
        <w:tc>
          <w:tcPr>
            <w:tcW w:w="0" w:type="auto"/>
          </w:tcPr>
          <w:p w14:paraId="064EC1F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458EA2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21BF439" w14:textId="77777777" w:rsidR="00000000" w:rsidRDefault="00000000">
      <w:pPr>
        <w:pStyle w:val="Heading1"/>
        <w:rPr>
          <w:rFonts w:cs="Arial"/>
        </w:rPr>
      </w:pPr>
      <w:r>
        <w:rPr>
          <w:rFonts w:cs="Arial"/>
        </w:rPr>
        <w:lastRenderedPageBreak/>
        <w:t>Specific results for criterion where a continuous improvement has been recorded</w:t>
      </w:r>
    </w:p>
    <w:p w14:paraId="5574F39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2B0D8B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577CD6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A2FD1" w14:paraId="32E524AE" w14:textId="77777777">
        <w:tc>
          <w:tcPr>
            <w:tcW w:w="0" w:type="auto"/>
          </w:tcPr>
          <w:p w14:paraId="70100D8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BBCF94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BB32ED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C979" w14:textId="77777777" w:rsidR="00324034" w:rsidRDefault="00324034">
      <w:r>
        <w:separator/>
      </w:r>
    </w:p>
  </w:endnote>
  <w:endnote w:type="continuationSeparator" w:id="0">
    <w:p w14:paraId="69AAE775" w14:textId="77777777" w:rsidR="00324034" w:rsidRDefault="0032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E0B7" w14:textId="77777777" w:rsidR="00000000" w:rsidRDefault="00000000">
    <w:pPr>
      <w:pStyle w:val="Footer"/>
    </w:pPr>
  </w:p>
  <w:p w14:paraId="6792C1E4" w14:textId="77777777" w:rsidR="00000000" w:rsidRDefault="00000000"/>
  <w:p w14:paraId="042539D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D5D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Lexham Gardens Limited - Lexham Gardens Rest Home and Hospital</w:t>
    </w:r>
    <w:bookmarkEnd w:id="59"/>
    <w:r>
      <w:rPr>
        <w:rFonts w:cs="Arial"/>
        <w:sz w:val="16"/>
        <w:szCs w:val="20"/>
      </w:rPr>
      <w:tab/>
      <w:t xml:space="preserve">Date of Audit: </w:t>
    </w:r>
    <w:bookmarkStart w:id="60" w:name="AuditStartDate1"/>
    <w:r>
      <w:rPr>
        <w:rFonts w:cs="Arial"/>
        <w:sz w:val="16"/>
        <w:szCs w:val="20"/>
      </w:rPr>
      <w:t>10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A6EAD6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E39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C3F6" w14:textId="77777777" w:rsidR="00324034" w:rsidRDefault="00324034">
      <w:r>
        <w:separator/>
      </w:r>
    </w:p>
  </w:footnote>
  <w:footnote w:type="continuationSeparator" w:id="0">
    <w:p w14:paraId="58045B0D" w14:textId="77777777" w:rsidR="00324034" w:rsidRDefault="00324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E679" w14:textId="77777777" w:rsidR="00000000" w:rsidRDefault="00000000">
    <w:pPr>
      <w:pStyle w:val="Header"/>
    </w:pPr>
  </w:p>
  <w:p w14:paraId="7F43756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D7F0" w14:textId="77777777" w:rsidR="00000000" w:rsidRDefault="00000000">
    <w:pPr>
      <w:pStyle w:val="Header"/>
    </w:pPr>
  </w:p>
  <w:p w14:paraId="383AD52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1F1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E283CE8">
      <w:start w:val="1"/>
      <w:numFmt w:val="decimal"/>
      <w:lvlText w:val="%1."/>
      <w:lvlJc w:val="left"/>
      <w:pPr>
        <w:ind w:left="360" w:hanging="360"/>
      </w:pPr>
    </w:lvl>
    <w:lvl w:ilvl="1" w:tplc="07D61BA4" w:tentative="1">
      <w:start w:val="1"/>
      <w:numFmt w:val="lowerLetter"/>
      <w:lvlText w:val="%2."/>
      <w:lvlJc w:val="left"/>
      <w:pPr>
        <w:ind w:left="1080" w:hanging="360"/>
      </w:pPr>
    </w:lvl>
    <w:lvl w:ilvl="2" w:tplc="E26E4910" w:tentative="1">
      <w:start w:val="1"/>
      <w:numFmt w:val="lowerRoman"/>
      <w:lvlText w:val="%3."/>
      <w:lvlJc w:val="right"/>
      <w:pPr>
        <w:ind w:left="1800" w:hanging="180"/>
      </w:pPr>
    </w:lvl>
    <w:lvl w:ilvl="3" w:tplc="4994375E" w:tentative="1">
      <w:start w:val="1"/>
      <w:numFmt w:val="decimal"/>
      <w:lvlText w:val="%4."/>
      <w:lvlJc w:val="left"/>
      <w:pPr>
        <w:ind w:left="2520" w:hanging="360"/>
      </w:pPr>
    </w:lvl>
    <w:lvl w:ilvl="4" w:tplc="83F49CC0" w:tentative="1">
      <w:start w:val="1"/>
      <w:numFmt w:val="lowerLetter"/>
      <w:lvlText w:val="%5."/>
      <w:lvlJc w:val="left"/>
      <w:pPr>
        <w:ind w:left="3240" w:hanging="360"/>
      </w:pPr>
    </w:lvl>
    <w:lvl w:ilvl="5" w:tplc="DE74A65C" w:tentative="1">
      <w:start w:val="1"/>
      <w:numFmt w:val="lowerRoman"/>
      <w:lvlText w:val="%6."/>
      <w:lvlJc w:val="right"/>
      <w:pPr>
        <w:ind w:left="3960" w:hanging="180"/>
      </w:pPr>
    </w:lvl>
    <w:lvl w:ilvl="6" w:tplc="C39CE036" w:tentative="1">
      <w:start w:val="1"/>
      <w:numFmt w:val="decimal"/>
      <w:lvlText w:val="%7."/>
      <w:lvlJc w:val="left"/>
      <w:pPr>
        <w:ind w:left="4680" w:hanging="360"/>
      </w:pPr>
    </w:lvl>
    <w:lvl w:ilvl="7" w:tplc="29F063EA" w:tentative="1">
      <w:start w:val="1"/>
      <w:numFmt w:val="lowerLetter"/>
      <w:lvlText w:val="%8."/>
      <w:lvlJc w:val="left"/>
      <w:pPr>
        <w:ind w:left="5400" w:hanging="360"/>
      </w:pPr>
    </w:lvl>
    <w:lvl w:ilvl="8" w:tplc="9A44D2D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A84AA34">
      <w:start w:val="1"/>
      <w:numFmt w:val="bullet"/>
      <w:lvlText w:val=""/>
      <w:lvlJc w:val="left"/>
      <w:pPr>
        <w:ind w:left="720" w:hanging="360"/>
      </w:pPr>
      <w:rPr>
        <w:rFonts w:ascii="Symbol" w:hAnsi="Symbol" w:hint="default"/>
      </w:rPr>
    </w:lvl>
    <w:lvl w:ilvl="1" w:tplc="1B62E97A" w:tentative="1">
      <w:start w:val="1"/>
      <w:numFmt w:val="bullet"/>
      <w:lvlText w:val="o"/>
      <w:lvlJc w:val="left"/>
      <w:pPr>
        <w:ind w:left="1440" w:hanging="360"/>
      </w:pPr>
      <w:rPr>
        <w:rFonts w:ascii="Courier New" w:hAnsi="Courier New" w:cs="Courier New" w:hint="default"/>
      </w:rPr>
    </w:lvl>
    <w:lvl w:ilvl="2" w:tplc="71426B3C" w:tentative="1">
      <w:start w:val="1"/>
      <w:numFmt w:val="bullet"/>
      <w:lvlText w:val=""/>
      <w:lvlJc w:val="left"/>
      <w:pPr>
        <w:ind w:left="2160" w:hanging="360"/>
      </w:pPr>
      <w:rPr>
        <w:rFonts w:ascii="Wingdings" w:hAnsi="Wingdings" w:hint="default"/>
      </w:rPr>
    </w:lvl>
    <w:lvl w:ilvl="3" w:tplc="71EA8560" w:tentative="1">
      <w:start w:val="1"/>
      <w:numFmt w:val="bullet"/>
      <w:lvlText w:val=""/>
      <w:lvlJc w:val="left"/>
      <w:pPr>
        <w:ind w:left="2880" w:hanging="360"/>
      </w:pPr>
      <w:rPr>
        <w:rFonts w:ascii="Symbol" w:hAnsi="Symbol" w:hint="default"/>
      </w:rPr>
    </w:lvl>
    <w:lvl w:ilvl="4" w:tplc="4F969956" w:tentative="1">
      <w:start w:val="1"/>
      <w:numFmt w:val="bullet"/>
      <w:lvlText w:val="o"/>
      <w:lvlJc w:val="left"/>
      <w:pPr>
        <w:ind w:left="3600" w:hanging="360"/>
      </w:pPr>
      <w:rPr>
        <w:rFonts w:ascii="Courier New" w:hAnsi="Courier New" w:cs="Courier New" w:hint="default"/>
      </w:rPr>
    </w:lvl>
    <w:lvl w:ilvl="5" w:tplc="0CFED150" w:tentative="1">
      <w:start w:val="1"/>
      <w:numFmt w:val="bullet"/>
      <w:lvlText w:val=""/>
      <w:lvlJc w:val="left"/>
      <w:pPr>
        <w:ind w:left="4320" w:hanging="360"/>
      </w:pPr>
      <w:rPr>
        <w:rFonts w:ascii="Wingdings" w:hAnsi="Wingdings" w:hint="default"/>
      </w:rPr>
    </w:lvl>
    <w:lvl w:ilvl="6" w:tplc="6CC67326" w:tentative="1">
      <w:start w:val="1"/>
      <w:numFmt w:val="bullet"/>
      <w:lvlText w:val=""/>
      <w:lvlJc w:val="left"/>
      <w:pPr>
        <w:ind w:left="5040" w:hanging="360"/>
      </w:pPr>
      <w:rPr>
        <w:rFonts w:ascii="Symbol" w:hAnsi="Symbol" w:hint="default"/>
      </w:rPr>
    </w:lvl>
    <w:lvl w:ilvl="7" w:tplc="0BF63CB4" w:tentative="1">
      <w:start w:val="1"/>
      <w:numFmt w:val="bullet"/>
      <w:lvlText w:val="o"/>
      <w:lvlJc w:val="left"/>
      <w:pPr>
        <w:ind w:left="5760" w:hanging="360"/>
      </w:pPr>
      <w:rPr>
        <w:rFonts w:ascii="Courier New" w:hAnsi="Courier New" w:cs="Courier New" w:hint="default"/>
      </w:rPr>
    </w:lvl>
    <w:lvl w:ilvl="8" w:tplc="31C4BB62" w:tentative="1">
      <w:start w:val="1"/>
      <w:numFmt w:val="bullet"/>
      <w:lvlText w:val=""/>
      <w:lvlJc w:val="left"/>
      <w:pPr>
        <w:ind w:left="6480" w:hanging="360"/>
      </w:pPr>
      <w:rPr>
        <w:rFonts w:ascii="Wingdings" w:hAnsi="Wingdings" w:hint="default"/>
      </w:rPr>
    </w:lvl>
  </w:abstractNum>
  <w:num w:numId="1" w16cid:durableId="2068067495">
    <w:abstractNumId w:val="1"/>
  </w:num>
  <w:num w:numId="2" w16cid:durableId="80990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D1"/>
    <w:rsid w:val="00324034"/>
    <w:rsid w:val="007A2FD1"/>
    <w:rsid w:val="009318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0B8B"/>
  <w15:docId w15:val="{8F811C67-23BF-4601-AE23-B3B89487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10221</Words>
  <Characters>58263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2025-03-23T19:20:00Z</dcterms:created>
  <dcterms:modified xsi:type="dcterms:W3CDTF">2025-03-23T19:20:00Z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