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9A91" w14:textId="77777777" w:rsidR="00000000" w:rsidRDefault="00000000">
      <w:pPr>
        <w:pStyle w:val="Heading1"/>
        <w:rPr>
          <w:rFonts w:cs="Arial"/>
        </w:rPr>
      </w:pPr>
      <w:bookmarkStart w:id="0" w:name="PRMS_RIName"/>
      <w:r>
        <w:rPr>
          <w:rFonts w:cs="Arial"/>
        </w:rPr>
        <w:t>Heritage Lifecare (BPA) Limited - Flaxmore Care Home</w:t>
      </w:r>
      <w:bookmarkEnd w:id="0"/>
    </w:p>
    <w:p w14:paraId="13A566E6" w14:textId="77777777" w:rsidR="00000000" w:rsidRDefault="00000000">
      <w:pPr>
        <w:pStyle w:val="Heading2"/>
        <w:spacing w:after="0"/>
        <w:rPr>
          <w:rFonts w:cs="Arial"/>
        </w:rPr>
      </w:pPr>
      <w:r>
        <w:rPr>
          <w:rFonts w:cs="Arial"/>
        </w:rPr>
        <w:t>Introduction</w:t>
      </w:r>
    </w:p>
    <w:p w14:paraId="4B693E3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8410A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87FC69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8F336B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58822B1" w14:textId="77777777" w:rsidR="00000000" w:rsidRDefault="00000000">
      <w:pPr>
        <w:spacing w:before="240" w:after="240"/>
        <w:rPr>
          <w:rFonts w:cs="Arial"/>
          <w:lang w:eastAsia="en-NZ"/>
        </w:rPr>
      </w:pPr>
      <w:r>
        <w:rPr>
          <w:rFonts w:cs="Arial"/>
          <w:lang w:eastAsia="en-NZ"/>
        </w:rPr>
        <w:t>The specifics of this audit included:</w:t>
      </w:r>
    </w:p>
    <w:p w14:paraId="42A7A9F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52FE4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0964EEC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Flaxmore Care Home</w:t>
      </w:r>
      <w:bookmarkEnd w:id="5"/>
    </w:p>
    <w:p w14:paraId="0028528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5F20A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2025</w:t>
      </w:r>
      <w:bookmarkEnd w:id="7"/>
      <w:r w:rsidRPr="009418D4">
        <w:rPr>
          <w:rFonts w:cs="Arial"/>
        </w:rPr>
        <w:tab/>
        <w:t xml:space="preserve">End date: </w:t>
      </w:r>
      <w:bookmarkStart w:id="8" w:name="AuditEndDate"/>
      <w:r>
        <w:rPr>
          <w:rFonts w:cs="Arial"/>
        </w:rPr>
        <w:t>30 January 2025</w:t>
      </w:r>
      <w:bookmarkEnd w:id="8"/>
    </w:p>
    <w:p w14:paraId="5185448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0A362CA" w14:textId="77777777" w:rsidR="0035404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41</w:t>
      </w:r>
      <w:bookmarkEnd w:id="10"/>
    </w:p>
    <w:p w14:paraId="17118E2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786BBBF" w14:textId="77777777" w:rsidR="00000000" w:rsidRDefault="00000000">
      <w:pPr>
        <w:pStyle w:val="Heading1"/>
        <w:rPr>
          <w:rFonts w:cs="Arial"/>
        </w:rPr>
      </w:pPr>
      <w:r>
        <w:rPr>
          <w:rFonts w:cs="Arial"/>
        </w:rPr>
        <w:lastRenderedPageBreak/>
        <w:t>Executive summary of the audit</w:t>
      </w:r>
    </w:p>
    <w:p w14:paraId="26DD4400" w14:textId="77777777" w:rsidR="00000000" w:rsidRDefault="00000000">
      <w:pPr>
        <w:pStyle w:val="Heading2"/>
        <w:rPr>
          <w:rFonts w:cs="Arial"/>
        </w:rPr>
      </w:pPr>
      <w:r>
        <w:rPr>
          <w:rFonts w:cs="Arial"/>
        </w:rPr>
        <w:t>Introduction</w:t>
      </w:r>
    </w:p>
    <w:p w14:paraId="1186794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E7364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1A1AB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7EF94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52CFD3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9FC0A1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51B002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7E180B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135D7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404B" w14:paraId="0091002A" w14:textId="77777777">
        <w:trPr>
          <w:cantSplit/>
          <w:tblHeader/>
        </w:trPr>
        <w:tc>
          <w:tcPr>
            <w:tcW w:w="1260" w:type="dxa"/>
            <w:tcBorders>
              <w:bottom w:val="single" w:sz="4" w:space="0" w:color="000000"/>
            </w:tcBorders>
            <w:vAlign w:val="center"/>
          </w:tcPr>
          <w:p w14:paraId="7EF69E6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627203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0BDFAF" w14:textId="77777777" w:rsidR="00000000" w:rsidRDefault="00000000">
            <w:pPr>
              <w:spacing w:before="60" w:after="60"/>
              <w:rPr>
                <w:rFonts w:eastAsia="Calibri"/>
                <w:b/>
                <w:szCs w:val="24"/>
              </w:rPr>
            </w:pPr>
            <w:r>
              <w:rPr>
                <w:rFonts w:eastAsia="Calibri"/>
                <w:b/>
                <w:szCs w:val="24"/>
              </w:rPr>
              <w:t>Definition</w:t>
            </w:r>
          </w:p>
        </w:tc>
      </w:tr>
      <w:tr w:rsidR="0035404B" w14:paraId="3A2A30DC" w14:textId="77777777">
        <w:trPr>
          <w:cantSplit/>
          <w:trHeight w:val="964"/>
        </w:trPr>
        <w:tc>
          <w:tcPr>
            <w:tcW w:w="1260" w:type="dxa"/>
            <w:tcBorders>
              <w:bottom w:val="single" w:sz="4" w:space="0" w:color="000000"/>
            </w:tcBorders>
            <w:shd w:val="clear" w:color="0066FF" w:fill="0000FF"/>
            <w:vAlign w:val="center"/>
          </w:tcPr>
          <w:p w14:paraId="55BFF89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0B08E9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5A7AE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5404B" w14:paraId="56678FB0" w14:textId="77777777">
        <w:trPr>
          <w:cantSplit/>
          <w:trHeight w:val="964"/>
        </w:trPr>
        <w:tc>
          <w:tcPr>
            <w:tcW w:w="1260" w:type="dxa"/>
            <w:shd w:val="clear" w:color="33CC33" w:fill="00FF00"/>
            <w:vAlign w:val="center"/>
          </w:tcPr>
          <w:p w14:paraId="7FA13731" w14:textId="77777777" w:rsidR="00000000" w:rsidRDefault="00000000">
            <w:pPr>
              <w:spacing w:before="60" w:after="60"/>
              <w:rPr>
                <w:rFonts w:eastAsia="Calibri"/>
                <w:szCs w:val="24"/>
              </w:rPr>
            </w:pPr>
          </w:p>
        </w:tc>
        <w:tc>
          <w:tcPr>
            <w:tcW w:w="7095" w:type="dxa"/>
            <w:shd w:val="clear" w:color="auto" w:fill="auto"/>
            <w:vAlign w:val="center"/>
          </w:tcPr>
          <w:p w14:paraId="66CF59B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BB2D37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5404B" w14:paraId="22B9C427" w14:textId="77777777">
        <w:trPr>
          <w:cantSplit/>
          <w:trHeight w:val="964"/>
        </w:trPr>
        <w:tc>
          <w:tcPr>
            <w:tcW w:w="1260" w:type="dxa"/>
            <w:tcBorders>
              <w:bottom w:val="single" w:sz="4" w:space="0" w:color="000000"/>
            </w:tcBorders>
            <w:shd w:val="clear" w:color="auto" w:fill="FFFF00"/>
            <w:vAlign w:val="center"/>
          </w:tcPr>
          <w:p w14:paraId="5E003EC2" w14:textId="77777777" w:rsidR="00000000" w:rsidRDefault="00000000">
            <w:pPr>
              <w:spacing w:before="60" w:after="60"/>
              <w:rPr>
                <w:rFonts w:eastAsia="Calibri"/>
                <w:szCs w:val="24"/>
              </w:rPr>
            </w:pPr>
          </w:p>
        </w:tc>
        <w:tc>
          <w:tcPr>
            <w:tcW w:w="7095" w:type="dxa"/>
            <w:shd w:val="clear" w:color="auto" w:fill="auto"/>
            <w:vAlign w:val="center"/>
          </w:tcPr>
          <w:p w14:paraId="4A7480E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282E5E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5404B" w14:paraId="3EF76046" w14:textId="77777777">
        <w:trPr>
          <w:cantSplit/>
          <w:trHeight w:val="964"/>
        </w:trPr>
        <w:tc>
          <w:tcPr>
            <w:tcW w:w="1260" w:type="dxa"/>
            <w:tcBorders>
              <w:bottom w:val="single" w:sz="4" w:space="0" w:color="000000"/>
            </w:tcBorders>
            <w:shd w:val="clear" w:color="auto" w:fill="FFC800"/>
            <w:vAlign w:val="center"/>
          </w:tcPr>
          <w:p w14:paraId="4BA6D6B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A8846C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9103CC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5404B" w14:paraId="121DDD43" w14:textId="77777777">
        <w:trPr>
          <w:cantSplit/>
          <w:trHeight w:val="964"/>
        </w:trPr>
        <w:tc>
          <w:tcPr>
            <w:tcW w:w="1260" w:type="dxa"/>
            <w:shd w:val="clear" w:color="auto" w:fill="FF0000"/>
            <w:vAlign w:val="center"/>
          </w:tcPr>
          <w:p w14:paraId="3335450E" w14:textId="77777777" w:rsidR="00000000" w:rsidRDefault="00000000">
            <w:pPr>
              <w:spacing w:before="60" w:after="60"/>
              <w:rPr>
                <w:rFonts w:eastAsia="Calibri"/>
                <w:szCs w:val="24"/>
              </w:rPr>
            </w:pPr>
          </w:p>
        </w:tc>
        <w:tc>
          <w:tcPr>
            <w:tcW w:w="7095" w:type="dxa"/>
            <w:shd w:val="clear" w:color="auto" w:fill="auto"/>
            <w:vAlign w:val="center"/>
          </w:tcPr>
          <w:p w14:paraId="1DA70BF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C81FEE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EBDFCED" w14:textId="77777777" w:rsidR="00000000" w:rsidRDefault="00000000">
      <w:pPr>
        <w:pStyle w:val="Heading2"/>
        <w:spacing w:after="0"/>
        <w:rPr>
          <w:rFonts w:cs="Arial"/>
        </w:rPr>
      </w:pPr>
      <w:r>
        <w:rPr>
          <w:rFonts w:cs="Arial"/>
        </w:rPr>
        <w:t>General overview of the audit</w:t>
      </w:r>
    </w:p>
    <w:p w14:paraId="799CE2AA" w14:textId="77777777" w:rsidR="00000000" w:rsidRDefault="00000000">
      <w:pPr>
        <w:spacing w:before="240" w:line="276" w:lineRule="auto"/>
        <w:rPr>
          <w:rFonts w:eastAsia="Calibri"/>
        </w:rPr>
      </w:pPr>
      <w:bookmarkStart w:id="13" w:name="GeneralOverview"/>
      <w:r w:rsidRPr="00A4268A">
        <w:rPr>
          <w:rFonts w:eastAsia="Calibri"/>
        </w:rPr>
        <w:t>Flaxmore Lifecare (Flaxmore) is owned and operated by Heritage Lifecare Limited and provides rest home and dementia care for up to 48 residents. The service is managed by an established care home manager. The clinical services manager (CSM) position is vacant; the service is supported by the Heritage Lifecare Limited regional health care advisor, who is based at Flaxmore, until a new CSM is recruited. Since the last audit, the facility has extended the rest home by eight beds and reduced the number of beds available for dementia level care to maintain the existing occupancy level of 48. The suitability for this was confirmed in a partial provisional audit in August 2024.</w:t>
      </w:r>
    </w:p>
    <w:p w14:paraId="12B09A68" w14:textId="77777777" w:rsidR="0035404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held with Health New Zealand – Te Whatu Ora Nelson Marlborough. The process included a pre-audit assessment of policies and procedures, a review of residents’ and staff files, observations, and interviews with residents and whānau, a governance representative, management, staff, a contracted physiotherapist, mental health for older persons liaison nurse and a nurse practitioner.</w:t>
      </w:r>
    </w:p>
    <w:p w14:paraId="1C204AFF" w14:textId="77777777" w:rsidR="0035404B" w:rsidRPr="00A4268A" w:rsidRDefault="00000000">
      <w:pPr>
        <w:spacing w:before="240" w:line="276" w:lineRule="auto"/>
        <w:rPr>
          <w:rFonts w:eastAsia="Calibri"/>
        </w:rPr>
      </w:pPr>
      <w:r w:rsidRPr="00A4268A">
        <w:rPr>
          <w:rFonts w:eastAsia="Calibri"/>
        </w:rPr>
        <w:t xml:space="preserve">Strengths of the service included the commitment to reducing the incidence of falls. No areas requiring improvement were identified during the audit.  </w:t>
      </w:r>
    </w:p>
    <w:bookmarkEnd w:id="13"/>
    <w:p w14:paraId="1DE9C97E" w14:textId="77777777" w:rsidR="0035404B" w:rsidRPr="00A4268A" w:rsidRDefault="0035404B">
      <w:pPr>
        <w:spacing w:before="240" w:line="276" w:lineRule="auto"/>
        <w:rPr>
          <w:rFonts w:eastAsia="Calibri"/>
        </w:rPr>
      </w:pPr>
    </w:p>
    <w:p w14:paraId="2CE3AAB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60BA41BF" w14:textId="77777777" w:rsidTr="00A4268A">
        <w:trPr>
          <w:cantSplit/>
        </w:trPr>
        <w:tc>
          <w:tcPr>
            <w:tcW w:w="10206" w:type="dxa"/>
            <w:vAlign w:val="center"/>
          </w:tcPr>
          <w:p w14:paraId="3519BE7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7ACE91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F762B7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6E122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4791A6B" w14:textId="77777777" w:rsidR="00000000" w:rsidRDefault="00000000">
      <w:pPr>
        <w:spacing w:before="240" w:line="276" w:lineRule="auto"/>
        <w:rPr>
          <w:rFonts w:eastAsia="Calibri"/>
        </w:rPr>
      </w:pPr>
      <w:bookmarkStart w:id="16" w:name="ConsumerRights"/>
      <w:r w:rsidRPr="00A4268A">
        <w:rPr>
          <w:rFonts w:eastAsia="Calibri"/>
        </w:rPr>
        <w:t>Flaxmore Lifecare provided an environment that supported residents’ rights and culturally safe care.  There was a health plan that encapsulated care specifically directed at Māori, Pasifika, and other ethnicities. Staff worked collaboratively with internal and external Māori supports to support and encourage a Māori world view of health in service delivery. Māori were provided with equitable and effective services based on Te Tiriti o Waitangi and the principles of mana motuhake, and this was confirmed by Māori residents and staff interviewed.</w:t>
      </w:r>
    </w:p>
    <w:p w14:paraId="14F77981" w14:textId="77777777" w:rsidR="0035404B" w:rsidRPr="00A4268A" w:rsidRDefault="00000000">
      <w:pPr>
        <w:spacing w:before="240" w:line="276" w:lineRule="auto"/>
        <w:rPr>
          <w:rFonts w:eastAsia="Calibri"/>
        </w:rPr>
      </w:pPr>
      <w:r w:rsidRPr="00A4268A">
        <w:rPr>
          <w:rFonts w:eastAsia="Calibri"/>
        </w:rPr>
        <w:t>Systems and processes were in place to enable Pasifika people to be provided with services that recognised their worldviews and were culturally safe.</w:t>
      </w:r>
    </w:p>
    <w:p w14:paraId="74FCFC4A" w14:textId="77777777" w:rsidR="0035404B"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28678617" w14:textId="77777777" w:rsidR="0035404B"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were provided as needed.  Whānau and legal representatives are involved in decision-making that complies with the law. Advance directives are followed wherever possible. </w:t>
      </w:r>
    </w:p>
    <w:p w14:paraId="268FE6B7" w14:textId="77777777" w:rsidR="0035404B"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w:t>
      </w:r>
    </w:p>
    <w:bookmarkEnd w:id="16"/>
    <w:p w14:paraId="7992C375" w14:textId="77777777" w:rsidR="0035404B" w:rsidRPr="00A4268A" w:rsidRDefault="0035404B">
      <w:pPr>
        <w:spacing w:before="240" w:line="276" w:lineRule="auto"/>
        <w:rPr>
          <w:rFonts w:eastAsia="Calibri"/>
        </w:rPr>
      </w:pPr>
    </w:p>
    <w:p w14:paraId="0E615C9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415E3F2C" w14:textId="77777777" w:rsidTr="00A4268A">
        <w:trPr>
          <w:cantSplit/>
        </w:trPr>
        <w:tc>
          <w:tcPr>
            <w:tcW w:w="10206" w:type="dxa"/>
            <w:vAlign w:val="center"/>
          </w:tcPr>
          <w:p w14:paraId="4828B9E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D71D37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2C9C38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7AA5905" w14:textId="77777777" w:rsidR="00000000" w:rsidRDefault="00000000">
      <w:pPr>
        <w:spacing w:before="240" w:line="276" w:lineRule="auto"/>
        <w:rPr>
          <w:rFonts w:eastAsia="Calibri"/>
        </w:rPr>
      </w:pPr>
      <w:bookmarkStart w:id="19" w:name="OrganisationalManagement"/>
      <w:r w:rsidRPr="00A4268A">
        <w:rPr>
          <w:rFonts w:eastAsia="Calibri"/>
        </w:rPr>
        <w:t>The service is governed by Heritage Lifecare Limited (HLL) and the HLL governing body assumes accountability for delivering a high-quality service at Flaxmore. This includes supporting meaningful inclusion of Māori in governance groups, honouring Te Tiriti o Waitangi and reducing barriers to improve outcomes for Māori and people with disabilities.</w:t>
      </w:r>
    </w:p>
    <w:p w14:paraId="3D25ED15" w14:textId="77777777" w:rsidR="0035404B"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7305176B" w14:textId="77777777" w:rsidR="0035404B"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  </w:t>
      </w:r>
    </w:p>
    <w:p w14:paraId="25604714" w14:textId="77777777" w:rsidR="0035404B" w:rsidRPr="00A4268A" w:rsidRDefault="00000000">
      <w:pPr>
        <w:spacing w:before="240" w:line="276" w:lineRule="auto"/>
        <w:rPr>
          <w:rFonts w:eastAsia="Calibri"/>
        </w:rPr>
      </w:pPr>
      <w:r w:rsidRPr="00A4268A">
        <w:rPr>
          <w:rFonts w:eastAsia="Calibri"/>
        </w:rPr>
        <w:t xml:space="preserve">The National Adverse Events Reporting Policy was followed, with corrective actions supporting systems learnings.  The service complied with statutory and regulatory reporting obligations.  </w:t>
      </w:r>
    </w:p>
    <w:p w14:paraId="7993909F" w14:textId="77777777" w:rsidR="0035404B"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2D20131B" w14:textId="77777777" w:rsidR="0035404B"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4289C9A7" w14:textId="77777777" w:rsidR="0035404B" w:rsidRPr="00A4268A" w:rsidRDefault="0035404B">
      <w:pPr>
        <w:spacing w:before="240" w:line="276" w:lineRule="auto"/>
        <w:rPr>
          <w:rFonts w:eastAsia="Calibri"/>
        </w:rPr>
      </w:pPr>
    </w:p>
    <w:p w14:paraId="3B09D32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1811F56F" w14:textId="77777777" w:rsidTr="00A4268A">
        <w:trPr>
          <w:cantSplit/>
        </w:trPr>
        <w:tc>
          <w:tcPr>
            <w:tcW w:w="10206" w:type="dxa"/>
            <w:vAlign w:val="center"/>
          </w:tcPr>
          <w:p w14:paraId="02F63D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BA562B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2C9857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401569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42632888" w14:textId="77777777" w:rsidR="0035404B"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116CF28" w14:textId="77777777" w:rsidR="0035404B"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13162500" w14:textId="77777777" w:rsidR="0035404B"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3962107" w14:textId="77777777" w:rsidR="0035404B"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417DF3F1" w14:textId="77777777" w:rsidR="0035404B"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18043BB2" w14:textId="77777777" w:rsidR="0035404B" w:rsidRPr="00A4268A" w:rsidRDefault="0035404B" w:rsidP="00621629">
      <w:pPr>
        <w:spacing w:before="240" w:line="276" w:lineRule="auto"/>
        <w:rPr>
          <w:rFonts w:eastAsia="Calibri"/>
        </w:rPr>
      </w:pPr>
    </w:p>
    <w:p w14:paraId="7572D8A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42F828D7" w14:textId="77777777" w:rsidTr="00A4268A">
        <w:trPr>
          <w:cantSplit/>
        </w:trPr>
        <w:tc>
          <w:tcPr>
            <w:tcW w:w="10206" w:type="dxa"/>
            <w:vAlign w:val="center"/>
          </w:tcPr>
          <w:p w14:paraId="51EE795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B14C5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CA10E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543AAA7"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and biomedical equipment is tested as required. External areas are accessible, safe and provide shade and seating, and meet the needs of people with disabilities. </w:t>
      </w:r>
    </w:p>
    <w:p w14:paraId="4FF6ADBF" w14:textId="77777777" w:rsidR="0035404B"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45745380" w14:textId="77777777" w:rsidR="0035404B" w:rsidRPr="00A4268A" w:rsidRDefault="0035404B">
      <w:pPr>
        <w:spacing w:before="240" w:line="276" w:lineRule="auto"/>
        <w:rPr>
          <w:rFonts w:eastAsia="Calibri"/>
        </w:rPr>
      </w:pPr>
    </w:p>
    <w:p w14:paraId="1AB42A8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02A51E1D" w14:textId="77777777" w:rsidTr="00A4268A">
        <w:trPr>
          <w:cantSplit/>
        </w:trPr>
        <w:tc>
          <w:tcPr>
            <w:tcW w:w="10206" w:type="dxa"/>
            <w:vAlign w:val="center"/>
          </w:tcPr>
          <w:p w14:paraId="0CD0F68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78F7A2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64F135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380F28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54E54DDC" w14:textId="77777777" w:rsidR="0035404B"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7BE8C477" w14:textId="77777777" w:rsidR="0035404B"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BC5F760" w14:textId="77777777" w:rsidR="0035404B"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was undertaken, with follow-up action taken as required.</w:t>
      </w:r>
    </w:p>
    <w:p w14:paraId="64AFF850" w14:textId="77777777" w:rsidR="0035404B"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DD5F81E" w14:textId="77777777" w:rsidR="0035404B" w:rsidRPr="00A4268A" w:rsidRDefault="0035404B">
      <w:pPr>
        <w:spacing w:before="240" w:line="276" w:lineRule="auto"/>
        <w:rPr>
          <w:rFonts w:eastAsia="Calibri"/>
        </w:rPr>
      </w:pPr>
    </w:p>
    <w:p w14:paraId="249C75A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404B" w14:paraId="58FFEA5A" w14:textId="77777777" w:rsidTr="00A4268A">
        <w:trPr>
          <w:cantSplit/>
        </w:trPr>
        <w:tc>
          <w:tcPr>
            <w:tcW w:w="10206" w:type="dxa"/>
            <w:vAlign w:val="center"/>
          </w:tcPr>
          <w:p w14:paraId="215B8B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0EE70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C2C4A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CCE5FCD"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audit.  A comprehensive assessment, approval and monitoring process, with regular reviews, is in place should restraint use be required in the future.</w:t>
      </w:r>
    </w:p>
    <w:p w14:paraId="443E24E6" w14:textId="77777777" w:rsidR="0035404B" w:rsidRPr="00A4268A" w:rsidRDefault="00000000">
      <w:pPr>
        <w:spacing w:before="240" w:line="276" w:lineRule="auto"/>
        <w:rPr>
          <w:rFonts w:eastAsia="Calibri"/>
        </w:rPr>
      </w:pPr>
      <w:r w:rsidRPr="00A4268A">
        <w:rPr>
          <w:rFonts w:eastAsia="Calibri"/>
        </w:rPr>
        <w:t xml:space="preserve">A suitably qualified restraint coordinator manages the process. Staff interviewed demonstrated a sound knowledge and understanding of providing least restrictive practice, de-escalation techniques, alternative interventions to restraint, and restraint monitoring.  </w:t>
      </w:r>
    </w:p>
    <w:bookmarkEnd w:id="31"/>
    <w:p w14:paraId="1F1A54E9" w14:textId="77777777" w:rsidR="0035404B" w:rsidRPr="00A4268A" w:rsidRDefault="0035404B">
      <w:pPr>
        <w:spacing w:before="240" w:line="276" w:lineRule="auto"/>
        <w:rPr>
          <w:rFonts w:eastAsia="Calibri"/>
        </w:rPr>
      </w:pPr>
    </w:p>
    <w:p w14:paraId="503841D0" w14:textId="77777777" w:rsidR="00000000" w:rsidRDefault="00000000" w:rsidP="000E6E02">
      <w:pPr>
        <w:pStyle w:val="Heading2"/>
        <w:spacing w:before="0"/>
        <w:rPr>
          <w:rFonts w:cs="Arial"/>
        </w:rPr>
      </w:pPr>
      <w:r>
        <w:rPr>
          <w:rFonts w:cs="Arial"/>
        </w:rPr>
        <w:lastRenderedPageBreak/>
        <w:t>Summary of attainment</w:t>
      </w:r>
    </w:p>
    <w:p w14:paraId="1941BA3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404B" w14:paraId="7CEA34A8" w14:textId="77777777">
        <w:tc>
          <w:tcPr>
            <w:tcW w:w="1384" w:type="dxa"/>
            <w:vAlign w:val="center"/>
          </w:tcPr>
          <w:p w14:paraId="099231F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93A3FA" w14:textId="77777777" w:rsidR="00000000" w:rsidRDefault="00000000">
            <w:pPr>
              <w:keepNext/>
              <w:spacing w:before="60" w:after="60"/>
              <w:jc w:val="center"/>
              <w:rPr>
                <w:rFonts w:cs="Arial"/>
                <w:b/>
                <w:sz w:val="20"/>
                <w:szCs w:val="20"/>
              </w:rPr>
            </w:pPr>
            <w:r>
              <w:rPr>
                <w:rFonts w:cs="Arial"/>
                <w:b/>
                <w:sz w:val="20"/>
                <w:szCs w:val="20"/>
              </w:rPr>
              <w:t>Continuous Improvement</w:t>
            </w:r>
          </w:p>
          <w:p w14:paraId="6306801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B6CDD22" w14:textId="77777777" w:rsidR="00000000" w:rsidRDefault="00000000">
            <w:pPr>
              <w:keepNext/>
              <w:spacing w:before="60" w:after="60"/>
              <w:jc w:val="center"/>
              <w:rPr>
                <w:rFonts w:cs="Arial"/>
                <w:b/>
                <w:sz w:val="20"/>
                <w:szCs w:val="20"/>
              </w:rPr>
            </w:pPr>
            <w:r>
              <w:rPr>
                <w:rFonts w:cs="Arial"/>
                <w:b/>
                <w:sz w:val="20"/>
                <w:szCs w:val="20"/>
              </w:rPr>
              <w:t>Fully Attained</w:t>
            </w:r>
          </w:p>
          <w:p w14:paraId="6A6C0E9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E79456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D69166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38D42E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D4CC82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A73C0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BB7042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263E2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12C3C8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91B14B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EF73648" w14:textId="77777777" w:rsidR="00000000" w:rsidRDefault="00000000">
            <w:pPr>
              <w:keepNext/>
              <w:spacing w:before="60" w:after="60"/>
              <w:jc w:val="center"/>
              <w:rPr>
                <w:rFonts w:cs="Arial"/>
                <w:b/>
                <w:sz w:val="20"/>
                <w:szCs w:val="20"/>
              </w:rPr>
            </w:pPr>
            <w:r>
              <w:rPr>
                <w:rFonts w:cs="Arial"/>
                <w:b/>
                <w:sz w:val="20"/>
                <w:szCs w:val="20"/>
              </w:rPr>
              <w:t>(PA Critical)</w:t>
            </w:r>
          </w:p>
        </w:tc>
      </w:tr>
      <w:tr w:rsidR="0035404B" w14:paraId="7110C990" w14:textId="77777777">
        <w:tc>
          <w:tcPr>
            <w:tcW w:w="1384" w:type="dxa"/>
            <w:vAlign w:val="center"/>
          </w:tcPr>
          <w:p w14:paraId="3FF2FC5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7C7008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6CF97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7AC093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E9CCB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D600EA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91F0C0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1CA5C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404B" w14:paraId="47B19132" w14:textId="77777777">
        <w:tc>
          <w:tcPr>
            <w:tcW w:w="1384" w:type="dxa"/>
            <w:vAlign w:val="center"/>
          </w:tcPr>
          <w:p w14:paraId="2C11865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75B4FC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511856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C36912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6BB13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279F38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80618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29551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1BF61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404B" w14:paraId="33C25BC4" w14:textId="77777777">
        <w:tc>
          <w:tcPr>
            <w:tcW w:w="1384" w:type="dxa"/>
            <w:vAlign w:val="center"/>
          </w:tcPr>
          <w:p w14:paraId="05BCC2C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88E7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022DB4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4427D5F" w14:textId="77777777" w:rsidR="00000000" w:rsidRDefault="00000000">
            <w:pPr>
              <w:keepNext/>
              <w:spacing w:before="60" w:after="60"/>
              <w:jc w:val="center"/>
              <w:rPr>
                <w:rFonts w:cs="Arial"/>
                <w:b/>
                <w:sz w:val="20"/>
                <w:szCs w:val="20"/>
              </w:rPr>
            </w:pPr>
            <w:r>
              <w:rPr>
                <w:rFonts w:cs="Arial"/>
                <w:b/>
                <w:sz w:val="20"/>
                <w:szCs w:val="20"/>
              </w:rPr>
              <w:t>Unattained Low Risk</w:t>
            </w:r>
          </w:p>
          <w:p w14:paraId="75D06BC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7C4331F" w14:textId="77777777" w:rsidR="00000000" w:rsidRDefault="00000000">
            <w:pPr>
              <w:keepNext/>
              <w:spacing w:before="60" w:after="60"/>
              <w:jc w:val="center"/>
              <w:rPr>
                <w:rFonts w:cs="Arial"/>
                <w:b/>
                <w:sz w:val="20"/>
                <w:szCs w:val="20"/>
              </w:rPr>
            </w:pPr>
            <w:r>
              <w:rPr>
                <w:rFonts w:cs="Arial"/>
                <w:b/>
                <w:sz w:val="20"/>
                <w:szCs w:val="20"/>
              </w:rPr>
              <w:t>Unattained Moderate Risk</w:t>
            </w:r>
          </w:p>
          <w:p w14:paraId="1CEA072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921234E" w14:textId="77777777" w:rsidR="00000000" w:rsidRDefault="00000000">
            <w:pPr>
              <w:keepNext/>
              <w:spacing w:before="60" w:after="60"/>
              <w:jc w:val="center"/>
              <w:rPr>
                <w:rFonts w:cs="Arial"/>
                <w:b/>
                <w:sz w:val="20"/>
                <w:szCs w:val="20"/>
              </w:rPr>
            </w:pPr>
            <w:r>
              <w:rPr>
                <w:rFonts w:cs="Arial"/>
                <w:b/>
                <w:sz w:val="20"/>
                <w:szCs w:val="20"/>
              </w:rPr>
              <w:t>Unattained High Risk</w:t>
            </w:r>
          </w:p>
          <w:p w14:paraId="675453C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1E0CF3" w14:textId="77777777" w:rsidR="00000000" w:rsidRDefault="00000000">
            <w:pPr>
              <w:keepNext/>
              <w:spacing w:before="60" w:after="60"/>
              <w:jc w:val="center"/>
              <w:rPr>
                <w:rFonts w:cs="Arial"/>
                <w:b/>
                <w:sz w:val="20"/>
                <w:szCs w:val="20"/>
              </w:rPr>
            </w:pPr>
            <w:r>
              <w:rPr>
                <w:rFonts w:cs="Arial"/>
                <w:b/>
                <w:sz w:val="20"/>
                <w:szCs w:val="20"/>
              </w:rPr>
              <w:t>Unattained Critical Risk</w:t>
            </w:r>
          </w:p>
          <w:p w14:paraId="00E38718" w14:textId="77777777" w:rsidR="00000000" w:rsidRDefault="00000000">
            <w:pPr>
              <w:keepNext/>
              <w:spacing w:before="60" w:after="60"/>
              <w:jc w:val="center"/>
              <w:rPr>
                <w:rFonts w:cs="Arial"/>
                <w:b/>
                <w:sz w:val="20"/>
                <w:szCs w:val="20"/>
              </w:rPr>
            </w:pPr>
            <w:r>
              <w:rPr>
                <w:rFonts w:cs="Arial"/>
                <w:b/>
                <w:sz w:val="20"/>
                <w:szCs w:val="20"/>
              </w:rPr>
              <w:t>(UA Critical)</w:t>
            </w:r>
          </w:p>
        </w:tc>
      </w:tr>
      <w:tr w:rsidR="0035404B" w14:paraId="758C6902" w14:textId="77777777">
        <w:tc>
          <w:tcPr>
            <w:tcW w:w="1384" w:type="dxa"/>
            <w:vAlign w:val="center"/>
          </w:tcPr>
          <w:p w14:paraId="424742F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2E033F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E36580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DCFC4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9C839C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15CF0B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404B" w14:paraId="4E9F54F8" w14:textId="77777777">
        <w:tc>
          <w:tcPr>
            <w:tcW w:w="1384" w:type="dxa"/>
            <w:vAlign w:val="center"/>
          </w:tcPr>
          <w:p w14:paraId="26A5769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4C2C13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E7A3BD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563BB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3D8D1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5A41E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18B995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858F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5DEB12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3F4A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35404B" w14:paraId="64AAA2B0" w14:textId="77777777">
        <w:tc>
          <w:tcPr>
            <w:tcW w:w="0" w:type="auto"/>
          </w:tcPr>
          <w:p w14:paraId="36157F4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C15D7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2AF2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5404B" w14:paraId="672EDEB6" w14:textId="77777777">
        <w:tc>
          <w:tcPr>
            <w:tcW w:w="0" w:type="auto"/>
          </w:tcPr>
          <w:p w14:paraId="01302D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04D7E9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FEDF9F" w14:textId="77777777" w:rsidR="00000000" w:rsidRPr="00BE00C7" w:rsidRDefault="00000000" w:rsidP="00BE00C7">
            <w:pPr>
              <w:pStyle w:val="OutcomeDescription"/>
              <w:spacing w:before="120" w:after="120"/>
              <w:rPr>
                <w:rFonts w:cs="Arial"/>
                <w:lang w:eastAsia="en-NZ"/>
              </w:rPr>
            </w:pPr>
          </w:p>
        </w:tc>
        <w:tc>
          <w:tcPr>
            <w:tcW w:w="0" w:type="auto"/>
          </w:tcPr>
          <w:p w14:paraId="77D597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2350E0"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(HLL) and Flaxmore Lifecare have a Māori Health Plan which guided care delivery for Māori using the Whare Tapa Whā model, and by ensuring mana motuhake (self-determination) is respected. The plan has been developed with input from cultural advisers and is used for residents who identify as Māori.</w:t>
            </w:r>
          </w:p>
          <w:p w14:paraId="5DE28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Input from Māori is supported through the HLL Māori Network Komiti, a group of Māori employees including representatives from Flaxmore.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and other care workers. The group provides information through the clinical governance structure (the clinical advisory group) to the board. The service can access support through Health New Zealand – Te Whatu Ora Nelson Marlborough, through local Māori health providers such as Te Piki Oranga and through its local iwi.  </w:t>
            </w:r>
          </w:p>
          <w:p w14:paraId="570AA2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4E113E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and selection policy reviewed December 2024 is </w:t>
            </w:r>
            <w:r w:rsidRPr="00BE00C7">
              <w:rPr>
                <w:rFonts w:cs="Arial"/>
                <w:lang w:eastAsia="en-NZ"/>
              </w:rPr>
              <w:lastRenderedPageBreak/>
              <w:t xml:space="preserve">clear that recruitment will be non-discriminatory, and that cultural fit is one aspect of appointing staff. The service supports increasing Māori capacity by employing more Māori staff members across differing levels of the organisation and this is outlined in its strategic plan, and in policy documentation. Ethnicity data is gathered when staff are employed, and this data is analysed at a management level. Staff who identify as Māori are employed at all levels of the organisation, including in leadership and training roles. </w:t>
            </w:r>
          </w:p>
          <w:p w14:paraId="0695477A"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o Waitangi is part of the HLL training programme, and this is implemented in the service. The training is geared to assist staff to understand the key elements of service provision for Māori and tāngata whaikaha, including mana motuhake, and providing equity in care services.</w:t>
            </w:r>
          </w:p>
          <w:p w14:paraId="27E3BF4E" w14:textId="77777777" w:rsidR="00000000" w:rsidRPr="00BE00C7" w:rsidRDefault="00000000" w:rsidP="00BE00C7">
            <w:pPr>
              <w:pStyle w:val="OutcomeDescription"/>
              <w:spacing w:before="120" w:after="120"/>
              <w:rPr>
                <w:rFonts w:cs="Arial"/>
                <w:lang w:eastAsia="en-NZ"/>
              </w:rPr>
            </w:pPr>
          </w:p>
        </w:tc>
      </w:tr>
      <w:tr w:rsidR="0035404B" w14:paraId="7BD4B3E4" w14:textId="77777777">
        <w:tc>
          <w:tcPr>
            <w:tcW w:w="0" w:type="auto"/>
          </w:tcPr>
          <w:p w14:paraId="0C22E1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14429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EF18E59" w14:textId="77777777" w:rsidR="00000000" w:rsidRPr="00BE00C7" w:rsidRDefault="00000000" w:rsidP="00BE00C7">
            <w:pPr>
              <w:pStyle w:val="OutcomeDescription"/>
              <w:spacing w:before="120" w:after="120"/>
              <w:rPr>
                <w:rFonts w:cs="Arial"/>
                <w:lang w:eastAsia="en-NZ"/>
              </w:rPr>
            </w:pPr>
          </w:p>
        </w:tc>
        <w:tc>
          <w:tcPr>
            <w:tcW w:w="0" w:type="auto"/>
          </w:tcPr>
          <w:p w14:paraId="33EEAD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7822B8"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(HLL) and Flaxmore Lifecare understood the equity issues faced by Pacific peoples and can access guidance from people within the organisation around appropriate care and service for Pasifika. Two members of the executive team identify as Pasifika. They can assist the board to meet their Ngā Paerewa obligations to Pacific peoples.</w:t>
            </w:r>
          </w:p>
          <w:p w14:paraId="29D8E3D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which utilises the Fonofale model of care documenting care requirements for Pacific peoples to ensure culturally appropriate services. The plan has been developed with input from cultural advisers. Flaxmore has access to local Pasifika communities through the connections with the Samoan church.</w:t>
            </w:r>
          </w:p>
          <w:p w14:paraId="00A926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reviewed December 2024, is clear that recruitment will be non-discriminatory, and that cultural fit is one aspect of appointing staff. The service supports increasing Pasifika capacity by employing more Pasifika staff members across differing levels of the organisation and this is outlined in its strategic plan, and in policy documentation. Ethnicity data is gathered when staff are employed, and this data is analysed at a management level. There were no staff or residents who identified as Pasifika in the service at the time of audit. Training on culturally specific care, including care for Pasifika, is part of the HLL training programme, and this is implemented in the service. The </w:t>
            </w:r>
            <w:r w:rsidRPr="00BE00C7">
              <w:rPr>
                <w:rFonts w:cs="Arial"/>
                <w:lang w:eastAsia="en-NZ"/>
              </w:rPr>
              <w:lastRenderedPageBreak/>
              <w:t>training is geared to assist staff to understand the key elements of service provision for Pasifika and providing equity in care services.</w:t>
            </w:r>
          </w:p>
          <w:p w14:paraId="7447A6BE" w14:textId="77777777" w:rsidR="00000000" w:rsidRPr="00BE00C7" w:rsidRDefault="00000000" w:rsidP="00BE00C7">
            <w:pPr>
              <w:pStyle w:val="OutcomeDescription"/>
              <w:spacing w:before="120" w:after="120"/>
              <w:rPr>
                <w:rFonts w:cs="Arial"/>
                <w:lang w:eastAsia="en-NZ"/>
              </w:rPr>
            </w:pPr>
          </w:p>
        </w:tc>
      </w:tr>
      <w:tr w:rsidR="0035404B" w14:paraId="365D32D1" w14:textId="77777777">
        <w:tc>
          <w:tcPr>
            <w:tcW w:w="0" w:type="auto"/>
          </w:tcPr>
          <w:p w14:paraId="2A063A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C079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B849857" w14:textId="77777777" w:rsidR="00000000" w:rsidRPr="00BE00C7" w:rsidRDefault="00000000" w:rsidP="00BE00C7">
            <w:pPr>
              <w:pStyle w:val="OutcomeDescription"/>
              <w:spacing w:before="120" w:after="120"/>
              <w:rPr>
                <w:rFonts w:cs="Arial"/>
                <w:lang w:eastAsia="en-NZ"/>
              </w:rPr>
            </w:pPr>
          </w:p>
        </w:tc>
        <w:tc>
          <w:tcPr>
            <w:tcW w:w="0" w:type="auto"/>
          </w:tcPr>
          <w:p w14:paraId="08D537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B2463B"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Ltd (HLL) and Flaxmore Lifecare were aware of their responsibilities under the Code of Health and Disability Services Consumers’ Rights (the Code) and have policies and procedure in place to ensure these are respected.  Staff interviewed understood the requirements of the Code, including the right to self-determination (mana motuhake), and were observed supporting residents in accordance with their wishes.</w:t>
            </w:r>
          </w:p>
          <w:p w14:paraId="303D4EE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3B09BFED" w14:textId="77777777" w:rsidR="00000000" w:rsidRPr="00BE00C7" w:rsidRDefault="00000000" w:rsidP="00BE00C7">
            <w:pPr>
              <w:pStyle w:val="OutcomeDescription"/>
              <w:spacing w:before="120" w:after="120"/>
              <w:rPr>
                <w:rFonts w:cs="Arial"/>
                <w:lang w:eastAsia="en-NZ"/>
              </w:rPr>
            </w:pPr>
            <w:r w:rsidRPr="00BE00C7">
              <w:rPr>
                <w:rFonts w:cs="Arial"/>
                <w:lang w:eastAsia="en-NZ"/>
              </w:rPr>
              <w:t>A copy of the Code of Health and Disability Services Consumer Rights including Advocacy was provided in the HLL inquiry pack and the Code was sighted on the reception room wall.</w:t>
            </w:r>
          </w:p>
          <w:p w14:paraId="0014BB2C" w14:textId="77777777" w:rsidR="00000000" w:rsidRPr="00BE00C7" w:rsidRDefault="00000000" w:rsidP="00BE00C7">
            <w:pPr>
              <w:pStyle w:val="OutcomeDescription"/>
              <w:spacing w:before="120" w:after="120"/>
              <w:rPr>
                <w:rFonts w:cs="Arial"/>
                <w:lang w:eastAsia="en-NZ"/>
              </w:rPr>
            </w:pPr>
          </w:p>
        </w:tc>
      </w:tr>
      <w:tr w:rsidR="0035404B" w14:paraId="6B042FD0" w14:textId="77777777">
        <w:tc>
          <w:tcPr>
            <w:tcW w:w="0" w:type="auto"/>
          </w:tcPr>
          <w:p w14:paraId="30735F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52C6E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90C3B0" w14:textId="77777777" w:rsidR="00000000" w:rsidRPr="00BE00C7" w:rsidRDefault="00000000" w:rsidP="00BE00C7">
            <w:pPr>
              <w:pStyle w:val="OutcomeDescription"/>
              <w:spacing w:before="120" w:after="120"/>
              <w:rPr>
                <w:rFonts w:cs="Arial"/>
                <w:lang w:eastAsia="en-NZ"/>
              </w:rPr>
            </w:pPr>
          </w:p>
        </w:tc>
        <w:tc>
          <w:tcPr>
            <w:tcW w:w="0" w:type="auto"/>
          </w:tcPr>
          <w:p w14:paraId="60AFFB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5018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4DD02B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46150DE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through easy access to tikanga guidelines and multiple activities that support te reo Māori.  Staff have undertaken training in Te Tiriti o Waitangi and understood the principles and how to apply these in their daily work. Flaxmore has contacted the local iwi who have a representative that will provide support and advice to Māori residents as and when required. A Māori Health Advisor is readily available through Health New Zealand Nelson Marlborough.</w:t>
            </w:r>
          </w:p>
          <w:p w14:paraId="30C325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needs of tāngata whaikaha were responded to, including their participation in te ao Māori.</w:t>
            </w:r>
          </w:p>
          <w:p w14:paraId="497D67CE" w14:textId="77777777" w:rsidR="00000000" w:rsidRPr="00BE00C7" w:rsidRDefault="00000000" w:rsidP="00BE00C7">
            <w:pPr>
              <w:pStyle w:val="OutcomeDescription"/>
              <w:spacing w:before="120" w:after="120"/>
              <w:rPr>
                <w:rFonts w:cs="Arial"/>
                <w:lang w:eastAsia="en-NZ"/>
              </w:rPr>
            </w:pPr>
          </w:p>
        </w:tc>
      </w:tr>
      <w:tr w:rsidR="0035404B" w14:paraId="5ABB86CE" w14:textId="77777777">
        <w:tc>
          <w:tcPr>
            <w:tcW w:w="0" w:type="auto"/>
          </w:tcPr>
          <w:p w14:paraId="1AAB20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20D4A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02D6D4" w14:textId="77777777" w:rsidR="00000000" w:rsidRPr="00BE00C7" w:rsidRDefault="00000000" w:rsidP="00BE00C7">
            <w:pPr>
              <w:pStyle w:val="OutcomeDescription"/>
              <w:spacing w:before="120" w:after="120"/>
              <w:rPr>
                <w:rFonts w:cs="Arial"/>
                <w:lang w:eastAsia="en-NZ"/>
              </w:rPr>
            </w:pPr>
          </w:p>
        </w:tc>
        <w:tc>
          <w:tcPr>
            <w:tcW w:w="0" w:type="auto"/>
          </w:tcPr>
          <w:p w14:paraId="5EF85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05F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or whānau and Enduring Power of Attorney (EPOA) interviews, or in documentation reviewed.  </w:t>
            </w:r>
          </w:p>
          <w:p w14:paraId="4439AD2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residents interviewed reported that their property was respected; a resident, whānau and EPOA reported residents’ finances are protected, and staff do not handle residents' money.</w:t>
            </w:r>
          </w:p>
          <w:p w14:paraId="73B4E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7EB0775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is based on the identified strengths of residents. Wellbeing outcomes for all residents, including Māori, were evaluated as part of the assessment and care planning process six-monthly to ensure the needs of residents were met.</w:t>
            </w:r>
          </w:p>
          <w:p w14:paraId="52DF4734" w14:textId="77777777" w:rsidR="00000000" w:rsidRPr="00BE00C7" w:rsidRDefault="00000000" w:rsidP="00BE00C7">
            <w:pPr>
              <w:pStyle w:val="OutcomeDescription"/>
              <w:spacing w:before="120" w:after="120"/>
              <w:rPr>
                <w:rFonts w:cs="Arial"/>
                <w:lang w:eastAsia="en-NZ"/>
              </w:rPr>
            </w:pPr>
          </w:p>
        </w:tc>
      </w:tr>
      <w:tr w:rsidR="0035404B" w14:paraId="2D544D8F" w14:textId="77777777">
        <w:tc>
          <w:tcPr>
            <w:tcW w:w="0" w:type="auto"/>
          </w:tcPr>
          <w:p w14:paraId="672F82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4B8BC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E1200B4" w14:textId="77777777" w:rsidR="00000000" w:rsidRPr="00BE00C7" w:rsidRDefault="00000000" w:rsidP="00BE00C7">
            <w:pPr>
              <w:pStyle w:val="OutcomeDescription"/>
              <w:spacing w:before="120" w:after="120"/>
              <w:rPr>
                <w:rFonts w:cs="Arial"/>
                <w:lang w:eastAsia="en-NZ"/>
              </w:rPr>
            </w:pPr>
          </w:p>
        </w:tc>
        <w:tc>
          <w:tcPr>
            <w:tcW w:w="0" w:type="auto"/>
          </w:tcPr>
          <w:p w14:paraId="73B1E1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123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they had opportunities to discuss their needs and felt listened to. Information was provided in an easy-to-understand format, and staff described steps taken to ensure good communication for residents with communication difficulties. A resident was seen using communication aids on the day of the audit. </w:t>
            </w:r>
          </w:p>
          <w:p w14:paraId="780711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Changes to residents’ health status were communicated to relatives/whānau in a timely manner.  The nurse practitioner and two other visiting health professionals interviewed stated communication from staff was appropriate, timely and included all relevant information. Where other agencies were involved in care, communication had occurred. Examples of open communication were evident following </w:t>
            </w:r>
            <w:r w:rsidRPr="00BE00C7">
              <w:rPr>
                <w:rFonts w:cs="Arial"/>
                <w:lang w:eastAsia="en-NZ"/>
              </w:rPr>
              <w:lastRenderedPageBreak/>
              <w:t xml:space="preserve">adverse events and during management of any complaints. </w:t>
            </w:r>
          </w:p>
          <w:p w14:paraId="422CD8C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formal interpreter services, if required. Staff represented a range of ethnic groups and were multilingual.</w:t>
            </w:r>
          </w:p>
          <w:p w14:paraId="4D861EB1" w14:textId="77777777" w:rsidR="00000000" w:rsidRPr="00BE00C7" w:rsidRDefault="00000000" w:rsidP="00BE00C7">
            <w:pPr>
              <w:pStyle w:val="OutcomeDescription"/>
              <w:spacing w:before="120" w:after="120"/>
              <w:rPr>
                <w:rFonts w:cs="Arial"/>
                <w:lang w:eastAsia="en-NZ"/>
              </w:rPr>
            </w:pPr>
          </w:p>
        </w:tc>
      </w:tr>
      <w:tr w:rsidR="0035404B" w14:paraId="35AA1F0D" w14:textId="77777777">
        <w:tc>
          <w:tcPr>
            <w:tcW w:w="0" w:type="auto"/>
          </w:tcPr>
          <w:p w14:paraId="163037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2DF2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CDBE60" w14:textId="77777777" w:rsidR="00000000" w:rsidRPr="00BE00C7" w:rsidRDefault="00000000" w:rsidP="00BE00C7">
            <w:pPr>
              <w:pStyle w:val="OutcomeDescription"/>
              <w:spacing w:before="120" w:after="120"/>
              <w:rPr>
                <w:rFonts w:cs="Arial"/>
                <w:lang w:eastAsia="en-NZ"/>
              </w:rPr>
            </w:pPr>
          </w:p>
        </w:tc>
        <w:tc>
          <w:tcPr>
            <w:tcW w:w="0" w:type="auto"/>
          </w:tcPr>
          <w:p w14:paraId="510D57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E7341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With the consent of the resident, whānau were included in decision-making. Nursing and care staff interviewed understood the principles and practice of informed consent and described involving residents in the process. Tikanga guidelines were available to support staff when working with Māori residents and whānau. These were known to staff.</w:t>
            </w:r>
          </w:p>
          <w:p w14:paraId="4BC5710D"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All dementia care residents had an enacted EPOA on file and evidence of legal guardianship was sighted where required.</w:t>
            </w:r>
          </w:p>
          <w:p w14:paraId="708EE9BE" w14:textId="77777777" w:rsidR="00000000" w:rsidRPr="00BE00C7" w:rsidRDefault="00000000" w:rsidP="00BE00C7">
            <w:pPr>
              <w:pStyle w:val="OutcomeDescription"/>
              <w:spacing w:before="120" w:after="120"/>
              <w:rPr>
                <w:rFonts w:cs="Arial"/>
                <w:lang w:eastAsia="en-NZ"/>
              </w:rPr>
            </w:pPr>
          </w:p>
        </w:tc>
      </w:tr>
      <w:tr w:rsidR="0035404B" w14:paraId="50523619" w14:textId="77777777">
        <w:tc>
          <w:tcPr>
            <w:tcW w:w="0" w:type="auto"/>
          </w:tcPr>
          <w:p w14:paraId="5A7607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D0966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BF68BE" w14:textId="77777777" w:rsidR="00000000" w:rsidRPr="00BE00C7" w:rsidRDefault="00000000" w:rsidP="00BE00C7">
            <w:pPr>
              <w:pStyle w:val="OutcomeDescription"/>
              <w:spacing w:before="120" w:after="120"/>
              <w:rPr>
                <w:rFonts w:cs="Arial"/>
                <w:lang w:eastAsia="en-NZ"/>
              </w:rPr>
            </w:pPr>
          </w:p>
        </w:tc>
        <w:tc>
          <w:tcPr>
            <w:tcW w:w="0" w:type="auto"/>
          </w:tcPr>
          <w:p w14:paraId="062233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21F7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leads to improvements.  The process meets the requirements of the Code.  </w:t>
            </w:r>
          </w:p>
          <w:p w14:paraId="571B2D2F"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were managed by the care home manager with support from the regional manager as required. The care home manager advised there was a process in place to manage complaints from Māori using hui, appropriate tikanga, and/or te reo Māori as applicable. Complaints forms were available in English and te reo Māori. Residents and whānau interviewed reported they understood their right to make a complaint and knew how to do so.</w:t>
            </w:r>
          </w:p>
          <w:p w14:paraId="48A136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formal complaints in the last year, all of which are now closed. There have been no complaints from external sources, including the Health and Disability Commission, since the last audit.</w:t>
            </w:r>
          </w:p>
          <w:p w14:paraId="6BBD1818" w14:textId="77777777" w:rsidR="00000000" w:rsidRPr="00BE00C7" w:rsidRDefault="00000000" w:rsidP="00BE00C7">
            <w:pPr>
              <w:pStyle w:val="OutcomeDescription"/>
              <w:spacing w:before="120" w:after="120"/>
              <w:rPr>
                <w:rFonts w:cs="Arial"/>
                <w:lang w:eastAsia="en-NZ"/>
              </w:rPr>
            </w:pPr>
          </w:p>
        </w:tc>
      </w:tr>
      <w:tr w:rsidR="0035404B" w14:paraId="6A60130E" w14:textId="77777777">
        <w:tc>
          <w:tcPr>
            <w:tcW w:w="0" w:type="auto"/>
          </w:tcPr>
          <w:p w14:paraId="7CF22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D31D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137182" w14:textId="77777777" w:rsidR="00000000" w:rsidRPr="00BE00C7" w:rsidRDefault="00000000" w:rsidP="00BE00C7">
            <w:pPr>
              <w:pStyle w:val="OutcomeDescription"/>
              <w:spacing w:before="120" w:after="120"/>
              <w:rPr>
                <w:rFonts w:cs="Arial"/>
                <w:lang w:eastAsia="en-NZ"/>
              </w:rPr>
            </w:pPr>
          </w:p>
        </w:tc>
        <w:tc>
          <w:tcPr>
            <w:tcW w:w="0" w:type="auto"/>
          </w:tcPr>
          <w:p w14:paraId="43F675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0856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Lifecare Limited (HLL) governing body assumes accountability for delivering a high-quality service at Flaxmore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 Directors of HLL have undertaken the e-learning education on Te Tiriti, health equity and cultural safety provided by Manatū Hauora.</w:t>
            </w:r>
          </w:p>
          <w:p w14:paraId="17E0A4CC"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HLL also utilises the skills of staff and senior managers and supports them in making sure barriers to equitable service delivery are surmounted. Ethnicity data is collected to support equitable service delivery.</w:t>
            </w:r>
          </w:p>
          <w:p w14:paraId="201EE2A7" w14:textId="77777777" w:rsidR="00000000" w:rsidRPr="00BE00C7" w:rsidRDefault="00000000" w:rsidP="00BE00C7">
            <w:pPr>
              <w:pStyle w:val="OutcomeDescription"/>
              <w:spacing w:before="120" w:after="120"/>
              <w:rPr>
                <w:rFonts w:cs="Arial"/>
                <w:lang w:eastAsia="en-NZ"/>
              </w:rPr>
            </w:pPr>
            <w:r w:rsidRPr="00BE00C7">
              <w:rPr>
                <w:rFonts w:cs="Arial"/>
                <w:lang w:eastAsia="en-NZ"/>
              </w:rPr>
              <w:t>HLL has a strategic plan in place which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5BE9F18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 organisation’s care facilities. The HLL reporting structure relies on information from its strategic plan to inform facility-based business plans. Flaxmore had its own business plan for its particular services; this is updated and reported quarterly to governance. Internal data collection (e.g., adverse events, infections, audits and complaints) is aggregated, and corrective action occurs at facility and organisation level as applicable. Feedback is to the clinical governance group and to the board.</w:t>
            </w:r>
          </w:p>
          <w:p w14:paraId="38E32E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Changes are made to business and/or the strategic plans as required. The regional manager interviewed felt well informed on progress and risks. This was confirmed in a sample of reports to the HLL governance </w:t>
            </w:r>
            <w:r w:rsidRPr="00BE00C7">
              <w:rPr>
                <w:rFonts w:cs="Arial"/>
                <w:lang w:eastAsia="en-NZ"/>
              </w:rPr>
              <w:lastRenderedPageBreak/>
              <w:t>body.</w:t>
            </w:r>
          </w:p>
          <w:p w14:paraId="7E789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are in place for all positions, including senior positions. These specify the requirements for the position and key performance indicators (KPIs) to assess performance. HLL uses an interview panel for senior managers. The care home manager (CHM) was suitably qualified and experienced; they confirmed knowledge of the sector, regulatory and reporting requirements and discussed how they maintain currency within the field through ongoing professional development. </w:t>
            </w:r>
          </w:p>
          <w:p w14:paraId="72D517C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receiving services, and their whānau, participate in planning and evaluation of services through resident meetings and satisfaction surveys. There is also a staff satisfaction survey for a wider view of how residents and staff are being supported. Results of both are used to improve services.</w:t>
            </w:r>
          </w:p>
          <w:p w14:paraId="73FF2C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Flaxmore Lifecare holds contracts with Health New Zealand Nelson Marlborough to provide age-related residential care (ARRC) and respite care at rest home level and rest home dementia care. </w:t>
            </w:r>
          </w:p>
          <w:p w14:paraId="1F5CFAA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41 of the 48 beds were occupied; 13 residents were receiving long-term rest home care, and 28 residents were receiving dementia level care.</w:t>
            </w:r>
          </w:p>
          <w:p w14:paraId="4D08EC5A" w14:textId="77777777" w:rsidR="00000000" w:rsidRPr="00BE00C7" w:rsidRDefault="00000000" w:rsidP="00BE00C7">
            <w:pPr>
              <w:pStyle w:val="OutcomeDescription"/>
              <w:spacing w:before="120" w:after="120"/>
              <w:rPr>
                <w:rFonts w:cs="Arial"/>
                <w:lang w:eastAsia="en-NZ"/>
              </w:rPr>
            </w:pPr>
          </w:p>
        </w:tc>
      </w:tr>
      <w:tr w:rsidR="0035404B" w14:paraId="516861C2" w14:textId="77777777">
        <w:tc>
          <w:tcPr>
            <w:tcW w:w="0" w:type="auto"/>
          </w:tcPr>
          <w:p w14:paraId="02C802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1624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89D1B3" w14:textId="77777777" w:rsidR="00000000" w:rsidRPr="00BE00C7" w:rsidRDefault="00000000" w:rsidP="00BE00C7">
            <w:pPr>
              <w:pStyle w:val="OutcomeDescription"/>
              <w:spacing w:before="120" w:after="120"/>
              <w:rPr>
                <w:rFonts w:cs="Arial"/>
                <w:lang w:eastAsia="en-NZ"/>
              </w:rPr>
            </w:pPr>
          </w:p>
        </w:tc>
        <w:tc>
          <w:tcPr>
            <w:tcW w:w="0" w:type="auto"/>
          </w:tcPr>
          <w:p w14:paraId="3C3E8A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46067B" w14:textId="77777777" w:rsidR="00000000" w:rsidRPr="00BE00C7" w:rsidRDefault="00000000" w:rsidP="00BE00C7">
            <w:pPr>
              <w:pStyle w:val="OutcomeDescription"/>
              <w:spacing w:before="120" w:after="120"/>
              <w:rPr>
                <w:rFonts w:cs="Arial"/>
                <w:lang w:eastAsia="en-NZ"/>
              </w:rPr>
            </w:pPr>
            <w:r w:rsidRPr="00BE00C7">
              <w:rPr>
                <w:rFonts w:cs="Arial"/>
                <w:lang w:eastAsia="en-NZ"/>
              </w:rPr>
              <w:t>Flaxmore Lifecare follows the Heritage Lifecare planned quality and risk system which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were developed and implemented to address any shortfalls. Progress against quality outcomes was evaluated. Quality data was communicated and discussed, and this was confirmed by staff at interview. Trends were graphed and benchmarking against other HLL facilities occurs. Results were displayed on notice boards in public and staff areas. Policies reviewed covered all necessary aspects of the service and contractual requirements and were current.</w:t>
            </w:r>
          </w:p>
          <w:p w14:paraId="077365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care home manager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A Māori health plan guides care for Māori. Staff have received education/training in relation to care of Māori, Pasifika and tāngata whaikaha.</w:t>
            </w:r>
          </w:p>
          <w:p w14:paraId="70FBE2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staff attendance at education, completion of surveys, and reporting issues of concern. Resident meeting minutes, including for resident meetings with an independent advocate, were reviewed; these evidenced residents were happy with the services provided. The last resident and whānau surveys were completed in May 2024. Residents interviewed reported high levels of satisfaction, particularly in relation to communication. A staff survey was completed in late 2024. Results of the surveys have been communicated to staff, residents and whānau and areas for improvement have been identified and acted upon. Relevant quality improvement plans have been developed and implemented to address any areas for improvement identified. Quality improvement initiatives reviewed included activities to reduce the incidence of resident falls. Progress against quality outcomes was evaluated. </w:t>
            </w:r>
          </w:p>
          <w:p w14:paraId="0A279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2B508D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quality and risk-related meeting minutes were reviewed and confirmed there has been regular review and analysis of quality indicators, and that related information is reported and discussed. A sample of meeting minutes evidenced comprehensive reporting.  </w:t>
            </w:r>
          </w:p>
          <w:p w14:paraId="4C47AE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understood the requirements for essential notification reporting; there have been no clinical incidents requiring a Section 31 notification since the last audit.</w:t>
            </w:r>
          </w:p>
          <w:p w14:paraId="74F8DE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police investigations or coroner’s inquests.</w:t>
            </w:r>
          </w:p>
          <w:p w14:paraId="0A82A7B4" w14:textId="77777777" w:rsidR="00000000" w:rsidRPr="00BE00C7" w:rsidRDefault="00000000" w:rsidP="00BE00C7">
            <w:pPr>
              <w:pStyle w:val="OutcomeDescription"/>
              <w:spacing w:before="120" w:after="120"/>
              <w:rPr>
                <w:rFonts w:cs="Arial"/>
                <w:lang w:eastAsia="en-NZ"/>
              </w:rPr>
            </w:pPr>
          </w:p>
        </w:tc>
      </w:tr>
      <w:tr w:rsidR="0035404B" w14:paraId="270B814C" w14:textId="77777777">
        <w:tc>
          <w:tcPr>
            <w:tcW w:w="0" w:type="auto"/>
          </w:tcPr>
          <w:p w14:paraId="2C7B20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9109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2FBDB3" w14:textId="77777777" w:rsidR="00000000" w:rsidRPr="00BE00C7" w:rsidRDefault="00000000" w:rsidP="00BE00C7">
            <w:pPr>
              <w:pStyle w:val="OutcomeDescription"/>
              <w:spacing w:before="120" w:after="120"/>
              <w:rPr>
                <w:rFonts w:cs="Arial"/>
                <w:lang w:eastAsia="en-NZ"/>
              </w:rPr>
            </w:pPr>
          </w:p>
        </w:tc>
        <w:tc>
          <w:tcPr>
            <w:tcW w:w="0" w:type="auto"/>
          </w:tcPr>
          <w:p w14:paraId="378D69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1AD5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is managed by a care home manager who has experience in health management and has worked at this facility since the last audit. The care home manager is supported by the Heritage Lifecare Limited (HLL) regional health care advisor, who is based at Flaxmore, and a team of experienced registered nurses. There is a registered nurse on duty seven days per week and available after hours 24/7 by telephone. At least one staff member on duty has a current first aid certificate.</w:t>
            </w:r>
          </w:p>
          <w:p w14:paraId="6B73F1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The regional manager discussed plans to increase staffing as occupancy increases, and documentation sighted confirmed that steps had been taken to appoint a clinical services manager.</w:t>
            </w:r>
          </w:p>
          <w:p w14:paraId="59F878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C2E24A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were assessed and support equitable service delivery and the ability to maximise the participation of people using the service and their whānau.  Care staff have access to a New Zealand Qualification Authority education programme to meet the requirements of the provider’s agreements with Health New Zealand Nelson Marlborough. Records reviewed demonstrated completion of the required training and competency assessments. All care staff rostered to work in the dementia care area are supported to complete specific education in dementia care; 10 caregivers have completed the required dementia-related education and a further nine are enrolled. Records reviewed demonstrated completion of the required training (or enrolment) and competency assessments.</w:t>
            </w:r>
          </w:p>
          <w:p w14:paraId="01403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High-quality Māori health information is accessed and used to support training and development programmes, policy development, and care </w:t>
            </w:r>
            <w:r w:rsidRPr="00BE00C7">
              <w:rPr>
                <w:rFonts w:cs="Arial"/>
                <w:lang w:eastAsia="en-NZ"/>
              </w:rPr>
              <w:lastRenderedPageBreak/>
              <w:t>delivery.</w:t>
            </w:r>
          </w:p>
          <w:p w14:paraId="16CDA0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w:t>
            </w:r>
          </w:p>
          <w:p w14:paraId="69931EAC" w14:textId="77777777" w:rsidR="00000000" w:rsidRPr="00BE00C7" w:rsidRDefault="00000000" w:rsidP="00BE00C7">
            <w:pPr>
              <w:pStyle w:val="OutcomeDescription"/>
              <w:spacing w:before="120" w:after="120"/>
              <w:rPr>
                <w:rFonts w:cs="Arial"/>
                <w:lang w:eastAsia="en-NZ"/>
              </w:rPr>
            </w:pPr>
            <w:r w:rsidRPr="00BE00C7">
              <w:rPr>
                <w:rFonts w:cs="Arial"/>
                <w:lang w:eastAsia="en-NZ"/>
              </w:rPr>
              <w:t>High-quality Māori health information is accessed and used to support training and development programmes, policy development, and care delivery.</w:t>
            </w:r>
          </w:p>
          <w:p w14:paraId="4C0C9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well-being policies and processes are in place and staff reported feeling well supported and safe in the workplace. Staff have access to independent counselling services.  </w:t>
            </w:r>
          </w:p>
          <w:p w14:paraId="1B4E547A" w14:textId="77777777" w:rsidR="00000000" w:rsidRPr="00BE00C7" w:rsidRDefault="00000000" w:rsidP="00BE00C7">
            <w:pPr>
              <w:pStyle w:val="OutcomeDescription"/>
              <w:spacing w:before="120" w:after="120"/>
              <w:rPr>
                <w:rFonts w:cs="Arial"/>
                <w:lang w:eastAsia="en-NZ"/>
              </w:rPr>
            </w:pPr>
          </w:p>
        </w:tc>
      </w:tr>
      <w:tr w:rsidR="0035404B" w14:paraId="0F379CE8" w14:textId="77777777">
        <w:tc>
          <w:tcPr>
            <w:tcW w:w="0" w:type="auto"/>
          </w:tcPr>
          <w:p w14:paraId="7F6C04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DE9C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585EB7" w14:textId="77777777" w:rsidR="00000000" w:rsidRPr="00BE00C7" w:rsidRDefault="00000000" w:rsidP="00BE00C7">
            <w:pPr>
              <w:pStyle w:val="OutcomeDescription"/>
              <w:spacing w:before="120" w:after="120"/>
              <w:rPr>
                <w:rFonts w:cs="Arial"/>
                <w:lang w:eastAsia="en-NZ"/>
              </w:rPr>
            </w:pPr>
          </w:p>
        </w:tc>
        <w:tc>
          <w:tcPr>
            <w:tcW w:w="0" w:type="auto"/>
          </w:tcPr>
          <w:p w14:paraId="25366B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C998C1"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57F60059"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ten staff records were reviewed (the care home manager, two registered nurses, three caregivers, the cook, two activity coordinators and the maintenance worker) and evidenced implementation of the recruitment process, employment contracts, reference checking, police vetting, and completed induction and orientation. Staff performance was reviewed and discussed at regular intervals; this was confirmed through documentation sighted and interviews with staff.</w:t>
            </w:r>
          </w:p>
          <w:p w14:paraId="1378472D"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were validated prior to employment. A register of annual practicing certificates (APCs) was maintained for registered nurses and associated health contractors (four general practitioners (GP), two nurse practitioners, a podiatrist, four pharmacists, a physiotherapist, and a dietitian).</w:t>
            </w:r>
          </w:p>
          <w:p w14:paraId="084F5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recorded and used in line with health information standards. Staff information was secure and accessible only to those </w:t>
            </w:r>
            <w:r w:rsidRPr="00BE00C7">
              <w:rPr>
                <w:rFonts w:cs="Arial"/>
                <w:lang w:eastAsia="en-NZ"/>
              </w:rPr>
              <w:lastRenderedPageBreak/>
              <w:t>authorised to use it.</w:t>
            </w:r>
          </w:p>
          <w:p w14:paraId="6607D7DA"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55F0BAB5" w14:textId="77777777" w:rsidR="00000000" w:rsidRPr="00BE00C7" w:rsidRDefault="00000000" w:rsidP="00BE00C7">
            <w:pPr>
              <w:pStyle w:val="OutcomeDescription"/>
              <w:spacing w:before="120" w:after="120"/>
              <w:rPr>
                <w:rFonts w:cs="Arial"/>
                <w:lang w:eastAsia="en-NZ"/>
              </w:rPr>
            </w:pPr>
          </w:p>
        </w:tc>
      </w:tr>
      <w:tr w:rsidR="0035404B" w14:paraId="7C001F95" w14:textId="77777777">
        <w:tc>
          <w:tcPr>
            <w:tcW w:w="0" w:type="auto"/>
          </w:tcPr>
          <w:p w14:paraId="638B1A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A71EB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F761469" w14:textId="77777777" w:rsidR="00000000" w:rsidRPr="00BE00C7" w:rsidRDefault="00000000" w:rsidP="00BE00C7">
            <w:pPr>
              <w:pStyle w:val="OutcomeDescription"/>
              <w:spacing w:before="120" w:after="120"/>
              <w:rPr>
                <w:rFonts w:cs="Arial"/>
                <w:lang w:eastAsia="en-NZ"/>
              </w:rPr>
            </w:pPr>
          </w:p>
        </w:tc>
        <w:tc>
          <w:tcPr>
            <w:tcW w:w="0" w:type="auto"/>
          </w:tcPr>
          <w:p w14:paraId="5FF9C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230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7F5C8DC4"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1CB7921D" w14:textId="77777777" w:rsidR="00000000" w:rsidRPr="00BE00C7" w:rsidRDefault="00000000" w:rsidP="00BE00C7">
            <w:pPr>
              <w:pStyle w:val="OutcomeDescription"/>
              <w:spacing w:before="120" w:after="120"/>
              <w:rPr>
                <w:rFonts w:cs="Arial"/>
                <w:lang w:eastAsia="en-NZ"/>
              </w:rPr>
            </w:pPr>
            <w:r w:rsidRPr="00BE00C7">
              <w:rPr>
                <w:rFonts w:cs="Arial"/>
                <w:lang w:eastAsia="en-NZ"/>
              </w:rPr>
              <w:t>Flaxmore is not responsible for the National Health Index registration of people receiving services.</w:t>
            </w:r>
          </w:p>
          <w:p w14:paraId="496D2A64" w14:textId="77777777" w:rsidR="00000000" w:rsidRPr="00BE00C7" w:rsidRDefault="00000000" w:rsidP="00BE00C7">
            <w:pPr>
              <w:pStyle w:val="OutcomeDescription"/>
              <w:spacing w:before="120" w:after="120"/>
              <w:rPr>
                <w:rFonts w:cs="Arial"/>
                <w:lang w:eastAsia="en-NZ"/>
              </w:rPr>
            </w:pPr>
          </w:p>
        </w:tc>
      </w:tr>
      <w:tr w:rsidR="0035404B" w14:paraId="275E56E2" w14:textId="77777777">
        <w:tc>
          <w:tcPr>
            <w:tcW w:w="0" w:type="auto"/>
          </w:tcPr>
          <w:p w14:paraId="2BC88E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80F38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B063063" w14:textId="77777777" w:rsidR="00000000" w:rsidRPr="00BE00C7" w:rsidRDefault="00000000" w:rsidP="00BE00C7">
            <w:pPr>
              <w:pStyle w:val="OutcomeDescription"/>
              <w:spacing w:before="120" w:after="120"/>
              <w:rPr>
                <w:rFonts w:cs="Arial"/>
                <w:lang w:eastAsia="en-NZ"/>
              </w:rPr>
            </w:pPr>
          </w:p>
        </w:tc>
        <w:tc>
          <w:tcPr>
            <w:tcW w:w="0" w:type="auto"/>
          </w:tcPr>
          <w:p w14:paraId="077B0A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4418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enter the service when their required level of care has been assessed and confirmed by the local Needs Assessment and Service Coordination (NASC) agency. Files reviewed met contractual requirements.  Residents were welcomed into the service when assessment by the local NASC confirmed they required the level of care offered at Flaxmore. </w:t>
            </w:r>
          </w:p>
          <w:p w14:paraId="4D767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were satisfied with the admission process and the information that had been made available to them on admission.  </w:t>
            </w:r>
          </w:p>
          <w:p w14:paraId="555D903A" w14:textId="77777777" w:rsidR="00000000" w:rsidRPr="00BE00C7" w:rsidRDefault="00000000" w:rsidP="00BE00C7">
            <w:pPr>
              <w:pStyle w:val="OutcomeDescription"/>
              <w:spacing w:before="120" w:after="120"/>
              <w:rPr>
                <w:rFonts w:cs="Arial"/>
                <w:lang w:eastAsia="en-NZ"/>
              </w:rPr>
            </w:pPr>
            <w:r w:rsidRPr="00BE00C7">
              <w:rPr>
                <w:rFonts w:cs="Arial"/>
                <w:lang w:eastAsia="en-NZ"/>
              </w:rPr>
              <w:t>Enquiries were documented and, where a prospective resident was declined entry, there are processes for communicating the decision, although this rarely occurs. Related data was documented and analysis of the entry and decline rates, including for Māori, was occurring.</w:t>
            </w:r>
          </w:p>
          <w:p w14:paraId="0172D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developed partnerships with Māori communities and organisations and supports Māori and their whānau when entering the service. A new position at Health New Zealand Older Persons Mental </w:t>
            </w:r>
            <w:r w:rsidRPr="00BE00C7">
              <w:rPr>
                <w:rFonts w:cs="Arial"/>
                <w:lang w:eastAsia="en-NZ"/>
              </w:rPr>
              <w:lastRenderedPageBreak/>
              <w:t>Health has been established to liaise with aged care providers. There were currently no residents who had requested the services of a Māori healer.</w:t>
            </w:r>
          </w:p>
          <w:p w14:paraId="2EAC69A9" w14:textId="77777777" w:rsidR="00000000" w:rsidRPr="00BE00C7" w:rsidRDefault="00000000" w:rsidP="00BE00C7">
            <w:pPr>
              <w:pStyle w:val="OutcomeDescription"/>
              <w:spacing w:before="120" w:after="120"/>
              <w:rPr>
                <w:rFonts w:cs="Arial"/>
                <w:lang w:eastAsia="en-NZ"/>
              </w:rPr>
            </w:pPr>
          </w:p>
        </w:tc>
      </w:tr>
      <w:tr w:rsidR="0035404B" w14:paraId="4B4C7B0F" w14:textId="77777777">
        <w:tc>
          <w:tcPr>
            <w:tcW w:w="0" w:type="auto"/>
          </w:tcPr>
          <w:p w14:paraId="6937DC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F244B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E6BA199" w14:textId="77777777" w:rsidR="00000000" w:rsidRPr="00BE00C7" w:rsidRDefault="00000000" w:rsidP="00BE00C7">
            <w:pPr>
              <w:pStyle w:val="OutcomeDescription"/>
              <w:spacing w:before="120" w:after="120"/>
              <w:rPr>
                <w:rFonts w:cs="Arial"/>
                <w:lang w:eastAsia="en-NZ"/>
              </w:rPr>
            </w:pPr>
          </w:p>
        </w:tc>
        <w:tc>
          <w:tcPr>
            <w:tcW w:w="0" w:type="auto"/>
          </w:tcPr>
          <w:p w14:paraId="122345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2B2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2A039FEC"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met contractual and policy requirements. Staff understood and supported Māori and whānau to identify their own pae ora outcomes in their care plan. This was verified by sampling seven resident records, and from interviews of clinical staff, people receiving services, and whānau.</w:t>
            </w:r>
          </w:p>
          <w:p w14:paraId="681AF50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 whānau. Residents and whānau confirmed active involvement in the process.</w:t>
            </w:r>
          </w:p>
          <w:p w14:paraId="6D36F4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staff/tāngata whaikaha/whānau.  Tāngata whaikaha/whānau could independently access information. </w:t>
            </w:r>
          </w:p>
          <w:p w14:paraId="705435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two visiting health professionals and the nurse practitioner confirmed that the quality of care was consistent and met the residents’ needs. Communication was regular, with all health professionals visiting </w:t>
            </w:r>
            <w:r w:rsidRPr="00BE00C7">
              <w:rPr>
                <w:rFonts w:cs="Arial"/>
                <w:lang w:eastAsia="en-NZ"/>
              </w:rPr>
              <w:lastRenderedPageBreak/>
              <w:t xml:space="preserve">Flaxmore weekly and as required. </w:t>
            </w:r>
          </w:p>
          <w:p w14:paraId="62F0CF45" w14:textId="77777777" w:rsidR="00000000" w:rsidRPr="00BE00C7" w:rsidRDefault="00000000" w:rsidP="00153AC3">
            <w:pPr>
              <w:pStyle w:val="OutcomeDescription"/>
              <w:spacing w:before="120" w:after="120"/>
              <w:rPr>
                <w:rFonts w:cs="Arial"/>
                <w:lang w:eastAsia="en-NZ"/>
              </w:rPr>
            </w:pPr>
          </w:p>
        </w:tc>
      </w:tr>
      <w:tr w:rsidR="0035404B" w14:paraId="77058BBA" w14:textId="77777777">
        <w:tc>
          <w:tcPr>
            <w:tcW w:w="0" w:type="auto"/>
          </w:tcPr>
          <w:p w14:paraId="5019C4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7A716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00D3DCA" w14:textId="77777777" w:rsidR="00000000" w:rsidRPr="00BE00C7" w:rsidRDefault="00000000" w:rsidP="00BE00C7">
            <w:pPr>
              <w:pStyle w:val="OutcomeDescription"/>
              <w:spacing w:before="120" w:after="120"/>
              <w:rPr>
                <w:rFonts w:cs="Arial"/>
                <w:lang w:eastAsia="en-NZ"/>
              </w:rPr>
            </w:pPr>
          </w:p>
        </w:tc>
        <w:tc>
          <w:tcPr>
            <w:tcW w:w="0" w:type="auto"/>
          </w:tcPr>
          <w:p w14:paraId="07082C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9194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The activities coordinator was new to the position and excited about future development of the programme.  They were well supported by Flaxmore in orientation to the position.</w:t>
            </w:r>
          </w:p>
          <w:p w14:paraId="6F0939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“about me”, “pastoral care”, “life history” and activity plans identify individual interests and consider the person’s identity. Individual and group activities reflected residents’ goals and interests, ordinary patterns of life, and included normal community activities.  A monthly calendar of activities was developed and shared with staff and residents.  Opportunities for Māori and whānau to participate in te ao Māori were facilitated. Community initiatives met the needs of Māori. Progress notes were completed monthly for each resident and activities data was maintained daily. </w:t>
            </w:r>
          </w:p>
          <w:p w14:paraId="4FF4B0AD"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meetings and surveys.  Those interviewed confirmed they found the programme met their needs. Residents were seen to be enjoying the various activities on offer.</w:t>
            </w:r>
          </w:p>
          <w:p w14:paraId="792AB8EE" w14:textId="77777777" w:rsidR="00000000" w:rsidRPr="00BE00C7" w:rsidRDefault="00000000" w:rsidP="00BE00C7">
            <w:pPr>
              <w:pStyle w:val="OutcomeDescription"/>
              <w:spacing w:before="120" w:after="120"/>
              <w:rPr>
                <w:rFonts w:cs="Arial"/>
                <w:lang w:eastAsia="en-NZ"/>
              </w:rPr>
            </w:pPr>
          </w:p>
        </w:tc>
      </w:tr>
      <w:tr w:rsidR="0035404B" w14:paraId="036E12E8" w14:textId="77777777">
        <w:tc>
          <w:tcPr>
            <w:tcW w:w="0" w:type="auto"/>
          </w:tcPr>
          <w:p w14:paraId="2ACE55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8BDB3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906154" w14:textId="77777777" w:rsidR="00000000" w:rsidRPr="00BE00C7" w:rsidRDefault="00000000" w:rsidP="00BE00C7">
            <w:pPr>
              <w:pStyle w:val="OutcomeDescription"/>
              <w:spacing w:before="120" w:after="120"/>
              <w:rPr>
                <w:rFonts w:cs="Arial"/>
                <w:lang w:eastAsia="en-NZ"/>
              </w:rPr>
            </w:pPr>
          </w:p>
        </w:tc>
        <w:tc>
          <w:tcPr>
            <w:tcW w:w="0" w:type="auto"/>
          </w:tcPr>
          <w:p w14:paraId="2DF297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98B4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53489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228559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70D8B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were recorded, and any adverse events responded to </w:t>
            </w:r>
            <w:r w:rsidRPr="00BE00C7">
              <w:rPr>
                <w:rFonts w:cs="Arial"/>
                <w:lang w:eastAsia="en-NZ"/>
              </w:rPr>
              <w:lastRenderedPageBreak/>
              <w:t xml:space="preserve">appropriately. Over-the-counter medication and supplements are considered by the prescriber as part of the person’s medication.  The required three-monthly GP review was consistently recorded on the medicine chart.  </w:t>
            </w:r>
          </w:p>
          <w:p w14:paraId="46256422"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were not used.</w:t>
            </w:r>
          </w:p>
          <w:p w14:paraId="237F38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currently no residents self-administrating medication. This would be managed safely if required. Residents, including Māori residents and their whānau, were supported to understand their medications.</w:t>
            </w:r>
          </w:p>
          <w:p w14:paraId="62982FC9" w14:textId="77777777" w:rsidR="00000000" w:rsidRPr="00BE00C7" w:rsidRDefault="00000000" w:rsidP="00BE00C7">
            <w:pPr>
              <w:pStyle w:val="OutcomeDescription"/>
              <w:spacing w:before="120" w:after="120"/>
              <w:rPr>
                <w:rFonts w:cs="Arial"/>
                <w:lang w:eastAsia="en-NZ"/>
              </w:rPr>
            </w:pPr>
          </w:p>
        </w:tc>
      </w:tr>
      <w:tr w:rsidR="0035404B" w14:paraId="6D82AAA5" w14:textId="77777777">
        <w:tc>
          <w:tcPr>
            <w:tcW w:w="0" w:type="auto"/>
          </w:tcPr>
          <w:p w14:paraId="30D7FC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8FC2A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F0C9F5" w14:textId="77777777" w:rsidR="00000000" w:rsidRPr="00BE00C7" w:rsidRDefault="00000000" w:rsidP="00BE00C7">
            <w:pPr>
              <w:pStyle w:val="OutcomeDescription"/>
              <w:spacing w:before="120" w:after="120"/>
              <w:rPr>
                <w:rFonts w:cs="Arial"/>
                <w:lang w:eastAsia="en-NZ"/>
              </w:rPr>
            </w:pPr>
          </w:p>
        </w:tc>
        <w:tc>
          <w:tcPr>
            <w:tcW w:w="0" w:type="auto"/>
          </w:tcPr>
          <w:p w14:paraId="2C8095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710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contracted by HLL within the last two years.  Recommendations made at that time have been implemented. </w:t>
            </w:r>
          </w:p>
          <w:p w14:paraId="161F7F4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This was approved by Nelson City Council on 22 May 2024.</w:t>
            </w:r>
          </w:p>
          <w:p w14:paraId="5161893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Māori and their whānau have menu options that are culturally specific to te ao Māori.  An interview with the cook confirmed that a range of functions were catered for, including Matariki and other cultural events such as birthdays and religious occasions. Food/fluid/snacks were available 24/7 within the dementia unit.</w:t>
            </w:r>
          </w:p>
          <w:p w14:paraId="25DA3AC8"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observation of the food service for those requiring assistance supported that the service was provided with dignity.</w:t>
            </w:r>
          </w:p>
          <w:p w14:paraId="400DD3C9" w14:textId="77777777" w:rsidR="00000000" w:rsidRPr="00BE00C7" w:rsidRDefault="00000000" w:rsidP="00BE00C7">
            <w:pPr>
              <w:pStyle w:val="OutcomeDescription"/>
              <w:spacing w:before="120" w:after="120"/>
              <w:rPr>
                <w:rFonts w:cs="Arial"/>
                <w:lang w:eastAsia="en-NZ"/>
              </w:rPr>
            </w:pPr>
          </w:p>
        </w:tc>
      </w:tr>
      <w:tr w:rsidR="0035404B" w14:paraId="6946012E" w14:textId="77777777">
        <w:tc>
          <w:tcPr>
            <w:tcW w:w="0" w:type="auto"/>
          </w:tcPr>
          <w:p w14:paraId="48D97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A290D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3E517D5" w14:textId="77777777" w:rsidR="00000000" w:rsidRPr="00BE00C7" w:rsidRDefault="00000000" w:rsidP="00BE00C7">
            <w:pPr>
              <w:pStyle w:val="OutcomeDescription"/>
              <w:spacing w:before="120" w:after="120"/>
              <w:rPr>
                <w:rFonts w:cs="Arial"/>
                <w:lang w:eastAsia="en-NZ"/>
              </w:rPr>
            </w:pPr>
          </w:p>
        </w:tc>
        <w:tc>
          <w:tcPr>
            <w:tcW w:w="0" w:type="auto"/>
          </w:tcPr>
          <w:p w14:paraId="36D04E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55C6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safely managed safely with coordination between services and in collaboration with the </w:t>
            </w:r>
            <w:r w:rsidRPr="00BE00C7">
              <w:rPr>
                <w:rFonts w:cs="Arial"/>
                <w:lang w:eastAsia="en-NZ"/>
              </w:rPr>
              <w:lastRenderedPageBreak/>
              <w:t>resident and whānau. Risks and current support needs were identified and managed. Options to access other health and disability services and social/cultural supports are discussed, where appropriate. Whānau interviewed reported being kept well informed during the transfer of their relative. The yellow envelope system was used to guide staff to ensure vital information accompanies the resident during the transfer.</w:t>
            </w:r>
          </w:p>
          <w:p w14:paraId="25B40995"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actions taken to transfer residents to more appropriate facilities when their needs change, such as hospital level care, was sighted.</w:t>
            </w:r>
          </w:p>
          <w:p w14:paraId="06E06316" w14:textId="77777777" w:rsidR="00000000" w:rsidRPr="00BE00C7" w:rsidRDefault="00000000" w:rsidP="00BE00C7">
            <w:pPr>
              <w:pStyle w:val="OutcomeDescription"/>
              <w:spacing w:before="120" w:after="120"/>
              <w:rPr>
                <w:rFonts w:cs="Arial"/>
                <w:lang w:eastAsia="en-NZ"/>
              </w:rPr>
            </w:pPr>
          </w:p>
        </w:tc>
      </w:tr>
      <w:tr w:rsidR="0035404B" w14:paraId="690C47F0" w14:textId="77777777">
        <w:tc>
          <w:tcPr>
            <w:tcW w:w="0" w:type="auto"/>
          </w:tcPr>
          <w:p w14:paraId="3DA838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996CF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A198F1" w14:textId="77777777" w:rsidR="00000000" w:rsidRPr="00BE00C7" w:rsidRDefault="00000000" w:rsidP="00BE00C7">
            <w:pPr>
              <w:pStyle w:val="OutcomeDescription"/>
              <w:spacing w:before="120" w:after="120"/>
              <w:rPr>
                <w:rFonts w:cs="Arial"/>
                <w:lang w:eastAsia="en-NZ"/>
              </w:rPr>
            </w:pPr>
          </w:p>
        </w:tc>
        <w:tc>
          <w:tcPr>
            <w:tcW w:w="0" w:type="auto"/>
          </w:tcPr>
          <w:p w14:paraId="37751C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D3819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met legislative requirements. A planned maintenance schedule included electrical testing and tagging, resident equipment checks and checking and calibration of clinical equipment. Monthly hot water tests were completed for resident areas; these were sighted and were all within normal limits.</w:t>
            </w:r>
          </w:p>
          <w:p w14:paraId="271F59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current building warrant of fitness with an expiry date of 5 July 2025. There were currently no plans for further building projects requiring consultation, but Heritage Lifecare directors and Flaxmore management were aware of the requirement to consult with Māori if this was envisaged.</w:t>
            </w:r>
          </w:p>
          <w:p w14:paraId="78CA55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this. Spaces are culturally inclusive and suited the needs of the resident groups. Lounge and dining facilities meet the needs of residents, and these are also used for activities.  Each of the two dementia units has a dining area and lounge for resident use.</w:t>
            </w:r>
          </w:p>
          <w:p w14:paraId="053D3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including for staff and visitors. All rooms, bathrooms and common areas have appropriately situated call bells, and these were confirmed to be in working order. </w:t>
            </w:r>
          </w:p>
          <w:p w14:paraId="18F468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rooms are spacious and allow room for the use of mobility aids and moving and handling equipment if required. Rooms were personalised according to the resident’s preference. All rooms have a window allowing for natural light, with safety catches for security. Electric heating is provided in the facility, which can be adjusted depending on seasonality and outside temperature.</w:t>
            </w:r>
          </w:p>
          <w:p w14:paraId="734FA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external areas within the facility for leisure activities with appropriate seating and shade. The gardens were very well maintained, and each dementia unit has its own space which residents were observed to be using. </w:t>
            </w:r>
          </w:p>
          <w:p w14:paraId="51051D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4C580D8A" w14:textId="77777777" w:rsidR="00000000" w:rsidRPr="00BE00C7" w:rsidRDefault="00000000" w:rsidP="00BE00C7">
            <w:pPr>
              <w:pStyle w:val="OutcomeDescription"/>
              <w:spacing w:before="120" w:after="120"/>
              <w:rPr>
                <w:rFonts w:cs="Arial"/>
                <w:lang w:eastAsia="en-NZ"/>
              </w:rPr>
            </w:pPr>
          </w:p>
        </w:tc>
      </w:tr>
      <w:tr w:rsidR="0035404B" w14:paraId="72A5CCB6" w14:textId="77777777">
        <w:tc>
          <w:tcPr>
            <w:tcW w:w="0" w:type="auto"/>
          </w:tcPr>
          <w:p w14:paraId="1730B6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2C6DD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212B52" w14:textId="77777777" w:rsidR="00000000" w:rsidRPr="00BE00C7" w:rsidRDefault="00000000" w:rsidP="00BE00C7">
            <w:pPr>
              <w:pStyle w:val="OutcomeDescription"/>
              <w:spacing w:before="120" w:after="120"/>
              <w:rPr>
                <w:rFonts w:cs="Arial"/>
                <w:lang w:eastAsia="en-NZ"/>
              </w:rPr>
            </w:pPr>
          </w:p>
        </w:tc>
        <w:tc>
          <w:tcPr>
            <w:tcW w:w="0" w:type="auto"/>
          </w:tcPr>
          <w:p w14:paraId="2D87C6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CF45D3"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and fire evacuation drills are held six-monthly.</w:t>
            </w:r>
          </w:p>
          <w:p w14:paraId="46B67EED"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Alternative essential energy and utility resources were available, should the main supplies fail.</w:t>
            </w:r>
          </w:p>
          <w:p w14:paraId="62302AA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some other staff have current first aid certification. There is a first aid certified staff member on duty 24/7 and any staff member who takes residents on outings outside the facility has first aid certification. Information on emergency and security arrangements is provided to residents and their whānau on entry to the service. All staff were noted to be wearing uniforms and name badges during the audit.</w:t>
            </w:r>
          </w:p>
          <w:p w14:paraId="6CE23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t>
            </w:r>
            <w:r w:rsidRPr="00BE00C7">
              <w:rPr>
                <w:rFonts w:cs="Arial"/>
                <w:lang w:eastAsia="en-NZ"/>
              </w:rPr>
              <w:lastRenderedPageBreak/>
              <w:t xml:space="preserve">whānau reported staff respond promptly to call bells.  </w:t>
            </w:r>
          </w:p>
          <w:p w14:paraId="3CFA2E7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w:t>
            </w:r>
          </w:p>
          <w:p w14:paraId="64D5A19C" w14:textId="77777777" w:rsidR="00000000" w:rsidRPr="00BE00C7" w:rsidRDefault="00000000" w:rsidP="00BE00C7">
            <w:pPr>
              <w:pStyle w:val="OutcomeDescription"/>
              <w:spacing w:before="120" w:after="120"/>
              <w:rPr>
                <w:rFonts w:cs="Arial"/>
                <w:lang w:eastAsia="en-NZ"/>
              </w:rPr>
            </w:pPr>
          </w:p>
        </w:tc>
      </w:tr>
      <w:tr w:rsidR="0035404B" w14:paraId="6E6B7EC0" w14:textId="77777777">
        <w:tc>
          <w:tcPr>
            <w:tcW w:w="0" w:type="auto"/>
          </w:tcPr>
          <w:p w14:paraId="5DAB69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40168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520B26A" w14:textId="77777777" w:rsidR="00000000" w:rsidRPr="00BE00C7" w:rsidRDefault="00000000" w:rsidP="00BE00C7">
            <w:pPr>
              <w:pStyle w:val="OutcomeDescription"/>
              <w:spacing w:before="120" w:after="120"/>
              <w:rPr>
                <w:rFonts w:cs="Arial"/>
                <w:lang w:eastAsia="en-NZ"/>
              </w:rPr>
            </w:pPr>
          </w:p>
        </w:tc>
        <w:tc>
          <w:tcPr>
            <w:tcW w:w="0" w:type="auto"/>
          </w:tcPr>
          <w:p w14:paraId="226954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ED54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were being reviewed and reported on yearly.  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54BCA71E"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risk-based reporting of progress, issues and significant events to the governing body. Staff can access IP and AMS expertise through Health New Zealand Nelson Marlborough and through Heritage Lifecare Limited, which has appointed the regional health care advisor (HRA) with responsibility for IP and AMS. IP and AMS information was discussed at facility level, at clinical governance meetings, and was reported to the board at board meetings. Infection prevention and control information presented to the board includes ethnicity data.</w:t>
            </w:r>
          </w:p>
          <w:p w14:paraId="6464144B" w14:textId="77777777" w:rsidR="00000000" w:rsidRPr="00BE00C7" w:rsidRDefault="00000000" w:rsidP="00BE00C7">
            <w:pPr>
              <w:pStyle w:val="OutcomeDescription"/>
              <w:spacing w:before="120" w:after="120"/>
              <w:rPr>
                <w:rFonts w:cs="Arial"/>
                <w:lang w:eastAsia="en-NZ"/>
              </w:rPr>
            </w:pPr>
          </w:p>
        </w:tc>
      </w:tr>
      <w:tr w:rsidR="0035404B" w14:paraId="771DBF37" w14:textId="77777777">
        <w:tc>
          <w:tcPr>
            <w:tcW w:w="0" w:type="auto"/>
          </w:tcPr>
          <w:p w14:paraId="2CEA6F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8B53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1A7C134A" w14:textId="77777777" w:rsidR="00000000" w:rsidRPr="00BE00C7" w:rsidRDefault="00000000" w:rsidP="00BE00C7">
            <w:pPr>
              <w:pStyle w:val="OutcomeDescription"/>
              <w:spacing w:before="120" w:after="120"/>
              <w:rPr>
                <w:rFonts w:cs="Arial"/>
                <w:lang w:eastAsia="en-NZ"/>
              </w:rPr>
            </w:pPr>
          </w:p>
        </w:tc>
        <w:tc>
          <w:tcPr>
            <w:tcW w:w="0" w:type="auto"/>
          </w:tcPr>
          <w:p w14:paraId="24FCCD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5478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There is an infection and prevention and antimicrobial stewardship programme in place that has been developed by those with IP expertise, is linked to the quality improvement programme and has been approved by the Heritage Lifecare Limited governing body. Annual review of the programme, with reporting to governance, has occurred. </w:t>
            </w:r>
          </w:p>
          <w:p w14:paraId="7095C5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RHA for HLL. The IPCC has appropriate skills, knowledge and </w:t>
            </w:r>
            <w:r w:rsidRPr="00BE00C7">
              <w:rPr>
                <w:rFonts w:cs="Arial"/>
                <w:lang w:eastAsia="en-NZ"/>
              </w:rPr>
              <w:lastRenderedPageBreak/>
              <w:t xml:space="preserve">qualifications for the role and confirmed access to the necessary resources and support. Their advice and/or the advice of the RHA and HLL national IP lead has been sought when making decisions around procurement relevant to care delivery, or facility changes, and policies. </w:t>
            </w:r>
          </w:p>
          <w:p w14:paraId="3CCC7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0BF465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were available in te reo Māori. </w:t>
            </w:r>
          </w:p>
          <w:p w14:paraId="39E62A4D"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were sufficient resources and personal protective equipment (PPE) available, and staff have been trained accordingly.</w:t>
            </w:r>
          </w:p>
          <w:p w14:paraId="4DF1A72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4AA6ABE8" w14:textId="77777777" w:rsidR="00000000" w:rsidRPr="00BE00C7" w:rsidRDefault="00000000" w:rsidP="00BE00C7">
            <w:pPr>
              <w:pStyle w:val="OutcomeDescription"/>
              <w:spacing w:before="120" w:after="120"/>
              <w:rPr>
                <w:rFonts w:cs="Arial"/>
                <w:lang w:eastAsia="en-NZ"/>
              </w:rPr>
            </w:pPr>
          </w:p>
        </w:tc>
      </w:tr>
      <w:tr w:rsidR="0035404B" w14:paraId="19C0B19C" w14:textId="77777777">
        <w:tc>
          <w:tcPr>
            <w:tcW w:w="0" w:type="auto"/>
          </w:tcPr>
          <w:p w14:paraId="4B3D9C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5A282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6DAAA1" w14:textId="77777777" w:rsidR="00000000" w:rsidRPr="00BE00C7" w:rsidRDefault="00000000" w:rsidP="00BE00C7">
            <w:pPr>
              <w:pStyle w:val="OutcomeDescription"/>
              <w:spacing w:before="120" w:after="120"/>
              <w:rPr>
                <w:rFonts w:cs="Arial"/>
                <w:lang w:eastAsia="en-NZ"/>
              </w:rPr>
            </w:pPr>
          </w:p>
        </w:tc>
        <w:tc>
          <w:tcPr>
            <w:tcW w:w="0" w:type="auto"/>
          </w:tcPr>
          <w:p w14:paraId="083790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A0C0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  </w:t>
            </w:r>
          </w:p>
          <w:p w14:paraId="70056355" w14:textId="77777777" w:rsidR="00000000" w:rsidRPr="00BE00C7" w:rsidRDefault="00000000" w:rsidP="00BE00C7">
            <w:pPr>
              <w:pStyle w:val="OutcomeDescription"/>
              <w:spacing w:before="120" w:after="120"/>
              <w:rPr>
                <w:rFonts w:cs="Arial"/>
                <w:lang w:eastAsia="en-NZ"/>
              </w:rPr>
            </w:pPr>
          </w:p>
        </w:tc>
      </w:tr>
      <w:tr w:rsidR="0035404B" w14:paraId="012E3634" w14:textId="77777777">
        <w:tc>
          <w:tcPr>
            <w:tcW w:w="0" w:type="auto"/>
          </w:tcPr>
          <w:p w14:paraId="106A7F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0B28B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A6A51A" w14:textId="77777777" w:rsidR="00000000" w:rsidRPr="00BE00C7" w:rsidRDefault="00000000" w:rsidP="00BE00C7">
            <w:pPr>
              <w:pStyle w:val="OutcomeDescription"/>
              <w:spacing w:before="120" w:after="120"/>
              <w:rPr>
                <w:rFonts w:cs="Arial"/>
                <w:lang w:eastAsia="en-NZ"/>
              </w:rPr>
            </w:pPr>
          </w:p>
        </w:tc>
        <w:tc>
          <w:tcPr>
            <w:tcW w:w="0" w:type="auto"/>
          </w:tcPr>
          <w:p w14:paraId="6018A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5B27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w:t>
            </w:r>
            <w:r w:rsidRPr="00BE00C7">
              <w:rPr>
                <w:rFonts w:cs="Arial"/>
                <w:lang w:eastAsia="en-NZ"/>
              </w:rPr>
              <w:lastRenderedPageBreak/>
              <w:t xml:space="preserve">surveillance data was collated and analysed to identify any trends, possible causative factors and required actions. Results of the surveillance programme were shared with staff. </w:t>
            </w:r>
          </w:p>
          <w:p w14:paraId="3FFE6F03" w14:textId="77777777" w:rsidR="00000000" w:rsidRPr="00BE00C7" w:rsidRDefault="00000000" w:rsidP="00BE00C7">
            <w:pPr>
              <w:pStyle w:val="OutcomeDescription"/>
              <w:spacing w:before="120" w:after="120"/>
              <w:rPr>
                <w:rFonts w:cs="Arial"/>
                <w:lang w:eastAsia="en-NZ"/>
              </w:rPr>
            </w:pPr>
            <w:r w:rsidRPr="00BE00C7">
              <w:rPr>
                <w:rFonts w:cs="Arial"/>
                <w:lang w:eastAsia="en-NZ"/>
              </w:rPr>
              <w:t>A COVID-19 outbreak in 2024 was managed according to policy and procedure and was quickly resolved within 21 days. A summary report following the outbreak was reviewed, and it demonstrated a thorough process for investigation and follow-up.  Learnings from the event have now been incorporated into practice.</w:t>
            </w:r>
          </w:p>
          <w:p w14:paraId="1EF5A3FA"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50A07826" w14:textId="77777777" w:rsidR="00000000" w:rsidRPr="00BE00C7" w:rsidRDefault="00000000" w:rsidP="00BE00C7">
            <w:pPr>
              <w:pStyle w:val="OutcomeDescription"/>
              <w:spacing w:before="120" w:after="120"/>
              <w:rPr>
                <w:rFonts w:cs="Arial"/>
                <w:lang w:eastAsia="en-NZ"/>
              </w:rPr>
            </w:pPr>
            <w:r w:rsidRPr="00BE00C7">
              <w:rPr>
                <w:rFonts w:cs="Arial"/>
                <w:lang w:eastAsia="en-NZ"/>
              </w:rPr>
              <w:t>In a timely manner results of surveillance and recommendations to improve performance where necessary were identified and reported back to HLL governance and shared with relevant people.</w:t>
            </w:r>
          </w:p>
          <w:p w14:paraId="372E2AD6" w14:textId="77777777" w:rsidR="00000000" w:rsidRPr="00BE00C7" w:rsidRDefault="00000000" w:rsidP="00BE00C7">
            <w:pPr>
              <w:pStyle w:val="OutcomeDescription"/>
              <w:spacing w:before="120" w:after="120"/>
              <w:rPr>
                <w:rFonts w:cs="Arial"/>
                <w:lang w:eastAsia="en-NZ"/>
              </w:rPr>
            </w:pPr>
          </w:p>
        </w:tc>
      </w:tr>
      <w:tr w:rsidR="0035404B" w14:paraId="30A9780D" w14:textId="77777777">
        <w:tc>
          <w:tcPr>
            <w:tcW w:w="0" w:type="auto"/>
          </w:tcPr>
          <w:p w14:paraId="64E20F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F89E9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8C79A4A" w14:textId="77777777" w:rsidR="00000000" w:rsidRPr="00BE00C7" w:rsidRDefault="00000000" w:rsidP="00BE00C7">
            <w:pPr>
              <w:pStyle w:val="OutcomeDescription"/>
              <w:spacing w:before="120" w:after="120"/>
              <w:rPr>
                <w:rFonts w:cs="Arial"/>
                <w:lang w:eastAsia="en-NZ"/>
              </w:rPr>
            </w:pPr>
          </w:p>
        </w:tc>
        <w:tc>
          <w:tcPr>
            <w:tcW w:w="0" w:type="auto"/>
          </w:tcPr>
          <w:p w14:paraId="1C7703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E0E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7BB8AC7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Infection prevention personnel had oversight of the environmental testing and monitoring programme.  Staff involved have completed relevant training and were observed to carry out duties safely. Chemicals were stored safely.</w:t>
            </w:r>
          </w:p>
          <w:p w14:paraId="76BCB5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was processed on site. Residents and whānau reported that the laundry was managed well, and the facility was kept clean and tidy. This was confirmed through observations of the environment.</w:t>
            </w:r>
          </w:p>
          <w:p w14:paraId="407DAED8" w14:textId="77777777" w:rsidR="00000000" w:rsidRPr="00BE00C7" w:rsidRDefault="00000000" w:rsidP="00BE00C7">
            <w:pPr>
              <w:pStyle w:val="OutcomeDescription"/>
              <w:spacing w:before="120" w:after="120"/>
              <w:rPr>
                <w:rFonts w:cs="Arial"/>
                <w:lang w:eastAsia="en-NZ"/>
              </w:rPr>
            </w:pPr>
          </w:p>
        </w:tc>
      </w:tr>
      <w:tr w:rsidR="0035404B" w14:paraId="3835CFE4" w14:textId="77777777">
        <w:tc>
          <w:tcPr>
            <w:tcW w:w="0" w:type="auto"/>
          </w:tcPr>
          <w:p w14:paraId="706F4D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8FF41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7387D593" w14:textId="77777777" w:rsidR="00000000" w:rsidRPr="00BE00C7" w:rsidRDefault="00000000" w:rsidP="00BE00C7">
            <w:pPr>
              <w:pStyle w:val="OutcomeDescription"/>
              <w:spacing w:before="120" w:after="120"/>
              <w:rPr>
                <w:rFonts w:cs="Arial"/>
                <w:lang w:eastAsia="en-NZ"/>
              </w:rPr>
            </w:pPr>
          </w:p>
        </w:tc>
        <w:tc>
          <w:tcPr>
            <w:tcW w:w="0" w:type="auto"/>
          </w:tcPr>
          <w:p w14:paraId="3D1964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225B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Heritage Lifecare Limited Clinical Advisory Group (CAG) monitors the use of restraint across the organisation and is chaired by one of the organisation’s regional managers, who has responsibility for ensuring </w:t>
            </w:r>
            <w:r w:rsidRPr="00BE00C7">
              <w:rPr>
                <w:rFonts w:cs="Arial"/>
                <w:lang w:eastAsia="en-NZ"/>
              </w:rPr>
              <w:lastRenderedPageBreak/>
              <w:t>that restraint elimination is achieved.</w:t>
            </w:r>
          </w:p>
          <w:p w14:paraId="4B292C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the restraint coordinator for the facility, and their position description was sighted. Policies and procedures meet the requirements of the standards, and the nurse described the process should any restraint be needed. </w:t>
            </w:r>
          </w:p>
          <w:p w14:paraId="0589F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reports to the Heritage senior leadership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regional manager confirmed that the monthly reporting assists the executive management team to closely monitor the move towards a restraint-free environment for the whole HLL group, and specifically at Flaxmore.</w:t>
            </w:r>
          </w:p>
          <w:p w14:paraId="19A2E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been trained in the least restrictive practice, safe restraint practice, alternative cultural-specific interventions, and de-escalation techniques. </w:t>
            </w:r>
          </w:p>
          <w:p w14:paraId="19B6C97C"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145C6906" w14:textId="77777777" w:rsidR="00000000" w:rsidRPr="00BE00C7" w:rsidRDefault="00000000" w:rsidP="00BE00C7">
            <w:pPr>
              <w:pStyle w:val="OutcomeDescription"/>
              <w:spacing w:before="120" w:after="120"/>
              <w:rPr>
                <w:rFonts w:cs="Arial"/>
                <w:lang w:eastAsia="en-NZ"/>
              </w:rPr>
            </w:pPr>
          </w:p>
        </w:tc>
      </w:tr>
    </w:tbl>
    <w:p w14:paraId="037526F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6469A2" w14:textId="77777777" w:rsidR="00000000" w:rsidRDefault="00000000">
      <w:pPr>
        <w:pStyle w:val="Heading1"/>
        <w:rPr>
          <w:rFonts w:cs="Arial"/>
        </w:rPr>
      </w:pPr>
      <w:r>
        <w:rPr>
          <w:rFonts w:cs="Arial"/>
        </w:rPr>
        <w:lastRenderedPageBreak/>
        <w:t>Specific results for criterion where corrective actions are required</w:t>
      </w:r>
    </w:p>
    <w:p w14:paraId="6735438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16C0CB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30F30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404B" w14:paraId="38441101" w14:textId="77777777">
        <w:tc>
          <w:tcPr>
            <w:tcW w:w="0" w:type="auto"/>
          </w:tcPr>
          <w:p w14:paraId="55E7CA2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64D1DB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778F054" w14:textId="77777777" w:rsidR="00000000" w:rsidRDefault="00000000">
      <w:pPr>
        <w:pStyle w:val="Heading1"/>
        <w:rPr>
          <w:rFonts w:cs="Arial"/>
        </w:rPr>
      </w:pPr>
      <w:r>
        <w:rPr>
          <w:rFonts w:cs="Arial"/>
        </w:rPr>
        <w:lastRenderedPageBreak/>
        <w:t>Specific results for criterion where a continuous improvement has been recorded</w:t>
      </w:r>
    </w:p>
    <w:p w14:paraId="75A8CF5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826E3C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FDBC9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404B" w14:paraId="79325CA5" w14:textId="77777777">
        <w:tc>
          <w:tcPr>
            <w:tcW w:w="0" w:type="auto"/>
          </w:tcPr>
          <w:p w14:paraId="3F38982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191A8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A1B9F2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F53B" w14:textId="77777777" w:rsidR="00E8755D" w:rsidRDefault="00E8755D">
      <w:r>
        <w:separator/>
      </w:r>
    </w:p>
  </w:endnote>
  <w:endnote w:type="continuationSeparator" w:id="0">
    <w:p w14:paraId="44A58A2C" w14:textId="77777777" w:rsidR="00E8755D" w:rsidRDefault="00E8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0BED" w14:textId="77777777" w:rsidR="00000000" w:rsidRDefault="00000000">
    <w:pPr>
      <w:pStyle w:val="Footer"/>
    </w:pPr>
  </w:p>
  <w:p w14:paraId="6944421C" w14:textId="77777777" w:rsidR="00000000" w:rsidRDefault="00000000"/>
  <w:p w14:paraId="7AA9232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3C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Flaxmore Care Home</w:t>
    </w:r>
    <w:bookmarkEnd w:id="59"/>
    <w:r>
      <w:rPr>
        <w:rFonts w:cs="Arial"/>
        <w:sz w:val="16"/>
        <w:szCs w:val="20"/>
      </w:rPr>
      <w:tab/>
      <w:t xml:space="preserve">Date of Audit: </w:t>
    </w:r>
    <w:bookmarkStart w:id="60" w:name="AuditStartDate1"/>
    <w:r>
      <w:rPr>
        <w:rFonts w:cs="Arial"/>
        <w:sz w:val="16"/>
        <w:szCs w:val="20"/>
      </w:rPr>
      <w:t>29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9E706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9EB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BFEF" w14:textId="77777777" w:rsidR="00E8755D" w:rsidRDefault="00E8755D">
      <w:r>
        <w:separator/>
      </w:r>
    </w:p>
  </w:footnote>
  <w:footnote w:type="continuationSeparator" w:id="0">
    <w:p w14:paraId="2ED1ECA3" w14:textId="77777777" w:rsidR="00E8755D" w:rsidRDefault="00E8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E24D" w14:textId="77777777" w:rsidR="00000000" w:rsidRDefault="00000000">
    <w:pPr>
      <w:pStyle w:val="Header"/>
    </w:pPr>
  </w:p>
  <w:p w14:paraId="1ACF765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881E" w14:textId="77777777" w:rsidR="00000000" w:rsidRDefault="00000000">
    <w:pPr>
      <w:pStyle w:val="Header"/>
    </w:pPr>
  </w:p>
  <w:p w14:paraId="1F25DC6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B49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292D46A">
      <w:start w:val="1"/>
      <w:numFmt w:val="decimal"/>
      <w:lvlText w:val="%1."/>
      <w:lvlJc w:val="left"/>
      <w:pPr>
        <w:ind w:left="360" w:hanging="360"/>
      </w:pPr>
    </w:lvl>
    <w:lvl w:ilvl="1" w:tplc="9AE02AC4" w:tentative="1">
      <w:start w:val="1"/>
      <w:numFmt w:val="lowerLetter"/>
      <w:lvlText w:val="%2."/>
      <w:lvlJc w:val="left"/>
      <w:pPr>
        <w:ind w:left="1080" w:hanging="360"/>
      </w:pPr>
    </w:lvl>
    <w:lvl w:ilvl="2" w:tplc="F638590C" w:tentative="1">
      <w:start w:val="1"/>
      <w:numFmt w:val="lowerRoman"/>
      <w:lvlText w:val="%3."/>
      <w:lvlJc w:val="right"/>
      <w:pPr>
        <w:ind w:left="1800" w:hanging="180"/>
      </w:pPr>
    </w:lvl>
    <w:lvl w:ilvl="3" w:tplc="BB484A34" w:tentative="1">
      <w:start w:val="1"/>
      <w:numFmt w:val="decimal"/>
      <w:lvlText w:val="%4."/>
      <w:lvlJc w:val="left"/>
      <w:pPr>
        <w:ind w:left="2520" w:hanging="360"/>
      </w:pPr>
    </w:lvl>
    <w:lvl w:ilvl="4" w:tplc="1E6ED870" w:tentative="1">
      <w:start w:val="1"/>
      <w:numFmt w:val="lowerLetter"/>
      <w:lvlText w:val="%5."/>
      <w:lvlJc w:val="left"/>
      <w:pPr>
        <w:ind w:left="3240" w:hanging="360"/>
      </w:pPr>
    </w:lvl>
    <w:lvl w:ilvl="5" w:tplc="004848A2" w:tentative="1">
      <w:start w:val="1"/>
      <w:numFmt w:val="lowerRoman"/>
      <w:lvlText w:val="%6."/>
      <w:lvlJc w:val="right"/>
      <w:pPr>
        <w:ind w:left="3960" w:hanging="180"/>
      </w:pPr>
    </w:lvl>
    <w:lvl w:ilvl="6" w:tplc="ED5214BA" w:tentative="1">
      <w:start w:val="1"/>
      <w:numFmt w:val="decimal"/>
      <w:lvlText w:val="%7."/>
      <w:lvlJc w:val="left"/>
      <w:pPr>
        <w:ind w:left="4680" w:hanging="360"/>
      </w:pPr>
    </w:lvl>
    <w:lvl w:ilvl="7" w:tplc="9BEC4C04" w:tentative="1">
      <w:start w:val="1"/>
      <w:numFmt w:val="lowerLetter"/>
      <w:lvlText w:val="%8."/>
      <w:lvlJc w:val="left"/>
      <w:pPr>
        <w:ind w:left="5400" w:hanging="360"/>
      </w:pPr>
    </w:lvl>
    <w:lvl w:ilvl="8" w:tplc="831089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4928F3E">
      <w:start w:val="1"/>
      <w:numFmt w:val="bullet"/>
      <w:lvlText w:val=""/>
      <w:lvlJc w:val="left"/>
      <w:pPr>
        <w:ind w:left="720" w:hanging="360"/>
      </w:pPr>
      <w:rPr>
        <w:rFonts w:ascii="Symbol" w:hAnsi="Symbol" w:hint="default"/>
      </w:rPr>
    </w:lvl>
    <w:lvl w:ilvl="1" w:tplc="A0903EDC" w:tentative="1">
      <w:start w:val="1"/>
      <w:numFmt w:val="bullet"/>
      <w:lvlText w:val="o"/>
      <w:lvlJc w:val="left"/>
      <w:pPr>
        <w:ind w:left="1440" w:hanging="360"/>
      </w:pPr>
      <w:rPr>
        <w:rFonts w:ascii="Courier New" w:hAnsi="Courier New" w:cs="Courier New" w:hint="default"/>
      </w:rPr>
    </w:lvl>
    <w:lvl w:ilvl="2" w:tplc="D3B68C0E" w:tentative="1">
      <w:start w:val="1"/>
      <w:numFmt w:val="bullet"/>
      <w:lvlText w:val=""/>
      <w:lvlJc w:val="left"/>
      <w:pPr>
        <w:ind w:left="2160" w:hanging="360"/>
      </w:pPr>
      <w:rPr>
        <w:rFonts w:ascii="Wingdings" w:hAnsi="Wingdings" w:hint="default"/>
      </w:rPr>
    </w:lvl>
    <w:lvl w:ilvl="3" w:tplc="77521C3E" w:tentative="1">
      <w:start w:val="1"/>
      <w:numFmt w:val="bullet"/>
      <w:lvlText w:val=""/>
      <w:lvlJc w:val="left"/>
      <w:pPr>
        <w:ind w:left="2880" w:hanging="360"/>
      </w:pPr>
      <w:rPr>
        <w:rFonts w:ascii="Symbol" w:hAnsi="Symbol" w:hint="default"/>
      </w:rPr>
    </w:lvl>
    <w:lvl w:ilvl="4" w:tplc="E420216C" w:tentative="1">
      <w:start w:val="1"/>
      <w:numFmt w:val="bullet"/>
      <w:lvlText w:val="o"/>
      <w:lvlJc w:val="left"/>
      <w:pPr>
        <w:ind w:left="3600" w:hanging="360"/>
      </w:pPr>
      <w:rPr>
        <w:rFonts w:ascii="Courier New" w:hAnsi="Courier New" w:cs="Courier New" w:hint="default"/>
      </w:rPr>
    </w:lvl>
    <w:lvl w:ilvl="5" w:tplc="7A72E2B8" w:tentative="1">
      <w:start w:val="1"/>
      <w:numFmt w:val="bullet"/>
      <w:lvlText w:val=""/>
      <w:lvlJc w:val="left"/>
      <w:pPr>
        <w:ind w:left="4320" w:hanging="360"/>
      </w:pPr>
      <w:rPr>
        <w:rFonts w:ascii="Wingdings" w:hAnsi="Wingdings" w:hint="default"/>
      </w:rPr>
    </w:lvl>
    <w:lvl w:ilvl="6" w:tplc="39FAA800" w:tentative="1">
      <w:start w:val="1"/>
      <w:numFmt w:val="bullet"/>
      <w:lvlText w:val=""/>
      <w:lvlJc w:val="left"/>
      <w:pPr>
        <w:ind w:left="5040" w:hanging="360"/>
      </w:pPr>
      <w:rPr>
        <w:rFonts w:ascii="Symbol" w:hAnsi="Symbol" w:hint="default"/>
      </w:rPr>
    </w:lvl>
    <w:lvl w:ilvl="7" w:tplc="73B68E4E" w:tentative="1">
      <w:start w:val="1"/>
      <w:numFmt w:val="bullet"/>
      <w:lvlText w:val="o"/>
      <w:lvlJc w:val="left"/>
      <w:pPr>
        <w:ind w:left="5760" w:hanging="360"/>
      </w:pPr>
      <w:rPr>
        <w:rFonts w:ascii="Courier New" w:hAnsi="Courier New" w:cs="Courier New" w:hint="default"/>
      </w:rPr>
    </w:lvl>
    <w:lvl w:ilvl="8" w:tplc="F0F43FAE" w:tentative="1">
      <w:start w:val="1"/>
      <w:numFmt w:val="bullet"/>
      <w:lvlText w:val=""/>
      <w:lvlJc w:val="left"/>
      <w:pPr>
        <w:ind w:left="6480" w:hanging="360"/>
      </w:pPr>
      <w:rPr>
        <w:rFonts w:ascii="Wingdings" w:hAnsi="Wingdings" w:hint="default"/>
      </w:rPr>
    </w:lvl>
  </w:abstractNum>
  <w:num w:numId="1" w16cid:durableId="1248535727">
    <w:abstractNumId w:val="1"/>
  </w:num>
  <w:num w:numId="2" w16cid:durableId="71023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4B"/>
    <w:rsid w:val="00153AC3"/>
    <w:rsid w:val="0035404B"/>
    <w:rsid w:val="00E875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2F0B"/>
  <w15:docId w15:val="{56BB1AA8-AD01-4460-99B5-85111679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10259</Words>
  <Characters>58480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2025-03-13T21:11:00Z</dcterms:created>
  <dcterms:modified xsi:type="dcterms:W3CDTF">2025-03-13T21:11:00Z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