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F35E" w14:textId="77777777" w:rsidR="00000000" w:rsidRDefault="00000000">
      <w:pPr>
        <w:pStyle w:val="Heading1"/>
        <w:rPr>
          <w:rFonts w:cs="Arial"/>
        </w:rPr>
      </w:pPr>
      <w:bookmarkStart w:id="0" w:name="PRMS_RIName"/>
      <w:r>
        <w:rPr>
          <w:rFonts w:cs="Arial"/>
        </w:rPr>
        <w:t>Oxford Court Limited - Oxford Court</w:t>
      </w:r>
      <w:bookmarkEnd w:id="0"/>
    </w:p>
    <w:p w14:paraId="67A24F56" w14:textId="77777777" w:rsidR="00000000" w:rsidRDefault="00000000">
      <w:pPr>
        <w:pStyle w:val="Heading2"/>
        <w:spacing w:after="0"/>
        <w:rPr>
          <w:rFonts w:cs="Arial"/>
        </w:rPr>
      </w:pPr>
      <w:r>
        <w:rPr>
          <w:rFonts w:cs="Arial"/>
        </w:rPr>
        <w:t>Introduction</w:t>
      </w:r>
    </w:p>
    <w:p w14:paraId="58CA8F8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DF1F0F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5B6C87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34694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B679C3" w14:textId="77777777" w:rsidR="00000000" w:rsidRDefault="00000000">
      <w:pPr>
        <w:spacing w:before="240" w:after="240"/>
        <w:rPr>
          <w:rFonts w:cs="Arial"/>
          <w:lang w:eastAsia="en-NZ"/>
        </w:rPr>
      </w:pPr>
      <w:r>
        <w:rPr>
          <w:rFonts w:cs="Arial"/>
          <w:lang w:eastAsia="en-NZ"/>
        </w:rPr>
        <w:t>The specifics of this audit included:</w:t>
      </w:r>
    </w:p>
    <w:p w14:paraId="746A32E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93013A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Oxford Court Limited</w:t>
      </w:r>
      <w:bookmarkEnd w:id="4"/>
    </w:p>
    <w:p w14:paraId="346E9CA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Oxford </w:t>
      </w:r>
      <w:r>
        <w:rPr>
          <w:rFonts w:cs="Arial"/>
        </w:rPr>
        <w:t>Court</w:t>
      </w:r>
      <w:bookmarkEnd w:id="5"/>
    </w:p>
    <w:p w14:paraId="127C61E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8C3927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January 2025</w:t>
      </w:r>
      <w:bookmarkEnd w:id="7"/>
      <w:r w:rsidRPr="009418D4">
        <w:rPr>
          <w:rFonts w:cs="Arial"/>
        </w:rPr>
        <w:tab/>
        <w:t xml:space="preserve">End date: </w:t>
      </w:r>
      <w:bookmarkStart w:id="8" w:name="AuditEndDate"/>
      <w:r>
        <w:rPr>
          <w:rFonts w:cs="Arial"/>
        </w:rPr>
        <w:t>23 January 2025</w:t>
      </w:r>
      <w:bookmarkEnd w:id="8"/>
    </w:p>
    <w:p w14:paraId="11D77D2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2E946C5" w14:textId="77777777" w:rsidR="002B359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1A4CA1E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8EACB98" w14:textId="77777777" w:rsidR="00000000" w:rsidRDefault="00000000">
      <w:pPr>
        <w:pStyle w:val="Heading1"/>
        <w:rPr>
          <w:rFonts w:cs="Arial"/>
        </w:rPr>
      </w:pPr>
      <w:r>
        <w:rPr>
          <w:rFonts w:cs="Arial"/>
        </w:rPr>
        <w:lastRenderedPageBreak/>
        <w:t>Executive summary of the audit</w:t>
      </w:r>
    </w:p>
    <w:p w14:paraId="3291490E" w14:textId="77777777" w:rsidR="00000000" w:rsidRDefault="00000000">
      <w:pPr>
        <w:pStyle w:val="Heading2"/>
        <w:rPr>
          <w:rFonts w:cs="Arial"/>
        </w:rPr>
      </w:pPr>
      <w:r>
        <w:rPr>
          <w:rFonts w:cs="Arial"/>
        </w:rPr>
        <w:t>Introduction</w:t>
      </w:r>
    </w:p>
    <w:p w14:paraId="0AAC78D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5A40F3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1E8A5A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277DA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70CAA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BFA2A4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735503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5441F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274CDE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2B3594" w14:paraId="55AE4C26" w14:textId="77777777">
        <w:trPr>
          <w:cantSplit/>
          <w:tblHeader/>
        </w:trPr>
        <w:tc>
          <w:tcPr>
            <w:tcW w:w="1260" w:type="dxa"/>
            <w:tcBorders>
              <w:bottom w:val="single" w:sz="4" w:space="0" w:color="000000"/>
            </w:tcBorders>
            <w:vAlign w:val="center"/>
          </w:tcPr>
          <w:p w14:paraId="460C9AF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CA2EE5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19D96C8" w14:textId="77777777" w:rsidR="00000000" w:rsidRDefault="00000000">
            <w:pPr>
              <w:spacing w:before="60" w:after="60"/>
              <w:rPr>
                <w:rFonts w:eastAsia="Calibri"/>
                <w:b/>
                <w:szCs w:val="24"/>
              </w:rPr>
            </w:pPr>
            <w:r>
              <w:rPr>
                <w:rFonts w:eastAsia="Calibri"/>
                <w:b/>
                <w:szCs w:val="24"/>
              </w:rPr>
              <w:t>Definition</w:t>
            </w:r>
          </w:p>
        </w:tc>
      </w:tr>
      <w:tr w:rsidR="002B3594" w14:paraId="6CF653FA" w14:textId="77777777">
        <w:trPr>
          <w:cantSplit/>
          <w:trHeight w:val="964"/>
        </w:trPr>
        <w:tc>
          <w:tcPr>
            <w:tcW w:w="1260" w:type="dxa"/>
            <w:tcBorders>
              <w:bottom w:val="single" w:sz="4" w:space="0" w:color="000000"/>
            </w:tcBorders>
            <w:shd w:val="clear" w:color="0066FF" w:fill="0000FF"/>
            <w:vAlign w:val="center"/>
          </w:tcPr>
          <w:p w14:paraId="1AAC315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EC85E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DADA5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B3594" w14:paraId="3CB17C06" w14:textId="77777777">
        <w:trPr>
          <w:cantSplit/>
          <w:trHeight w:val="964"/>
        </w:trPr>
        <w:tc>
          <w:tcPr>
            <w:tcW w:w="1260" w:type="dxa"/>
            <w:shd w:val="clear" w:color="33CC33" w:fill="00FF00"/>
            <w:vAlign w:val="center"/>
          </w:tcPr>
          <w:p w14:paraId="41009601" w14:textId="77777777" w:rsidR="00000000" w:rsidRDefault="00000000">
            <w:pPr>
              <w:spacing w:before="60" w:after="60"/>
              <w:rPr>
                <w:rFonts w:eastAsia="Calibri"/>
                <w:szCs w:val="24"/>
              </w:rPr>
            </w:pPr>
          </w:p>
        </w:tc>
        <w:tc>
          <w:tcPr>
            <w:tcW w:w="7095" w:type="dxa"/>
            <w:shd w:val="clear" w:color="auto" w:fill="auto"/>
            <w:vAlign w:val="center"/>
          </w:tcPr>
          <w:p w14:paraId="4E878BB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106CB4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B3594" w14:paraId="793696FE" w14:textId="77777777">
        <w:trPr>
          <w:cantSplit/>
          <w:trHeight w:val="964"/>
        </w:trPr>
        <w:tc>
          <w:tcPr>
            <w:tcW w:w="1260" w:type="dxa"/>
            <w:tcBorders>
              <w:bottom w:val="single" w:sz="4" w:space="0" w:color="000000"/>
            </w:tcBorders>
            <w:shd w:val="clear" w:color="auto" w:fill="FFFF00"/>
            <w:vAlign w:val="center"/>
          </w:tcPr>
          <w:p w14:paraId="7FEFB71C" w14:textId="77777777" w:rsidR="00000000" w:rsidRDefault="00000000">
            <w:pPr>
              <w:spacing w:before="60" w:after="60"/>
              <w:rPr>
                <w:rFonts w:eastAsia="Calibri"/>
                <w:szCs w:val="24"/>
              </w:rPr>
            </w:pPr>
          </w:p>
        </w:tc>
        <w:tc>
          <w:tcPr>
            <w:tcW w:w="7095" w:type="dxa"/>
            <w:shd w:val="clear" w:color="auto" w:fill="auto"/>
            <w:vAlign w:val="center"/>
          </w:tcPr>
          <w:p w14:paraId="2A50B19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4B9066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B3594" w14:paraId="17414CA0" w14:textId="77777777">
        <w:trPr>
          <w:cantSplit/>
          <w:trHeight w:val="964"/>
        </w:trPr>
        <w:tc>
          <w:tcPr>
            <w:tcW w:w="1260" w:type="dxa"/>
            <w:tcBorders>
              <w:bottom w:val="single" w:sz="4" w:space="0" w:color="000000"/>
            </w:tcBorders>
            <w:shd w:val="clear" w:color="auto" w:fill="FFC800"/>
            <w:vAlign w:val="center"/>
          </w:tcPr>
          <w:p w14:paraId="3E4B93D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474A6C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2E24A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B3594" w14:paraId="32D994C5" w14:textId="77777777">
        <w:trPr>
          <w:cantSplit/>
          <w:trHeight w:val="964"/>
        </w:trPr>
        <w:tc>
          <w:tcPr>
            <w:tcW w:w="1260" w:type="dxa"/>
            <w:shd w:val="clear" w:color="auto" w:fill="FF0000"/>
            <w:vAlign w:val="center"/>
          </w:tcPr>
          <w:p w14:paraId="3F2558D0" w14:textId="77777777" w:rsidR="00000000" w:rsidRDefault="00000000">
            <w:pPr>
              <w:spacing w:before="60" w:after="60"/>
              <w:rPr>
                <w:rFonts w:eastAsia="Calibri"/>
                <w:szCs w:val="24"/>
              </w:rPr>
            </w:pPr>
          </w:p>
        </w:tc>
        <w:tc>
          <w:tcPr>
            <w:tcW w:w="7095" w:type="dxa"/>
            <w:shd w:val="clear" w:color="auto" w:fill="auto"/>
            <w:vAlign w:val="center"/>
          </w:tcPr>
          <w:p w14:paraId="16CCF05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2E009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02D2354" w14:textId="77777777" w:rsidR="00000000" w:rsidRDefault="00000000">
      <w:pPr>
        <w:pStyle w:val="Heading2"/>
        <w:spacing w:after="0"/>
        <w:rPr>
          <w:rFonts w:cs="Arial"/>
        </w:rPr>
      </w:pPr>
      <w:r>
        <w:rPr>
          <w:rFonts w:cs="Arial"/>
        </w:rPr>
        <w:t>General overview of the audit</w:t>
      </w:r>
    </w:p>
    <w:p w14:paraId="3EB13E95" w14:textId="77777777" w:rsidR="00000000" w:rsidRDefault="00000000">
      <w:pPr>
        <w:spacing w:before="240" w:line="276" w:lineRule="auto"/>
        <w:rPr>
          <w:rFonts w:eastAsia="Calibri"/>
        </w:rPr>
      </w:pPr>
      <w:bookmarkStart w:id="13" w:name="GeneralOverview"/>
      <w:r w:rsidRPr="00A4268A">
        <w:rPr>
          <w:rFonts w:eastAsia="Calibri"/>
        </w:rPr>
        <w:t xml:space="preserve">Oxford Court Lifecare (Oxford Court), located in South Dunedin, provides rest home and hospital level care for up to 72 residents. There were 63 residents on the day of the audit. </w:t>
      </w:r>
    </w:p>
    <w:p w14:paraId="30BAB7A4" w14:textId="77777777" w:rsidR="002B3594" w:rsidRPr="00A4268A" w:rsidRDefault="00000000">
      <w:pPr>
        <w:spacing w:before="240" w:line="276" w:lineRule="auto"/>
        <w:rPr>
          <w:rFonts w:eastAsia="Calibri"/>
        </w:rPr>
      </w:pPr>
      <w:r w:rsidRPr="00A4268A">
        <w:rPr>
          <w:rFonts w:eastAsia="Calibri"/>
        </w:rPr>
        <w:t xml:space="preserve">The care home manager is appropriately qualified and experienced, supported by the roving care home manager, clinical nurse lead, general manager (operations and clinical), and the board. There have been several changes in the management structure, including the clinical nurse leads at the facility, since the previous audit. </w:t>
      </w:r>
    </w:p>
    <w:p w14:paraId="0623DC6F" w14:textId="51F78B98" w:rsidR="002B3594"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NZS 8134:2021 and funding agreements with Health New Zealand – Te Whatu Ora. The audit processes included observations, a review of organisational documents and records, including staff records and files of residents, interviews with residents and their family/whānau, and interviews with staff, management, and the general practitioner.</w:t>
      </w:r>
    </w:p>
    <w:p w14:paraId="28CC373D" w14:textId="77777777" w:rsidR="002B3594" w:rsidRPr="00A4268A" w:rsidRDefault="00000000">
      <w:pPr>
        <w:spacing w:before="240" w:line="276" w:lineRule="auto"/>
        <w:rPr>
          <w:rFonts w:eastAsia="Calibri"/>
        </w:rPr>
      </w:pPr>
      <w:r w:rsidRPr="00A4268A">
        <w:rPr>
          <w:rFonts w:eastAsia="Calibri"/>
        </w:rPr>
        <w:t>The corrective actions required from the previous audit regarding neurological observations, staffing and environment have been addressed.  As a result of this audit, improvements are required in relation to informed consent, orientation, initial and long-term care plans, medication management system and the infection prevention programme.</w:t>
      </w:r>
    </w:p>
    <w:bookmarkEnd w:id="13"/>
    <w:p w14:paraId="3D6FD961" w14:textId="77777777" w:rsidR="002B3594" w:rsidRPr="00A4268A" w:rsidRDefault="002B3594">
      <w:pPr>
        <w:spacing w:before="240" w:line="276" w:lineRule="auto"/>
        <w:rPr>
          <w:rFonts w:eastAsia="Calibri"/>
        </w:rPr>
      </w:pPr>
    </w:p>
    <w:p w14:paraId="06F33D4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3594" w14:paraId="1EDD9811" w14:textId="77777777" w:rsidTr="00A4268A">
        <w:trPr>
          <w:cantSplit/>
        </w:trPr>
        <w:tc>
          <w:tcPr>
            <w:tcW w:w="10206" w:type="dxa"/>
            <w:vAlign w:val="center"/>
          </w:tcPr>
          <w:p w14:paraId="3C81800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F18E30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8CA91F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4F2F7C"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361F8CDB" w14:textId="77777777" w:rsidR="00000000" w:rsidRDefault="00000000">
      <w:pPr>
        <w:spacing w:before="240" w:line="276" w:lineRule="auto"/>
        <w:rPr>
          <w:rFonts w:eastAsia="Calibri"/>
        </w:rPr>
      </w:pPr>
      <w:bookmarkStart w:id="16" w:name="ConsumerRights"/>
      <w:r w:rsidRPr="00A4268A">
        <w:rPr>
          <w:rFonts w:eastAsia="Calibri"/>
        </w:rPr>
        <w:t xml:space="preserve">Oxford Court works collaboratively to support and encourage a Māori world view of health in service delivery. Māori are provided with equitable and effective services based on Te Tiriti o Waitangi and the principles of mana motuhake. </w:t>
      </w:r>
    </w:p>
    <w:p w14:paraId="736B8EBD" w14:textId="77777777" w:rsidR="002B3594"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04FD90F" w14:textId="77777777" w:rsidR="002B3594"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and finances of residents were respected. </w:t>
      </w:r>
    </w:p>
    <w:p w14:paraId="1246B33F" w14:textId="77777777" w:rsidR="002B3594"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3D574477" w14:textId="77777777" w:rsidR="002B3594"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57EA6380" w14:textId="77777777" w:rsidR="002B3594" w:rsidRPr="00A4268A" w:rsidRDefault="002B3594">
      <w:pPr>
        <w:spacing w:before="240" w:line="276" w:lineRule="auto"/>
        <w:rPr>
          <w:rFonts w:eastAsia="Calibri"/>
        </w:rPr>
      </w:pPr>
    </w:p>
    <w:p w14:paraId="55F8027C"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3594" w14:paraId="6C4B1B38" w14:textId="77777777" w:rsidTr="00A4268A">
        <w:trPr>
          <w:cantSplit/>
        </w:trPr>
        <w:tc>
          <w:tcPr>
            <w:tcW w:w="10206" w:type="dxa"/>
            <w:vAlign w:val="center"/>
          </w:tcPr>
          <w:p w14:paraId="268438D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985A29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6BB58D1"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860369F" w14:textId="77777777" w:rsidR="00000000" w:rsidRDefault="00000000">
      <w:pPr>
        <w:spacing w:before="240" w:line="276" w:lineRule="auto"/>
        <w:rPr>
          <w:rFonts w:eastAsia="Calibri"/>
        </w:rPr>
      </w:pPr>
      <w:bookmarkStart w:id="19" w:name="OrganisationalManagement"/>
      <w:r w:rsidRPr="00A4268A">
        <w:rPr>
          <w:rFonts w:eastAsia="Calibri"/>
        </w:rPr>
        <w:t>The governing body of New Zealand Aged Care Services Ltd assumes accountability for delivering a high-quality service. This includes ensuring compliance with legislative and contractual requirements, supporting quality and risk management systems, and reducing barriers to improve outcomes for Māori.</w:t>
      </w:r>
    </w:p>
    <w:p w14:paraId="3E1C2E3B" w14:textId="77777777" w:rsidR="002B3594"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A265750" w14:textId="77777777" w:rsidR="002B3594"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0BF075A7" w14:textId="77777777" w:rsidR="002B3594"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were identified and mitigated. </w:t>
      </w:r>
    </w:p>
    <w:p w14:paraId="22DE3620" w14:textId="77777777" w:rsidR="002B3594"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41CF34C7" w14:textId="77777777" w:rsidR="002B3594"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45289740" w14:textId="77777777" w:rsidR="002B3594"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413F4DBD" w14:textId="77777777" w:rsidR="002B3594" w:rsidRPr="00A4268A" w:rsidRDefault="002B3594">
      <w:pPr>
        <w:spacing w:before="240" w:line="276" w:lineRule="auto"/>
        <w:rPr>
          <w:rFonts w:eastAsia="Calibri"/>
        </w:rPr>
      </w:pPr>
    </w:p>
    <w:p w14:paraId="34961D2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3594" w14:paraId="0847C9FC" w14:textId="77777777" w:rsidTr="00A4268A">
        <w:trPr>
          <w:cantSplit/>
        </w:trPr>
        <w:tc>
          <w:tcPr>
            <w:tcW w:w="10206" w:type="dxa"/>
            <w:vAlign w:val="center"/>
          </w:tcPr>
          <w:p w14:paraId="7DEA5F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35F948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D130B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51C7DA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and based on comprehensive risk-based assessments. Files reviewed demonstrated that care met the needs of residents and whānau. </w:t>
      </w:r>
    </w:p>
    <w:p w14:paraId="710E0101" w14:textId="77777777" w:rsidR="002B3594" w:rsidRPr="00A4268A" w:rsidRDefault="00000000" w:rsidP="00621629">
      <w:pPr>
        <w:spacing w:before="240" w:line="276" w:lineRule="auto"/>
        <w:rPr>
          <w:rFonts w:eastAsia="Calibri"/>
        </w:rPr>
      </w:pPr>
      <w:r w:rsidRPr="00A4268A">
        <w:rPr>
          <w:rFonts w:eastAsia="Calibri"/>
        </w:rPr>
        <w:t xml:space="preserve">Medicines were administered by staff who were competent to do so. </w:t>
      </w:r>
    </w:p>
    <w:p w14:paraId="4149752E" w14:textId="77777777" w:rsidR="002B3594"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3A213C41" w14:textId="77777777" w:rsidR="002B3594"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28115B96" w14:textId="77777777" w:rsidR="002B3594" w:rsidRPr="00A4268A" w:rsidRDefault="002B3594" w:rsidP="00621629">
      <w:pPr>
        <w:spacing w:before="240" w:line="276" w:lineRule="auto"/>
        <w:rPr>
          <w:rFonts w:eastAsia="Calibri"/>
        </w:rPr>
      </w:pPr>
    </w:p>
    <w:p w14:paraId="3CF3586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3594" w14:paraId="1564C639" w14:textId="77777777" w:rsidTr="00A4268A">
        <w:trPr>
          <w:cantSplit/>
        </w:trPr>
        <w:tc>
          <w:tcPr>
            <w:tcW w:w="10206" w:type="dxa"/>
            <w:vAlign w:val="center"/>
          </w:tcPr>
          <w:p w14:paraId="5E92D86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285E79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611D6A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6152E5B"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plant and equipment meet the needs of residents and are culturally inclusive. A current building warrant of fitness and planned maintenance programme ensure safety. Electrical equipment is tested as required.</w:t>
      </w:r>
    </w:p>
    <w:bookmarkEnd w:id="25"/>
    <w:p w14:paraId="05A03500" w14:textId="77777777" w:rsidR="002B3594" w:rsidRPr="00A4268A" w:rsidRDefault="002B3594">
      <w:pPr>
        <w:spacing w:before="240" w:line="276" w:lineRule="auto"/>
        <w:rPr>
          <w:rFonts w:eastAsia="Calibri"/>
        </w:rPr>
      </w:pPr>
    </w:p>
    <w:p w14:paraId="6E1DEF9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3594" w14:paraId="0FD5B735" w14:textId="77777777" w:rsidTr="00A4268A">
        <w:trPr>
          <w:cantSplit/>
        </w:trPr>
        <w:tc>
          <w:tcPr>
            <w:tcW w:w="10206" w:type="dxa"/>
            <w:vAlign w:val="center"/>
          </w:tcPr>
          <w:p w14:paraId="0D7DE6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1FCAFD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5F2D4AC"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4E2353D"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and is linked with the quality improvement programme.</w:t>
      </w:r>
    </w:p>
    <w:p w14:paraId="4521157D" w14:textId="77777777" w:rsidR="002B3594"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1423C52" w14:textId="77777777" w:rsidR="002B3594"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0510DC73" w14:textId="77777777" w:rsidR="002B3594" w:rsidRPr="00A4268A" w:rsidRDefault="002B3594">
      <w:pPr>
        <w:spacing w:before="240" w:line="276" w:lineRule="auto"/>
        <w:rPr>
          <w:rFonts w:eastAsia="Calibri"/>
        </w:rPr>
      </w:pPr>
    </w:p>
    <w:p w14:paraId="72E5E64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3594" w14:paraId="46786AD8" w14:textId="77777777" w:rsidTr="00A4268A">
        <w:trPr>
          <w:cantSplit/>
        </w:trPr>
        <w:tc>
          <w:tcPr>
            <w:tcW w:w="10206" w:type="dxa"/>
            <w:vAlign w:val="center"/>
          </w:tcPr>
          <w:p w14:paraId="78BFAB4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C1A7DE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5D399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4A7B165"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 xml:space="preserve">The service is a restraint-free environment. The governing body and policies and procedures support this. There were no residents using restraints at the time of the audit. </w:t>
      </w:r>
    </w:p>
    <w:p w14:paraId="004D29C4" w14:textId="77777777" w:rsidR="002B3594"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2B47EEEA" w14:textId="77777777" w:rsidR="002B3594" w:rsidRPr="00A4268A" w:rsidRDefault="002B3594">
      <w:pPr>
        <w:spacing w:before="240" w:line="276" w:lineRule="auto"/>
        <w:rPr>
          <w:rFonts w:eastAsia="Calibri"/>
        </w:rPr>
      </w:pPr>
    </w:p>
    <w:p w14:paraId="01A54F05" w14:textId="77777777" w:rsidR="00000000" w:rsidRDefault="00000000" w:rsidP="000E6E02">
      <w:pPr>
        <w:pStyle w:val="Heading2"/>
        <w:spacing w:before="0"/>
        <w:rPr>
          <w:rFonts w:cs="Arial"/>
        </w:rPr>
      </w:pPr>
      <w:r>
        <w:rPr>
          <w:rFonts w:cs="Arial"/>
        </w:rPr>
        <w:t>Summary of attainment</w:t>
      </w:r>
    </w:p>
    <w:p w14:paraId="3DD523A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B3594" w14:paraId="43C3C173" w14:textId="77777777">
        <w:tc>
          <w:tcPr>
            <w:tcW w:w="1384" w:type="dxa"/>
            <w:vAlign w:val="center"/>
          </w:tcPr>
          <w:p w14:paraId="34C6417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4C98E0D" w14:textId="77777777" w:rsidR="00000000" w:rsidRDefault="00000000">
            <w:pPr>
              <w:keepNext/>
              <w:spacing w:before="60" w:after="60"/>
              <w:jc w:val="center"/>
              <w:rPr>
                <w:rFonts w:cs="Arial"/>
                <w:b/>
                <w:sz w:val="20"/>
                <w:szCs w:val="20"/>
              </w:rPr>
            </w:pPr>
            <w:r>
              <w:rPr>
                <w:rFonts w:cs="Arial"/>
                <w:b/>
                <w:sz w:val="20"/>
                <w:szCs w:val="20"/>
              </w:rPr>
              <w:t>Continuous Improvement</w:t>
            </w:r>
          </w:p>
          <w:p w14:paraId="335B682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4B89649" w14:textId="77777777" w:rsidR="00000000" w:rsidRDefault="00000000">
            <w:pPr>
              <w:keepNext/>
              <w:spacing w:before="60" w:after="60"/>
              <w:jc w:val="center"/>
              <w:rPr>
                <w:rFonts w:cs="Arial"/>
                <w:b/>
                <w:sz w:val="20"/>
                <w:szCs w:val="20"/>
              </w:rPr>
            </w:pPr>
            <w:r>
              <w:rPr>
                <w:rFonts w:cs="Arial"/>
                <w:b/>
                <w:sz w:val="20"/>
                <w:szCs w:val="20"/>
              </w:rPr>
              <w:t>Fully Attained</w:t>
            </w:r>
          </w:p>
          <w:p w14:paraId="486A45B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002279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DB6CEE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92D8E4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3B8F3E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9715C7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CF493E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DDABC8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B7EE54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E2DA52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825F8B9" w14:textId="77777777" w:rsidR="00000000" w:rsidRDefault="00000000">
            <w:pPr>
              <w:keepNext/>
              <w:spacing w:before="60" w:after="60"/>
              <w:jc w:val="center"/>
              <w:rPr>
                <w:rFonts w:cs="Arial"/>
                <w:b/>
                <w:sz w:val="20"/>
                <w:szCs w:val="20"/>
              </w:rPr>
            </w:pPr>
            <w:r>
              <w:rPr>
                <w:rFonts w:cs="Arial"/>
                <w:b/>
                <w:sz w:val="20"/>
                <w:szCs w:val="20"/>
              </w:rPr>
              <w:t>(PA Critical)</w:t>
            </w:r>
          </w:p>
        </w:tc>
      </w:tr>
      <w:tr w:rsidR="002B3594" w14:paraId="33078A5E" w14:textId="77777777">
        <w:tc>
          <w:tcPr>
            <w:tcW w:w="1384" w:type="dxa"/>
            <w:vAlign w:val="center"/>
          </w:tcPr>
          <w:p w14:paraId="47E1365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5EF629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BA69F7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13</w:t>
            </w:r>
            <w:bookmarkEnd w:id="33"/>
          </w:p>
        </w:tc>
        <w:tc>
          <w:tcPr>
            <w:tcW w:w="1843" w:type="dxa"/>
            <w:vAlign w:val="center"/>
          </w:tcPr>
          <w:p w14:paraId="724052D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8B6444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7366AA6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4A4950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8F6E6F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B3594" w14:paraId="11FD9DF5" w14:textId="77777777">
        <w:tc>
          <w:tcPr>
            <w:tcW w:w="1384" w:type="dxa"/>
            <w:vAlign w:val="center"/>
          </w:tcPr>
          <w:p w14:paraId="4353FCB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8128D5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C3FC9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5BBD43F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6E4DC7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4EA2EC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77122E1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7EE40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9A17E3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B3594" w14:paraId="0745FA09" w14:textId="77777777">
        <w:tc>
          <w:tcPr>
            <w:tcW w:w="1384" w:type="dxa"/>
            <w:vAlign w:val="center"/>
          </w:tcPr>
          <w:p w14:paraId="537314D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0F42DD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28E620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5260E3" w14:textId="77777777" w:rsidR="00000000" w:rsidRDefault="00000000">
            <w:pPr>
              <w:keepNext/>
              <w:spacing w:before="60" w:after="60"/>
              <w:jc w:val="center"/>
              <w:rPr>
                <w:rFonts w:cs="Arial"/>
                <w:b/>
                <w:sz w:val="20"/>
                <w:szCs w:val="20"/>
              </w:rPr>
            </w:pPr>
            <w:r>
              <w:rPr>
                <w:rFonts w:cs="Arial"/>
                <w:b/>
                <w:sz w:val="20"/>
                <w:szCs w:val="20"/>
              </w:rPr>
              <w:t>Unattained Low Risk</w:t>
            </w:r>
          </w:p>
          <w:p w14:paraId="425B9D0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FA2D17E" w14:textId="77777777" w:rsidR="00000000" w:rsidRDefault="00000000">
            <w:pPr>
              <w:keepNext/>
              <w:spacing w:before="60" w:after="60"/>
              <w:jc w:val="center"/>
              <w:rPr>
                <w:rFonts w:cs="Arial"/>
                <w:b/>
                <w:sz w:val="20"/>
                <w:szCs w:val="20"/>
              </w:rPr>
            </w:pPr>
            <w:r>
              <w:rPr>
                <w:rFonts w:cs="Arial"/>
                <w:b/>
                <w:sz w:val="20"/>
                <w:szCs w:val="20"/>
              </w:rPr>
              <w:t>Unattained Moderate Risk</w:t>
            </w:r>
          </w:p>
          <w:p w14:paraId="344BB1A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6EC310F" w14:textId="77777777" w:rsidR="00000000" w:rsidRDefault="00000000">
            <w:pPr>
              <w:keepNext/>
              <w:spacing w:before="60" w:after="60"/>
              <w:jc w:val="center"/>
              <w:rPr>
                <w:rFonts w:cs="Arial"/>
                <w:b/>
                <w:sz w:val="20"/>
                <w:szCs w:val="20"/>
              </w:rPr>
            </w:pPr>
            <w:r>
              <w:rPr>
                <w:rFonts w:cs="Arial"/>
                <w:b/>
                <w:sz w:val="20"/>
                <w:szCs w:val="20"/>
              </w:rPr>
              <w:t>Unattained High Risk</w:t>
            </w:r>
          </w:p>
          <w:p w14:paraId="3E22E5E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BDB1733" w14:textId="77777777" w:rsidR="00000000" w:rsidRDefault="00000000">
            <w:pPr>
              <w:keepNext/>
              <w:spacing w:before="60" w:after="60"/>
              <w:jc w:val="center"/>
              <w:rPr>
                <w:rFonts w:cs="Arial"/>
                <w:b/>
                <w:sz w:val="20"/>
                <w:szCs w:val="20"/>
              </w:rPr>
            </w:pPr>
            <w:r>
              <w:rPr>
                <w:rFonts w:cs="Arial"/>
                <w:b/>
                <w:sz w:val="20"/>
                <w:szCs w:val="20"/>
              </w:rPr>
              <w:t>Unattained Critical Risk</w:t>
            </w:r>
          </w:p>
          <w:p w14:paraId="7F15ED85" w14:textId="77777777" w:rsidR="00000000" w:rsidRDefault="00000000">
            <w:pPr>
              <w:keepNext/>
              <w:spacing w:before="60" w:after="60"/>
              <w:jc w:val="center"/>
              <w:rPr>
                <w:rFonts w:cs="Arial"/>
                <w:b/>
                <w:sz w:val="20"/>
                <w:szCs w:val="20"/>
              </w:rPr>
            </w:pPr>
            <w:r>
              <w:rPr>
                <w:rFonts w:cs="Arial"/>
                <w:b/>
                <w:sz w:val="20"/>
                <w:szCs w:val="20"/>
              </w:rPr>
              <w:t>(UA Critical)</w:t>
            </w:r>
          </w:p>
        </w:tc>
      </w:tr>
      <w:tr w:rsidR="002B3594" w14:paraId="55DC5083" w14:textId="77777777">
        <w:tc>
          <w:tcPr>
            <w:tcW w:w="1384" w:type="dxa"/>
            <w:vAlign w:val="center"/>
          </w:tcPr>
          <w:p w14:paraId="2295E25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B1910D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BA84E9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DBD72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D9433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7F4653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B3594" w14:paraId="20573EDB" w14:textId="77777777">
        <w:tc>
          <w:tcPr>
            <w:tcW w:w="1384" w:type="dxa"/>
            <w:vAlign w:val="center"/>
          </w:tcPr>
          <w:p w14:paraId="0009A7C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D755BC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4D96E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DA35F0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F82476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F9C71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E13235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F3E80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BC2E0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2BFC7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6"/>
        <w:gridCol w:w="1378"/>
        <w:gridCol w:w="6840"/>
      </w:tblGrid>
      <w:tr w:rsidR="002B3594" w14:paraId="05852120" w14:textId="77777777">
        <w:tc>
          <w:tcPr>
            <w:tcW w:w="0" w:type="auto"/>
          </w:tcPr>
          <w:p w14:paraId="2881839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BA276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997E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B3594" w14:paraId="6E7FB5CB" w14:textId="77777777">
        <w:tc>
          <w:tcPr>
            <w:tcW w:w="0" w:type="auto"/>
          </w:tcPr>
          <w:p w14:paraId="5F5473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5ED915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5EDAF51" w14:textId="77777777" w:rsidR="00000000" w:rsidRPr="00BE00C7" w:rsidRDefault="00000000" w:rsidP="00BE00C7">
            <w:pPr>
              <w:pStyle w:val="OutcomeDescription"/>
              <w:spacing w:before="120" w:after="120"/>
              <w:rPr>
                <w:rFonts w:cs="Arial"/>
                <w:lang w:eastAsia="en-NZ"/>
              </w:rPr>
            </w:pPr>
          </w:p>
        </w:tc>
        <w:tc>
          <w:tcPr>
            <w:tcW w:w="0" w:type="auto"/>
          </w:tcPr>
          <w:p w14:paraId="4A6B81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5F8B56" w14:textId="77777777" w:rsidR="00000000" w:rsidRPr="00BE00C7" w:rsidRDefault="00000000" w:rsidP="00BE00C7">
            <w:pPr>
              <w:pStyle w:val="OutcomeDescription"/>
              <w:spacing w:before="120" w:after="120"/>
              <w:rPr>
                <w:rFonts w:cs="Arial"/>
                <w:lang w:eastAsia="en-NZ"/>
              </w:rPr>
            </w:pPr>
            <w:r w:rsidRPr="00BE00C7">
              <w:rPr>
                <w:rFonts w:cs="Arial"/>
                <w:lang w:eastAsia="en-NZ"/>
              </w:rPr>
              <w:t>Oxford Court Lifecare has developed policies, procedures and processes to embed and enact Te Tiriti o Waitangi in all aspects of its work. Mana motuhake is respected. Partnerships have been established with local Māori organisations to support service integration, planning, equity approaches, and support for Māori. There were Māori residents at the time of audit, and those interviewed felt culturally safe. There is a Māori cultural advisor at governance level who is available for the residents if needed.</w:t>
            </w:r>
          </w:p>
          <w:p w14:paraId="0171315F" w14:textId="77777777" w:rsidR="00000000" w:rsidRPr="00BE00C7" w:rsidRDefault="00000000" w:rsidP="00BE00C7">
            <w:pPr>
              <w:pStyle w:val="OutcomeDescription"/>
              <w:spacing w:before="120" w:after="120"/>
              <w:rPr>
                <w:rFonts w:cs="Arial"/>
                <w:lang w:eastAsia="en-NZ"/>
              </w:rPr>
            </w:pPr>
          </w:p>
        </w:tc>
      </w:tr>
      <w:tr w:rsidR="002B3594" w14:paraId="477E885B" w14:textId="77777777">
        <w:tc>
          <w:tcPr>
            <w:tcW w:w="0" w:type="auto"/>
          </w:tcPr>
          <w:p w14:paraId="346E14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E020E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F52D29" w14:textId="77777777" w:rsidR="00000000" w:rsidRPr="00BE00C7" w:rsidRDefault="00000000" w:rsidP="00BE00C7">
            <w:pPr>
              <w:pStyle w:val="OutcomeDescription"/>
              <w:spacing w:before="120" w:after="120"/>
              <w:rPr>
                <w:rFonts w:cs="Arial"/>
                <w:lang w:eastAsia="en-NZ"/>
              </w:rPr>
            </w:pPr>
          </w:p>
        </w:tc>
        <w:tc>
          <w:tcPr>
            <w:tcW w:w="0" w:type="auto"/>
          </w:tcPr>
          <w:p w14:paraId="6BD254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F29F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services that are underpinned by Pacific worldviews. Policies and procedures are available to guide staff in caring for Pacific peoples. Pasifika residents interviewed felt their worldview, and cultural and spiritual beliefs, were embraced. Cultural assessments and care plans for residents of each Pacific descent were available to implement. Models of care were documented and implemented.</w:t>
            </w:r>
          </w:p>
          <w:p w14:paraId="3CD160E2" w14:textId="77777777" w:rsidR="00000000" w:rsidRPr="00BE00C7" w:rsidRDefault="00000000" w:rsidP="00BE00C7">
            <w:pPr>
              <w:pStyle w:val="OutcomeDescription"/>
              <w:spacing w:before="120" w:after="120"/>
              <w:rPr>
                <w:rFonts w:cs="Arial"/>
                <w:lang w:eastAsia="en-NZ"/>
              </w:rPr>
            </w:pPr>
          </w:p>
        </w:tc>
      </w:tr>
      <w:tr w:rsidR="002B3594" w14:paraId="6E764551" w14:textId="77777777">
        <w:tc>
          <w:tcPr>
            <w:tcW w:w="0" w:type="auto"/>
          </w:tcPr>
          <w:p w14:paraId="5C41E5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6FFBC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BFC5121" w14:textId="77777777" w:rsidR="00000000" w:rsidRPr="00BE00C7" w:rsidRDefault="00000000" w:rsidP="00BE00C7">
            <w:pPr>
              <w:pStyle w:val="OutcomeDescription"/>
              <w:spacing w:before="120" w:after="120"/>
              <w:rPr>
                <w:rFonts w:cs="Arial"/>
                <w:lang w:eastAsia="en-NZ"/>
              </w:rPr>
            </w:pPr>
          </w:p>
        </w:tc>
        <w:tc>
          <w:tcPr>
            <w:tcW w:w="0" w:type="auto"/>
          </w:tcPr>
          <w:p w14:paraId="19C154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DB3E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New Zealand Aged Care Services and Oxford Court Lifecare were aware of their responsibilities under the Code of Health and Disability Services Consumers’ Rights (the Code) and have policies and procedures in place to ensure they are respected. Staff interviewed understood the requirements of the Code, including the right to self-determination (mana motuhake) and were observed supporting residents in accordance with their wishes. </w:t>
            </w:r>
          </w:p>
          <w:p w14:paraId="7DFF6E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4B3FED0F" w14:textId="77777777" w:rsidR="00000000" w:rsidRPr="00BE00C7" w:rsidRDefault="00000000" w:rsidP="00BE00C7">
            <w:pPr>
              <w:pStyle w:val="OutcomeDescription"/>
              <w:spacing w:before="120" w:after="120"/>
              <w:rPr>
                <w:rFonts w:cs="Arial"/>
                <w:lang w:eastAsia="en-NZ"/>
              </w:rPr>
            </w:pPr>
          </w:p>
        </w:tc>
      </w:tr>
      <w:tr w:rsidR="002B3594" w14:paraId="3EB4D59D" w14:textId="77777777">
        <w:tc>
          <w:tcPr>
            <w:tcW w:w="0" w:type="auto"/>
          </w:tcPr>
          <w:p w14:paraId="4A4E31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4D5BB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7B9A8D" w14:textId="77777777" w:rsidR="00000000" w:rsidRPr="00BE00C7" w:rsidRDefault="00000000" w:rsidP="00BE00C7">
            <w:pPr>
              <w:pStyle w:val="OutcomeDescription"/>
              <w:spacing w:before="120" w:after="120"/>
              <w:rPr>
                <w:rFonts w:cs="Arial"/>
                <w:lang w:eastAsia="en-NZ"/>
              </w:rPr>
            </w:pPr>
          </w:p>
        </w:tc>
        <w:tc>
          <w:tcPr>
            <w:tcW w:w="0" w:type="auto"/>
          </w:tcPr>
          <w:p w14:paraId="4EE4D2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793D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documentation and interviews with staff, residents and whānau identified that residents receive services free of discrimination, coercion, harassment, exploitation, and abuse and neglect, supported by policies and staff education. There were no examples identified during the audit through staff and/or resident or whānau interviews, or in documentation reviewed. Professional boundaries were maintained by staff. </w:t>
            </w:r>
          </w:p>
          <w:p w14:paraId="3542B8B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finances protected.</w:t>
            </w:r>
          </w:p>
          <w:p w14:paraId="5BB4B5F1" w14:textId="77777777" w:rsidR="00000000" w:rsidRPr="00BE00C7" w:rsidRDefault="00000000" w:rsidP="00BE00C7">
            <w:pPr>
              <w:pStyle w:val="OutcomeDescription"/>
              <w:spacing w:before="120" w:after="120"/>
              <w:rPr>
                <w:rFonts w:cs="Arial"/>
                <w:lang w:eastAsia="en-NZ"/>
              </w:rPr>
            </w:pPr>
          </w:p>
        </w:tc>
      </w:tr>
      <w:tr w:rsidR="002B3594" w14:paraId="3C9E1649" w14:textId="77777777">
        <w:tc>
          <w:tcPr>
            <w:tcW w:w="0" w:type="auto"/>
          </w:tcPr>
          <w:p w14:paraId="3A73B3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3BC78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707124A1" w14:textId="77777777" w:rsidR="00000000" w:rsidRPr="00BE00C7" w:rsidRDefault="00000000" w:rsidP="00BE00C7">
            <w:pPr>
              <w:pStyle w:val="OutcomeDescription"/>
              <w:spacing w:before="120" w:after="120"/>
              <w:rPr>
                <w:rFonts w:cs="Arial"/>
                <w:lang w:eastAsia="en-NZ"/>
              </w:rPr>
            </w:pPr>
          </w:p>
        </w:tc>
        <w:tc>
          <w:tcPr>
            <w:tcW w:w="0" w:type="auto"/>
          </w:tcPr>
          <w:p w14:paraId="3F972E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5D6072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w:t>
            </w:r>
          </w:p>
          <w:p w14:paraId="1EDDE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However, documented informed consents were not sighted in all resident files reviewed; refer criterion 1.7.5. </w:t>
            </w:r>
          </w:p>
          <w:p w14:paraId="41D2038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obtaining verbal consents from residents prior to cares, and this was confirmed in resident and whānau interviews.</w:t>
            </w:r>
          </w:p>
          <w:p w14:paraId="30DD80AC" w14:textId="77777777" w:rsidR="00000000" w:rsidRPr="00BE00C7" w:rsidRDefault="00000000" w:rsidP="00BE00C7">
            <w:pPr>
              <w:pStyle w:val="OutcomeDescription"/>
              <w:spacing w:before="120" w:after="120"/>
              <w:rPr>
                <w:rFonts w:cs="Arial"/>
                <w:lang w:eastAsia="en-NZ"/>
              </w:rPr>
            </w:pPr>
          </w:p>
        </w:tc>
      </w:tr>
      <w:tr w:rsidR="002B3594" w14:paraId="5394BF0F" w14:textId="77777777">
        <w:tc>
          <w:tcPr>
            <w:tcW w:w="0" w:type="auto"/>
          </w:tcPr>
          <w:p w14:paraId="17C9B3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FEAC7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CFBBA0D" w14:textId="77777777" w:rsidR="00000000" w:rsidRPr="00BE00C7" w:rsidRDefault="00000000" w:rsidP="00BE00C7">
            <w:pPr>
              <w:pStyle w:val="OutcomeDescription"/>
              <w:spacing w:before="120" w:after="120"/>
              <w:rPr>
                <w:rFonts w:cs="Arial"/>
                <w:lang w:eastAsia="en-NZ"/>
              </w:rPr>
            </w:pPr>
          </w:p>
        </w:tc>
        <w:tc>
          <w:tcPr>
            <w:tcW w:w="0" w:type="auto"/>
          </w:tcPr>
          <w:p w14:paraId="401D5C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5FD062"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leading to improvements. This meets the requirements of the Code. Residents and whānau understood their right to complain and knew how to do so. There have been 13 complaints in 2024, and one in 2025 (year to date). The care home manager (CHM) and the interim care home manager (ICHM) reported that the complaint process timeframes were adhered to, and service improvement measures were implemented as required.</w:t>
            </w:r>
          </w:p>
          <w:p w14:paraId="13CA0BA8"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including follow-up letters and resolutions, was completed and managed in accordance with guidelines set by the Health and Disability Commissioner (HDC). Discussions with residents and whānau confirmed they were provided information on the complaints process and remarked that any concerns or issues were promptly addressed.</w:t>
            </w:r>
          </w:p>
          <w:p w14:paraId="492DED85"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making a complaint can, if they choose, involve an independent support person, such as the cultural advisor or kaumatua, in the process. The complaints process is linked to advocacy services. The Code of Health and Disability Services Consumers’ Rights is visible and available in te reo Māori and English. Residents and whānau spoken with expressed satisfaction with the complaint process. In the event of a complaint from a Māori resident or whānau member, the service would seek the assistance of an interpreter or cultural advisor if needed.</w:t>
            </w:r>
          </w:p>
          <w:p w14:paraId="01FDD7B8"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HDC complaint from 2021 remains open. The service has complied with all requests for further information within the required timeframes. Key learnings from the complaint regarding communication, escalating concerns, staffing, call bell monitoring, escorting residents to appointments, early detection of deteriorating residents and intentional rounding have been identified and implemented. Staff received appropriate training and support through specialist services from the local Te Whatu Ora. Evidence of this was sighted. The general practitioner (GP) expressed satisfaction with the improvements made.</w:t>
            </w:r>
          </w:p>
          <w:p w14:paraId="02495D81" w14:textId="77777777" w:rsidR="00000000" w:rsidRPr="00BE00C7" w:rsidRDefault="00000000" w:rsidP="00BE00C7">
            <w:pPr>
              <w:pStyle w:val="OutcomeDescription"/>
              <w:spacing w:before="120" w:after="120"/>
              <w:rPr>
                <w:rFonts w:cs="Arial"/>
                <w:lang w:eastAsia="en-NZ"/>
              </w:rPr>
            </w:pPr>
          </w:p>
        </w:tc>
      </w:tr>
      <w:tr w:rsidR="002B3594" w14:paraId="19BBA82E" w14:textId="77777777">
        <w:tc>
          <w:tcPr>
            <w:tcW w:w="0" w:type="auto"/>
          </w:tcPr>
          <w:p w14:paraId="0C727E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F7882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25E4A9" w14:textId="77777777" w:rsidR="00000000" w:rsidRPr="00BE00C7" w:rsidRDefault="00000000" w:rsidP="00BE00C7">
            <w:pPr>
              <w:pStyle w:val="OutcomeDescription"/>
              <w:spacing w:before="120" w:after="120"/>
              <w:rPr>
                <w:rFonts w:cs="Arial"/>
                <w:lang w:eastAsia="en-NZ"/>
              </w:rPr>
            </w:pPr>
          </w:p>
        </w:tc>
        <w:tc>
          <w:tcPr>
            <w:tcW w:w="0" w:type="auto"/>
          </w:tcPr>
          <w:p w14:paraId="61C227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61CB28" w14:textId="77777777" w:rsidR="00000000" w:rsidRPr="00BE00C7" w:rsidRDefault="00000000" w:rsidP="00BE00C7">
            <w:pPr>
              <w:pStyle w:val="OutcomeDescription"/>
              <w:spacing w:before="120" w:after="120"/>
              <w:rPr>
                <w:rFonts w:cs="Arial"/>
                <w:lang w:eastAsia="en-NZ"/>
              </w:rPr>
            </w:pPr>
            <w:r w:rsidRPr="00BE00C7">
              <w:rPr>
                <w:rFonts w:cs="Arial"/>
                <w:lang w:eastAsia="en-NZ"/>
              </w:rPr>
              <w:t>Oxford Court Lifecare has been operated by New Zealand Aged Care Services Ltd since September 2022. The governing body assumes accountability for delivering a high-quality service by supporting meaningful inclusion of Māori and Pasifika in governance groups, honouring Te Tiriti, and is focused on improving outcomes for Māori and Pasifika, reducing barriers and achieving equity for Māori. The service provides rest home and hospital-level care.</w:t>
            </w:r>
          </w:p>
          <w:p w14:paraId="72BBB3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defined governance and leadership structure, including clinical governance, that is appropriate to its size and complexity. Board members can access cultural training, te reo Māori, and opportunities to upskill in Te Tiriti o Waitangi through other community roles and employment. A sample of a report to the board of directors showed adequate information to monitor performance is reported. The board meets once a month and weekly meetings occur with the general manager (operations and clinical) and all New Zealand Aged Care Services Ltd facilities management teams. The leadership team oversees compliance with legislative, contractual and regulatory requirements; external advice is sought as required.  Reports cover quality, risk, compliance with standards and legislation, and other operational matters.</w:t>
            </w:r>
          </w:p>
          <w:p w14:paraId="25EC58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new management structure is in place, led by the CHM with extensive experience in the health and disability sector, who has been in the service for over a year. The CHM is supported by the roving ICHM, clinical nurse lead (CNL), registered nurses (RNs), general manager (operations) and the board. The management confirmed knowledge of the sector and regulatory and reporting requirements. </w:t>
            </w:r>
          </w:p>
          <w:p w14:paraId="77050D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Oxford Court Lifecare business plan 2024-2025 identifies the organisation's purpose, values, direction, scope and goals and monitors and reviews performance at planned intervals. </w:t>
            </w:r>
          </w:p>
          <w:p w14:paraId="17F0D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 Health New Zealand Southern for aged residential care – hospital medical, geriatric, and rest home care. The agreement includes provision for respite and long-term support – chronic health conditions (LTS-CHC) and short-term palliative hospital level care. On the days of the audit, there were 63 residents; of those, 32 were receiving hospital level of care including one resident </w:t>
            </w:r>
            <w:r w:rsidRPr="00BE00C7">
              <w:rPr>
                <w:rFonts w:cs="Arial"/>
                <w:lang w:eastAsia="en-NZ"/>
              </w:rPr>
              <w:lastRenderedPageBreak/>
              <w:t>admitted under the LTS-CHC contract. Twenty-five (25) residents were receiving rest home level of care including one under the LTS-CHC contract, and five under respite contracts all hospital including one funded by the Accident Compensation Corporation and one under the exceptional circumstances individual funding.</w:t>
            </w:r>
          </w:p>
          <w:p w14:paraId="0DBFFF8E" w14:textId="77777777" w:rsidR="00000000" w:rsidRPr="00BE00C7" w:rsidRDefault="00000000" w:rsidP="00BE00C7">
            <w:pPr>
              <w:pStyle w:val="OutcomeDescription"/>
              <w:spacing w:before="120" w:after="120"/>
              <w:rPr>
                <w:rFonts w:cs="Arial"/>
                <w:lang w:eastAsia="en-NZ"/>
              </w:rPr>
            </w:pPr>
          </w:p>
        </w:tc>
      </w:tr>
      <w:tr w:rsidR="002B3594" w14:paraId="6ABA2036" w14:textId="77777777">
        <w:tc>
          <w:tcPr>
            <w:tcW w:w="0" w:type="auto"/>
          </w:tcPr>
          <w:p w14:paraId="4F2FAC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E74E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C21D4A" w14:textId="77777777" w:rsidR="00000000" w:rsidRPr="00BE00C7" w:rsidRDefault="00000000" w:rsidP="00BE00C7">
            <w:pPr>
              <w:pStyle w:val="OutcomeDescription"/>
              <w:spacing w:before="120" w:after="120"/>
              <w:rPr>
                <w:rFonts w:cs="Arial"/>
                <w:lang w:eastAsia="en-NZ"/>
              </w:rPr>
            </w:pPr>
          </w:p>
        </w:tc>
        <w:tc>
          <w:tcPr>
            <w:tcW w:w="0" w:type="auto"/>
          </w:tcPr>
          <w:p w14:paraId="67EA5C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F13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managing and monitoring incidents and complaints, internal audit activities, a regular resident meeting, consultation with whānau, outcomes, policies and procedures, clinical incidents including infections and wounds, pressure injuries, skin tears, behaviour events, falls and other unexpected events.</w:t>
            </w:r>
          </w:p>
          <w:p w14:paraId="541A36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Staff competencies were reassessed and confirmed for all staff, and records were sighted. Internal audits were completed according to a 2024 and 2025 schedule, with corrective actions and outcomes fed back to the staff. A resident/whānau survey in 2024 was completed with minimal response rate. The CHM reported that surveys are comprehensive, and the results are collated, analysed and utilised to make service improvements when required. </w:t>
            </w:r>
          </w:p>
          <w:p w14:paraId="0CAB958B"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of adverse event data is regularly reported and discussed at monthly staff meetings. The management team interviewed confirmed that discussions and trends are included in these meetings. The policies reviewed covered all necessary aspects of the service and contractual requirements and were current.</w:t>
            </w:r>
          </w:p>
          <w:p w14:paraId="2D94B2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described the processes for identifying, documenting, monitoring, reviewing and reporting of risks, including health and safety risks, and developing mitigation strategies. A risk management plan was continuously updated to reflect the risk to the integrity of clinical and operational documentation.</w:t>
            </w:r>
          </w:p>
          <w:p w14:paraId="3C9319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accordance with the National Adverse Events Reporting Policy. A sample of incident forms reviewed showed that these were fully completed, incidents were investigated, action plans were developed, and actions followed up in a </w:t>
            </w:r>
            <w:r w:rsidRPr="00BE00C7">
              <w:rPr>
                <w:rFonts w:cs="Arial"/>
                <w:lang w:eastAsia="en-NZ"/>
              </w:rPr>
              <w:lastRenderedPageBreak/>
              <w:t>timely manner.</w:t>
            </w:r>
          </w:p>
          <w:p w14:paraId="7248FF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understood and complied with essential notification reporting requirements. Essential notifications, as required under Section 31 of the Health and Disability Services (Safety) Act 2001, have been completed regarding registered nurse shortages in 2023 and changes in the care home managers and clinical nurse leads, and other notifications were completed as required.</w:t>
            </w:r>
          </w:p>
          <w:p w14:paraId="757A2A6A" w14:textId="77777777" w:rsidR="00000000" w:rsidRPr="00BE00C7" w:rsidRDefault="00000000" w:rsidP="00BE00C7">
            <w:pPr>
              <w:pStyle w:val="OutcomeDescription"/>
              <w:spacing w:before="120" w:after="120"/>
              <w:rPr>
                <w:rFonts w:cs="Arial"/>
                <w:lang w:eastAsia="en-NZ"/>
              </w:rPr>
            </w:pPr>
          </w:p>
        </w:tc>
      </w:tr>
      <w:tr w:rsidR="002B3594" w14:paraId="692B09FE" w14:textId="77777777">
        <w:tc>
          <w:tcPr>
            <w:tcW w:w="0" w:type="auto"/>
          </w:tcPr>
          <w:p w14:paraId="0172B3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61CC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AE3C0E1" w14:textId="77777777" w:rsidR="00000000" w:rsidRPr="00BE00C7" w:rsidRDefault="00000000" w:rsidP="00BE00C7">
            <w:pPr>
              <w:pStyle w:val="OutcomeDescription"/>
              <w:spacing w:before="120" w:after="120"/>
              <w:rPr>
                <w:rFonts w:cs="Arial"/>
                <w:lang w:eastAsia="en-NZ"/>
              </w:rPr>
            </w:pPr>
          </w:p>
        </w:tc>
        <w:tc>
          <w:tcPr>
            <w:tcW w:w="0" w:type="auto"/>
          </w:tcPr>
          <w:p w14:paraId="1E6B62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BBFE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organisation adjusts staffing levels to meet the changing needs of residents. Staff reported that there were adequate staff to complete the work allocated to them, and residents and whānau confirmed this in interviews. </w:t>
            </w:r>
          </w:p>
          <w:p w14:paraId="7F22C5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corrective action relating to insufficient registered nurses has been addressed. Copies of four-week paid rosters were sighted, and adequate staff coverage was achieved. The service now employs eight permanent RNs and two casual registered nurses. Morning and afternoon shifts have two RNs on each shift and one RN on night shift. The RNs are supported by the CNL and management.</w:t>
            </w:r>
          </w:p>
          <w:p w14:paraId="74107548"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advice is sought in a timely manner through local Māori organisations and a resident who is a kaumatua at the service. At least one staff member on duty in each wing has a current first aid certificate and medication competency.</w:t>
            </w:r>
          </w:p>
          <w:p w14:paraId="36703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commenced or are due to commence a New Zealand Qualification Authority education programme to meet the provider’s funding and service agreement requirements. </w:t>
            </w:r>
          </w:p>
          <w:p w14:paraId="09F9FD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were reviewed to confirm completion of the required training and competency assessments. Each staff member interviewed reported feeling well-supported and safe in the workplace. The employment process, which includes a job description defining each role's skills, qualifications and attributes, ensures that services are delivered to meet residents' needs.</w:t>
            </w:r>
          </w:p>
          <w:p w14:paraId="567901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including mandatory training requirements, is </w:t>
            </w:r>
            <w:r w:rsidRPr="00BE00C7">
              <w:rPr>
                <w:rFonts w:cs="Arial"/>
                <w:lang w:eastAsia="en-NZ"/>
              </w:rPr>
              <w:lastRenderedPageBreak/>
              <w:t xml:space="preserve">planned annually. Related competencies are assessed to support equitable service delivery. The records reviewed (seven) demonstrated that the staff completed the required training and competency assessments, including cultural, first aid, hand hygiene, and medication competencies. An annual training programme covers mandatory and elective topics and meets the obligations of the service contract. Online learning opportunities are also available for staff to complete independently.  Staff felt well supported with development opportunities. </w:t>
            </w:r>
          </w:p>
          <w:p w14:paraId="7B43C722"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advice is always available when required, ensuring a secure care provision. An out-of-hours on-call policy explains how and when to contact the out-of-hours general practitioners and the management team.</w:t>
            </w:r>
          </w:p>
          <w:p w14:paraId="723B54A4" w14:textId="77777777" w:rsidR="00000000" w:rsidRPr="00BE00C7" w:rsidRDefault="00000000" w:rsidP="00BE00C7">
            <w:pPr>
              <w:pStyle w:val="OutcomeDescription"/>
              <w:spacing w:before="120" w:after="120"/>
              <w:rPr>
                <w:rFonts w:cs="Arial"/>
                <w:lang w:eastAsia="en-NZ"/>
              </w:rPr>
            </w:pPr>
          </w:p>
        </w:tc>
      </w:tr>
      <w:tr w:rsidR="002B3594" w14:paraId="3307FB55" w14:textId="77777777">
        <w:tc>
          <w:tcPr>
            <w:tcW w:w="0" w:type="auto"/>
          </w:tcPr>
          <w:p w14:paraId="332B3D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CD7A4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7DDB717" w14:textId="77777777" w:rsidR="00000000" w:rsidRPr="00BE00C7" w:rsidRDefault="00000000" w:rsidP="00BE00C7">
            <w:pPr>
              <w:pStyle w:val="OutcomeDescription"/>
              <w:spacing w:before="120" w:after="120"/>
              <w:rPr>
                <w:rFonts w:cs="Arial"/>
                <w:lang w:eastAsia="en-NZ"/>
              </w:rPr>
            </w:pPr>
          </w:p>
        </w:tc>
        <w:tc>
          <w:tcPr>
            <w:tcW w:w="0" w:type="auto"/>
          </w:tcPr>
          <w:p w14:paraId="2FC5B54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C89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management policies and processes are based on good employment practices and relevant legislation. The annual practising certificates of all health professionals are reviewed annually, and a record is maintained. A sample of staff records reviewed confirmed the organisation’s policies are being consistently implemented. There was evidence of good recruitment processes, including letters of offer, signed employment agreements and position descriptions, validation of qualifications, police vetting, and performance appraisals. A total of seven staff files were reviewed. </w:t>
            </w:r>
          </w:p>
          <w:p w14:paraId="00BF0144"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that orientation forms are completed within the required timeframes.</w:t>
            </w:r>
          </w:p>
          <w:p w14:paraId="3AA04F1E" w14:textId="77777777" w:rsidR="00000000" w:rsidRPr="00BE00C7" w:rsidRDefault="00000000" w:rsidP="00BE00C7">
            <w:pPr>
              <w:pStyle w:val="OutcomeDescription"/>
              <w:spacing w:before="120" w:after="120"/>
              <w:rPr>
                <w:rFonts w:cs="Arial"/>
                <w:lang w:eastAsia="en-NZ"/>
              </w:rPr>
            </w:pPr>
          </w:p>
        </w:tc>
      </w:tr>
      <w:tr w:rsidR="002B3594" w14:paraId="6E8475B2" w14:textId="77777777">
        <w:tc>
          <w:tcPr>
            <w:tcW w:w="0" w:type="auto"/>
          </w:tcPr>
          <w:p w14:paraId="5441AB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64E83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D14CB28" w14:textId="77777777" w:rsidR="00000000" w:rsidRPr="00BE00C7" w:rsidRDefault="00000000" w:rsidP="00BE00C7">
            <w:pPr>
              <w:pStyle w:val="OutcomeDescription"/>
              <w:spacing w:before="120" w:after="120"/>
              <w:rPr>
                <w:rFonts w:cs="Arial"/>
                <w:lang w:eastAsia="en-NZ"/>
              </w:rPr>
            </w:pPr>
          </w:p>
        </w:tc>
        <w:tc>
          <w:tcPr>
            <w:tcW w:w="0" w:type="auto"/>
          </w:tcPr>
          <w:p w14:paraId="61C2A0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8ED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their whānau to support wellbeing. Seven resident files were reviewed: two residents receiving rest home care, four receiving hospital level care and one respite care resident funded by the Accident Compensation Corporation. The files reviewed verified that a comprehensive assessment occurs including consideration of the person’s lived experience, cultural needs, values and beliefs, and which considers wider service integration, where required. Residents are reviewed by a general practitioner on admission to the service. Early warning signs and risks, with a focus on prevention or escalation for appropriate interventions, were recorded.  </w:t>
            </w:r>
            <w:r w:rsidRPr="00BE00C7">
              <w:rPr>
                <w:rFonts w:cs="Arial"/>
                <w:lang w:eastAsia="en-NZ"/>
              </w:rPr>
              <w:lastRenderedPageBreak/>
              <w:t>However, timeframes for the initial care plan, interRAI assessment and long-term care plan did not always meet contractual and policy requirements; refer criterion 3.2.1.</w:t>
            </w:r>
          </w:p>
          <w:p w14:paraId="3D412C58"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Short-term care plans were developed, if necessary, and examples were sighted for infections and wound care. These were reviewed weekly or earlier if clinically indicated. Māori residents have a personal care plan based on Te Whare Tapa Whā, used to document what is important to them.</w:t>
            </w:r>
          </w:p>
          <w:p w14:paraId="084F00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training on the management of head injuries following fall events, and files demonstrated neurological observations were completed. The corrective action raised at the last audit under criterion 3.2.4 is now closed. </w:t>
            </w:r>
          </w:p>
          <w:p w14:paraId="59DE278A"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 of care occurs on each shift and the progress notes documented by the nursing staff were of a high standard. General practitioner review occurs at a minimum of three-monthly, with resident and whānau input, when possible. Residents and whānau are given choices and staff ensure they have access to information.  This was verified by sampling residents’ records, and from interviews with clinical staff, residents and whānau, including with Māori. Residents confirmed they were very happy with the responsiveness of staff and communication was very good. However, not all care plans reviewed had been updated following interRAI assessments or when resident needs changed; refer criterion 3.2.5.</w:t>
            </w:r>
          </w:p>
          <w:p w14:paraId="3A9FB106"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was interviewed and stated care had improved, communication was good, and they had no concerns.</w:t>
            </w:r>
          </w:p>
          <w:p w14:paraId="4501BB8A" w14:textId="77777777" w:rsidR="00000000" w:rsidRPr="00BE00C7" w:rsidRDefault="00000000" w:rsidP="003C4AE6">
            <w:pPr>
              <w:pStyle w:val="OutcomeDescription"/>
              <w:spacing w:before="120" w:after="120"/>
              <w:rPr>
                <w:rFonts w:cs="Arial"/>
                <w:lang w:eastAsia="en-NZ"/>
              </w:rPr>
            </w:pPr>
          </w:p>
        </w:tc>
      </w:tr>
      <w:tr w:rsidR="002B3594" w14:paraId="6960D693" w14:textId="77777777">
        <w:tc>
          <w:tcPr>
            <w:tcW w:w="0" w:type="auto"/>
          </w:tcPr>
          <w:p w14:paraId="6AA422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5C5C3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7EE2A2E2" w14:textId="77777777" w:rsidR="00000000" w:rsidRPr="00BE00C7" w:rsidRDefault="00000000" w:rsidP="00BE00C7">
            <w:pPr>
              <w:pStyle w:val="OutcomeDescription"/>
              <w:spacing w:before="120" w:after="120"/>
              <w:rPr>
                <w:rFonts w:cs="Arial"/>
                <w:lang w:eastAsia="en-NZ"/>
              </w:rPr>
            </w:pPr>
          </w:p>
        </w:tc>
        <w:tc>
          <w:tcPr>
            <w:tcW w:w="0" w:type="auto"/>
          </w:tcPr>
          <w:p w14:paraId="578FB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01CD4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prescribing and administration using an electronic system was observed on the day of audit. Medications are supplied to the facility from a contracted pharmacy and resupply can be ordered via the electronic system. However, not all aspects of the medication management met the </w:t>
            </w:r>
            <w:r w:rsidRPr="00BE00C7">
              <w:rPr>
                <w:rFonts w:cs="Arial"/>
                <w:lang w:eastAsia="en-NZ"/>
              </w:rPr>
              <w:lastRenderedPageBreak/>
              <w:t xml:space="preserve">required standard; refer criterion 3.4.1. All staff who administer medicines were competent to perform the function they managed. </w:t>
            </w:r>
          </w:p>
          <w:p w14:paraId="2D0CEB2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 Medicines are stored safely, including controlled drugs. The required stock checks had been completed. Medicines stored were within the recommended temperature range and there are processes in place for safe disposal of medications no longer required.</w:t>
            </w:r>
          </w:p>
          <w:p w14:paraId="63A6F7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general or nurse practitioner review was consistently recorded on the medicine chart. </w:t>
            </w:r>
          </w:p>
          <w:p w14:paraId="17827C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w:t>
            </w:r>
          </w:p>
          <w:p w14:paraId="03FB3479"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were self-administering medications at the time of audit. The registered nurse described how this would be facilitated and managed safely should the need arise.</w:t>
            </w:r>
          </w:p>
          <w:p w14:paraId="5718B190" w14:textId="77777777" w:rsidR="00000000" w:rsidRPr="00BE00C7" w:rsidRDefault="00000000" w:rsidP="00BE00C7">
            <w:pPr>
              <w:pStyle w:val="OutcomeDescription"/>
              <w:spacing w:before="120" w:after="120"/>
              <w:rPr>
                <w:rFonts w:cs="Arial"/>
                <w:lang w:eastAsia="en-NZ"/>
              </w:rPr>
            </w:pPr>
          </w:p>
        </w:tc>
      </w:tr>
      <w:tr w:rsidR="002B3594" w14:paraId="7028E9F4" w14:textId="77777777">
        <w:tc>
          <w:tcPr>
            <w:tcW w:w="0" w:type="auto"/>
          </w:tcPr>
          <w:p w14:paraId="4314A9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AB7AD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3870593" w14:textId="77777777" w:rsidR="00000000" w:rsidRPr="00BE00C7" w:rsidRDefault="00000000" w:rsidP="00BE00C7">
            <w:pPr>
              <w:pStyle w:val="OutcomeDescription"/>
              <w:spacing w:before="120" w:after="120"/>
              <w:rPr>
                <w:rFonts w:cs="Arial"/>
                <w:lang w:eastAsia="en-NZ"/>
              </w:rPr>
            </w:pPr>
          </w:p>
        </w:tc>
        <w:tc>
          <w:tcPr>
            <w:tcW w:w="0" w:type="auto"/>
          </w:tcPr>
          <w:p w14:paraId="2DEDB3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0F83DF"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services are provided by a contracted provider, with food cooked off-site. The contracted service operates with an approved food safety plan and registration.</w:t>
            </w:r>
          </w:p>
          <w:p w14:paraId="5542B7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7B89CA75" w14:textId="77777777" w:rsidR="00000000" w:rsidRPr="00BE00C7" w:rsidRDefault="00000000" w:rsidP="00BE00C7">
            <w:pPr>
              <w:pStyle w:val="OutcomeDescription"/>
              <w:spacing w:before="120" w:after="120"/>
              <w:rPr>
                <w:rFonts w:cs="Arial"/>
                <w:lang w:eastAsia="en-NZ"/>
              </w:rPr>
            </w:pPr>
          </w:p>
        </w:tc>
      </w:tr>
      <w:tr w:rsidR="002B3594" w14:paraId="6404BE1E" w14:textId="77777777">
        <w:tc>
          <w:tcPr>
            <w:tcW w:w="0" w:type="auto"/>
          </w:tcPr>
          <w:p w14:paraId="6CA434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28A3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D460F2" w14:textId="77777777" w:rsidR="00000000" w:rsidRPr="00BE00C7" w:rsidRDefault="00000000" w:rsidP="00BE00C7">
            <w:pPr>
              <w:pStyle w:val="OutcomeDescription"/>
              <w:spacing w:before="120" w:after="120"/>
              <w:rPr>
                <w:rFonts w:cs="Arial"/>
                <w:lang w:eastAsia="en-NZ"/>
              </w:rPr>
            </w:pPr>
          </w:p>
        </w:tc>
        <w:tc>
          <w:tcPr>
            <w:tcW w:w="0" w:type="auto"/>
          </w:tcPr>
          <w:p w14:paraId="0097EF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D7FED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and EPOA reported being kept well informed during the transfer of their relative.</w:t>
            </w:r>
          </w:p>
          <w:p w14:paraId="7C5856BE" w14:textId="77777777" w:rsidR="00000000" w:rsidRPr="00BE00C7" w:rsidRDefault="00000000" w:rsidP="00BE00C7">
            <w:pPr>
              <w:pStyle w:val="OutcomeDescription"/>
              <w:spacing w:before="120" w:after="120"/>
              <w:rPr>
                <w:rFonts w:cs="Arial"/>
                <w:lang w:eastAsia="en-NZ"/>
              </w:rPr>
            </w:pPr>
          </w:p>
        </w:tc>
      </w:tr>
      <w:tr w:rsidR="002B3594" w14:paraId="018E9D89" w14:textId="77777777">
        <w:tc>
          <w:tcPr>
            <w:tcW w:w="0" w:type="auto"/>
          </w:tcPr>
          <w:p w14:paraId="24FE71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06529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3EB5C47" w14:textId="77777777" w:rsidR="00000000" w:rsidRPr="00BE00C7" w:rsidRDefault="00000000" w:rsidP="00BE00C7">
            <w:pPr>
              <w:pStyle w:val="OutcomeDescription"/>
              <w:spacing w:before="120" w:after="120"/>
              <w:rPr>
                <w:rFonts w:cs="Arial"/>
                <w:lang w:eastAsia="en-NZ"/>
              </w:rPr>
            </w:pPr>
          </w:p>
        </w:tc>
        <w:tc>
          <w:tcPr>
            <w:tcW w:w="0" w:type="auto"/>
          </w:tcPr>
          <w:p w14:paraId="073FF1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151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purpose. A current building warrant of fitness, expiring on 25 September 2025, was displayed. There is a preventative and reactive maintenance programme, and buildings, plant and equipment are maintained to an adequate standard. Legislative requirements were met. Electrical checks were completed, and an inventory was maintained. The contracted medical company checked the annual calibration of medical resources and equipment. Calibration included the scales (floor and chair scales). Manual handling and hoist management training was provided to all staff as per the training programme. </w:t>
            </w:r>
          </w:p>
          <w:p w14:paraId="32255E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and residents interviewed were pleased with the environment's suitability for their whānau members' needs. Appropriate signage and cultural information were on the notice boards for staff and residents to view. There were well-maintained garden areas. </w:t>
            </w:r>
          </w:p>
          <w:p w14:paraId="5E9500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corrective action regarding equipment blocking emergency exits has been addressed. A physical walk around of the whole facility was conducted and all emergency exits checked were free from clutter and mobility equipment was stored appropriately. There was sufficient room in hallways, bathrooms, communal areas and residents’ rooms for people to mobilise around safely. The environment reflects people’s individual preferences and accommodates their needs.</w:t>
            </w:r>
          </w:p>
          <w:p w14:paraId="1537323A" w14:textId="77777777" w:rsidR="00000000" w:rsidRPr="00BE00C7" w:rsidRDefault="00000000" w:rsidP="00BE00C7">
            <w:pPr>
              <w:pStyle w:val="OutcomeDescription"/>
              <w:spacing w:before="120" w:after="120"/>
              <w:rPr>
                <w:rFonts w:cs="Arial"/>
                <w:lang w:eastAsia="en-NZ"/>
              </w:rPr>
            </w:pPr>
          </w:p>
        </w:tc>
      </w:tr>
      <w:tr w:rsidR="002B3594" w14:paraId="01560EBA" w14:textId="77777777">
        <w:tc>
          <w:tcPr>
            <w:tcW w:w="0" w:type="auto"/>
          </w:tcPr>
          <w:p w14:paraId="573E48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B768E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E56185A" w14:textId="77777777" w:rsidR="00000000" w:rsidRPr="00BE00C7" w:rsidRDefault="00000000" w:rsidP="00BE00C7">
            <w:pPr>
              <w:pStyle w:val="OutcomeDescription"/>
              <w:spacing w:before="120" w:after="120"/>
              <w:rPr>
                <w:rFonts w:cs="Arial"/>
                <w:lang w:eastAsia="en-NZ"/>
              </w:rPr>
            </w:pPr>
          </w:p>
        </w:tc>
        <w:tc>
          <w:tcPr>
            <w:tcW w:w="0" w:type="auto"/>
          </w:tcPr>
          <w:p w14:paraId="27F111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6264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lead is responsible for overseeing and implementing the IP programme at Oxford Court. The programme has been developed by New Zealand Aged Care Services, with input from those with IP expertise, and approved by the governance body. The programme is linked to the </w:t>
            </w:r>
            <w:r w:rsidRPr="00BE00C7">
              <w:rPr>
                <w:rFonts w:cs="Arial"/>
                <w:lang w:eastAsia="en-NZ"/>
              </w:rPr>
              <w:lastRenderedPageBreak/>
              <w:t xml:space="preserve">quality improvement programme. However, the programme sighted was newly developed and no evidence of annual review and reporting was available; refer criteria 5.2.2.  This was confirmed by the clinical nurse lead and national quality assurance coordinator and review of the programme documentation. </w:t>
            </w:r>
          </w:p>
          <w:p w14:paraId="661EC1D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44FEE2F8" w14:textId="77777777" w:rsidR="00000000" w:rsidRPr="00BE00C7" w:rsidRDefault="00000000" w:rsidP="00BE00C7">
            <w:pPr>
              <w:pStyle w:val="OutcomeDescription"/>
              <w:spacing w:before="120" w:after="120"/>
              <w:rPr>
                <w:rFonts w:cs="Arial"/>
                <w:lang w:eastAsia="en-NZ"/>
              </w:rPr>
            </w:pPr>
          </w:p>
        </w:tc>
      </w:tr>
      <w:tr w:rsidR="002B3594" w14:paraId="386FFB14" w14:textId="77777777">
        <w:tc>
          <w:tcPr>
            <w:tcW w:w="0" w:type="auto"/>
          </w:tcPr>
          <w:p w14:paraId="5D7FA5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50688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B7FB92" w14:textId="77777777" w:rsidR="00000000" w:rsidRPr="00BE00C7" w:rsidRDefault="00000000" w:rsidP="00BE00C7">
            <w:pPr>
              <w:pStyle w:val="OutcomeDescription"/>
              <w:spacing w:before="120" w:after="120"/>
              <w:rPr>
                <w:rFonts w:cs="Arial"/>
                <w:lang w:eastAsia="en-NZ"/>
              </w:rPr>
            </w:pPr>
          </w:p>
        </w:tc>
        <w:tc>
          <w:tcPr>
            <w:tcW w:w="0" w:type="auto"/>
          </w:tcPr>
          <w:p w14:paraId="3B3AEC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816A87"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w:t>
            </w:r>
          </w:p>
          <w:p w14:paraId="25E0B441" w14:textId="77777777" w:rsidR="00000000" w:rsidRPr="00BE00C7" w:rsidRDefault="00000000" w:rsidP="00BE00C7">
            <w:pPr>
              <w:pStyle w:val="OutcomeDescription"/>
              <w:spacing w:before="120" w:after="120"/>
              <w:rPr>
                <w:rFonts w:cs="Arial"/>
                <w:lang w:eastAsia="en-NZ"/>
              </w:rPr>
            </w:pPr>
          </w:p>
        </w:tc>
      </w:tr>
      <w:tr w:rsidR="002B3594" w14:paraId="3FC9FDF1" w14:textId="77777777">
        <w:tc>
          <w:tcPr>
            <w:tcW w:w="0" w:type="auto"/>
          </w:tcPr>
          <w:p w14:paraId="3B0003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A918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EE33DB" w14:textId="77777777" w:rsidR="00000000" w:rsidRPr="00BE00C7" w:rsidRDefault="00000000" w:rsidP="00BE00C7">
            <w:pPr>
              <w:pStyle w:val="OutcomeDescription"/>
              <w:spacing w:before="120" w:after="120"/>
              <w:rPr>
                <w:rFonts w:cs="Arial"/>
                <w:lang w:eastAsia="en-NZ"/>
              </w:rPr>
            </w:pPr>
          </w:p>
        </w:tc>
        <w:tc>
          <w:tcPr>
            <w:tcW w:w="0" w:type="auto"/>
          </w:tcPr>
          <w:p w14:paraId="29480F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89A0DD"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governance structure led by the general manager (operations and clinical) monitors the use of restraint across the organisation and has responsibility for ensuring that restraint minimisation is achieved.</w:t>
            </w:r>
          </w:p>
          <w:p w14:paraId="56ED1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no restraint in use, and this has been the case since the previous audit.  Staff reported, and documentation evidenced, that staff have been trained in the least restrictive practice, safe restraint practice, alternative cultural-specific interventions, and de-escalation techniques. </w:t>
            </w:r>
          </w:p>
          <w:p w14:paraId="606A39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Maintaining a restraint-free environment is the aim of the service. Any use of restraint is reported to the governing body.</w:t>
            </w:r>
          </w:p>
          <w:p w14:paraId="66254B63" w14:textId="77777777" w:rsidR="00000000" w:rsidRPr="00BE00C7" w:rsidRDefault="00000000" w:rsidP="00BE00C7">
            <w:pPr>
              <w:pStyle w:val="OutcomeDescription"/>
              <w:spacing w:before="120" w:after="120"/>
              <w:rPr>
                <w:rFonts w:cs="Arial"/>
                <w:lang w:eastAsia="en-NZ"/>
              </w:rPr>
            </w:pPr>
          </w:p>
        </w:tc>
      </w:tr>
    </w:tbl>
    <w:p w14:paraId="431FCC6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5F0B088" w14:textId="77777777" w:rsidR="00000000" w:rsidRDefault="00000000">
      <w:pPr>
        <w:pStyle w:val="Heading1"/>
        <w:rPr>
          <w:rFonts w:cs="Arial"/>
        </w:rPr>
      </w:pPr>
      <w:r>
        <w:rPr>
          <w:rFonts w:cs="Arial"/>
        </w:rPr>
        <w:lastRenderedPageBreak/>
        <w:t>Specific results for criterion where corrective actions are required</w:t>
      </w:r>
    </w:p>
    <w:p w14:paraId="6DB11E9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EF176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5621CE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306"/>
        <w:gridCol w:w="3840"/>
        <w:gridCol w:w="3116"/>
        <w:gridCol w:w="3134"/>
      </w:tblGrid>
      <w:tr w:rsidR="002B3594" w14:paraId="5328FF26" w14:textId="77777777">
        <w:tc>
          <w:tcPr>
            <w:tcW w:w="0" w:type="auto"/>
          </w:tcPr>
          <w:p w14:paraId="4FFB396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D732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BF67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6EC6E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6405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B3594" w14:paraId="6710AF1B" w14:textId="77777777">
        <w:tc>
          <w:tcPr>
            <w:tcW w:w="0" w:type="auto"/>
          </w:tcPr>
          <w:p w14:paraId="66D12B7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1.7.5</w:t>
            </w:r>
          </w:p>
          <w:p w14:paraId="017E870D" w14:textId="77777777" w:rsidR="00000000" w:rsidRPr="00BE00C7" w:rsidRDefault="00000000" w:rsidP="00BE00C7">
            <w:pPr>
              <w:pStyle w:val="OutcomeDescription"/>
              <w:spacing w:before="120" w:after="120"/>
              <w:rPr>
                <w:rFonts w:cs="Arial"/>
                <w:lang w:eastAsia="en-NZ"/>
              </w:rPr>
            </w:pPr>
            <w:r w:rsidRPr="00BE00C7">
              <w:rPr>
                <w:rFonts w:cs="Arial"/>
                <w:lang w:eastAsia="en-NZ"/>
              </w:rPr>
              <w:t>I shall give informed consent in accordance with the Code of Health and Disability Services Consumers’ Rights and operating policies.</w:t>
            </w:r>
          </w:p>
        </w:tc>
        <w:tc>
          <w:tcPr>
            <w:tcW w:w="0" w:type="auto"/>
          </w:tcPr>
          <w:p w14:paraId="6E0F9E0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82DE4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ensure residents and/or their legal representative are provided with information and give informed consent to care. Staff understood the principles of informed consent, including the processes for residents with impaired cognition who are unable to give consent themselves. Staff were observed to obtain verbal consent for cares, and this was confirmed in resident interviews.  </w:t>
            </w:r>
          </w:p>
          <w:p w14:paraId="439C7C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However, in two of seven files reviewed, no documented informed consent was found in the residents’ files. In a further two files, the informed consent documentation was signed by a person other than the resident when the resident did not have impaired cognition, </w:t>
            </w:r>
            <w:r w:rsidRPr="00BE00C7">
              <w:rPr>
                <w:rFonts w:cs="Arial"/>
                <w:lang w:eastAsia="en-NZ"/>
              </w:rPr>
              <w:lastRenderedPageBreak/>
              <w:t>and no Enduring Power of Attorney (EPOA) was in place or activated; in both files there was no evidence the resident had been involved in the discussion regarding informed consent.</w:t>
            </w:r>
          </w:p>
          <w:p w14:paraId="655F01C5" w14:textId="77777777" w:rsidR="00000000" w:rsidRPr="00BE00C7" w:rsidRDefault="00000000" w:rsidP="00BE00C7">
            <w:pPr>
              <w:pStyle w:val="OutcomeDescription"/>
              <w:spacing w:before="120" w:after="120"/>
              <w:rPr>
                <w:rFonts w:cs="Arial"/>
                <w:lang w:eastAsia="en-NZ"/>
              </w:rPr>
            </w:pPr>
          </w:p>
        </w:tc>
        <w:tc>
          <w:tcPr>
            <w:tcW w:w="0" w:type="auto"/>
          </w:tcPr>
          <w:p w14:paraId="08D3D3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Files reviewed evidenced not all residents had given informed consent to care. Two out of seven residents reviewed did not have documentation on file and for a further two residents there was no evidence they had been included in discussion and decision-making regarding their care.</w:t>
            </w:r>
          </w:p>
          <w:p w14:paraId="4153CC66" w14:textId="77777777" w:rsidR="00000000" w:rsidRPr="00BE00C7" w:rsidRDefault="00000000" w:rsidP="00BE00C7">
            <w:pPr>
              <w:pStyle w:val="OutcomeDescription"/>
              <w:spacing w:before="120" w:after="120"/>
              <w:rPr>
                <w:rFonts w:cs="Arial"/>
                <w:lang w:eastAsia="en-NZ"/>
              </w:rPr>
            </w:pPr>
          </w:p>
        </w:tc>
        <w:tc>
          <w:tcPr>
            <w:tcW w:w="0" w:type="auto"/>
          </w:tcPr>
          <w:p w14:paraId="46D52D8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residents have a documented informed consent on file and ensure there is evidence all residents who are cognitively able are involved in discussions and decisions regarding their care.</w:t>
            </w:r>
          </w:p>
          <w:p w14:paraId="7B3FC6DD" w14:textId="77777777" w:rsidR="00000000" w:rsidRPr="00BE00C7" w:rsidRDefault="00000000" w:rsidP="00BE00C7">
            <w:pPr>
              <w:pStyle w:val="OutcomeDescription"/>
              <w:spacing w:before="120" w:after="120"/>
              <w:rPr>
                <w:rFonts w:cs="Arial"/>
                <w:lang w:eastAsia="en-NZ"/>
              </w:rPr>
            </w:pPr>
          </w:p>
          <w:p w14:paraId="58BD090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B3594" w14:paraId="0017EA6E" w14:textId="77777777">
        <w:tc>
          <w:tcPr>
            <w:tcW w:w="0" w:type="auto"/>
          </w:tcPr>
          <w:p w14:paraId="061A7CE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4137229B"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7B3768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C3226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an orientation and induction programme covering the service's essential components. An orientation form is completed and signed off before filing. However, five of the eight staff files reviewed did not evidence this.</w:t>
            </w:r>
          </w:p>
          <w:p w14:paraId="340B8C54" w14:textId="77777777" w:rsidR="00000000" w:rsidRPr="00BE00C7" w:rsidRDefault="00000000" w:rsidP="00BE00C7">
            <w:pPr>
              <w:pStyle w:val="OutcomeDescription"/>
              <w:spacing w:before="120" w:after="120"/>
              <w:rPr>
                <w:rFonts w:cs="Arial"/>
                <w:lang w:eastAsia="en-NZ"/>
              </w:rPr>
            </w:pPr>
          </w:p>
        </w:tc>
        <w:tc>
          <w:tcPr>
            <w:tcW w:w="0" w:type="auto"/>
          </w:tcPr>
          <w:p w14:paraId="3A135439"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of the seven staff files had no evidence of completed orientation.</w:t>
            </w:r>
          </w:p>
          <w:p w14:paraId="1292E328" w14:textId="77777777" w:rsidR="00000000" w:rsidRPr="00BE00C7" w:rsidRDefault="00000000" w:rsidP="00BE00C7">
            <w:pPr>
              <w:pStyle w:val="OutcomeDescription"/>
              <w:spacing w:before="120" w:after="120"/>
              <w:rPr>
                <w:rFonts w:cs="Arial"/>
                <w:lang w:eastAsia="en-NZ"/>
              </w:rPr>
            </w:pPr>
          </w:p>
        </w:tc>
        <w:tc>
          <w:tcPr>
            <w:tcW w:w="0" w:type="auto"/>
          </w:tcPr>
          <w:p w14:paraId="28211DD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orientation is completed for all staff as per policy and standard requirements.</w:t>
            </w:r>
          </w:p>
          <w:p w14:paraId="1982B6AC" w14:textId="77777777" w:rsidR="00000000" w:rsidRPr="00BE00C7" w:rsidRDefault="00000000" w:rsidP="00BE00C7">
            <w:pPr>
              <w:pStyle w:val="OutcomeDescription"/>
              <w:spacing w:before="120" w:after="120"/>
              <w:rPr>
                <w:rFonts w:cs="Arial"/>
                <w:lang w:eastAsia="en-NZ"/>
              </w:rPr>
            </w:pPr>
          </w:p>
          <w:p w14:paraId="46A697B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B3594" w14:paraId="028ED2B9" w14:textId="77777777">
        <w:tc>
          <w:tcPr>
            <w:tcW w:w="0" w:type="auto"/>
          </w:tcPr>
          <w:p w14:paraId="30893D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1C0372C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B57E0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3BAB7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planning is completed by a registered nurse following comprehensive assessment. Policy is in place to guide staff on timing of initial assessments and care planning. However, not all resident files reviewed had evidence of an initial assessment and care plan and not all interRAI assessments and long-term care plans were completed within contractually required timeframes following admission. Three out of seven resident files reviewed had no initial care plan, four residents reviewed did not have an interRAI assessment completed within 21 days of admission, and four residents did not have a long-term care plan completed within 21 days of admission.</w:t>
            </w:r>
          </w:p>
          <w:p w14:paraId="5D2EC6E8" w14:textId="77777777" w:rsidR="00000000" w:rsidRPr="00BE00C7" w:rsidRDefault="00000000" w:rsidP="00BE00C7">
            <w:pPr>
              <w:pStyle w:val="OutcomeDescription"/>
              <w:spacing w:before="120" w:after="120"/>
              <w:rPr>
                <w:rFonts w:cs="Arial"/>
                <w:lang w:eastAsia="en-NZ"/>
              </w:rPr>
            </w:pPr>
          </w:p>
        </w:tc>
        <w:tc>
          <w:tcPr>
            <w:tcW w:w="0" w:type="auto"/>
          </w:tcPr>
          <w:p w14:paraId="66918CB8"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timeframes for the completion of initial care planning, interRAI assessment and long-term care planning met policy and contractually required timeframes.</w:t>
            </w:r>
          </w:p>
          <w:p w14:paraId="78D051E5" w14:textId="77777777" w:rsidR="00000000" w:rsidRPr="00BE00C7" w:rsidRDefault="00000000" w:rsidP="00BE00C7">
            <w:pPr>
              <w:pStyle w:val="OutcomeDescription"/>
              <w:spacing w:before="120" w:after="120"/>
              <w:rPr>
                <w:rFonts w:cs="Arial"/>
                <w:lang w:eastAsia="en-NZ"/>
              </w:rPr>
            </w:pPr>
          </w:p>
        </w:tc>
        <w:tc>
          <w:tcPr>
            <w:tcW w:w="0" w:type="auto"/>
          </w:tcPr>
          <w:p w14:paraId="6AE2C35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residents have an initial care plan completed with 24 hours of admission as required by policy and that all long-term residents have an interRAI assessment and long-term care plan completed with 21 days of admission as required by the provider’s contract with Health New Zealand Southern.</w:t>
            </w:r>
          </w:p>
          <w:p w14:paraId="186CB1E8" w14:textId="77777777" w:rsidR="00000000" w:rsidRPr="00BE00C7" w:rsidRDefault="00000000" w:rsidP="00BE00C7">
            <w:pPr>
              <w:pStyle w:val="OutcomeDescription"/>
              <w:spacing w:before="120" w:after="120"/>
              <w:rPr>
                <w:rFonts w:cs="Arial"/>
                <w:lang w:eastAsia="en-NZ"/>
              </w:rPr>
            </w:pPr>
          </w:p>
          <w:p w14:paraId="1CF1C7E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B3594" w14:paraId="386483D2" w14:textId="77777777">
        <w:tc>
          <w:tcPr>
            <w:tcW w:w="0" w:type="auto"/>
          </w:tcPr>
          <w:p w14:paraId="3C36A2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3.2.5</w:t>
            </w:r>
          </w:p>
          <w:p w14:paraId="1708CBE9"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7836B95" w14:textId="77777777" w:rsidR="00000000" w:rsidRPr="00BE00C7" w:rsidRDefault="00000000" w:rsidP="00BE00C7">
            <w:pPr>
              <w:pStyle w:val="OutcomeDescription"/>
              <w:spacing w:before="120" w:after="120"/>
              <w:rPr>
                <w:rFonts w:cs="Arial"/>
                <w:lang w:eastAsia="en-NZ"/>
              </w:rPr>
            </w:pPr>
          </w:p>
        </w:tc>
        <w:tc>
          <w:tcPr>
            <w:tcW w:w="0" w:type="auto"/>
          </w:tcPr>
          <w:p w14:paraId="17C306F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EF621D"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General practitioner reviews occur at a minimum of three-monthly, and files evidenced resident and whānau input.  Review and evaluation of care occur daily by registered nurses and are recorded in high quality progress notes. These progress notes evidenced that nurses are identifying the changing needs of residents and recording their progress towards goals. Assessments are of high quality and are completed regularly. Residents and whānau interviewed were happy with the level of care provided and felt their needs were being met. However, changes required to the resident’s care plan are not always identified and the care plan is not always updated to reflect the resident's current needs. This included:</w:t>
            </w:r>
          </w:p>
          <w:p w14:paraId="0D93BC5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Care planning for two residents not being updated to include interventions requested by a speech language therapist, physiotherapist and occupational therapist.</w:t>
            </w:r>
          </w:p>
          <w:p w14:paraId="77AD2C3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resident with a wound had no wound care plan in place and planning for a resident with an unstageable pressure injury did not include referral for specialist wound care input.</w:t>
            </w:r>
          </w:p>
          <w:p w14:paraId="49865FA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Care planning for a resident who had a course of radiotherapy included no skin care regime.</w:t>
            </w:r>
          </w:p>
          <w:p w14:paraId="43102E2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Long-term care planning was not updated following interRAI assessment for two residents reviewed.</w:t>
            </w:r>
          </w:p>
          <w:p w14:paraId="5EC79FFA" w14:textId="77777777" w:rsidR="00000000" w:rsidRPr="00BE00C7" w:rsidRDefault="00000000" w:rsidP="00BE00C7">
            <w:pPr>
              <w:pStyle w:val="OutcomeDescription"/>
              <w:spacing w:before="120" w:after="120"/>
              <w:rPr>
                <w:rFonts w:cs="Arial"/>
                <w:lang w:eastAsia="en-NZ"/>
              </w:rPr>
            </w:pPr>
          </w:p>
        </w:tc>
        <w:tc>
          <w:tcPr>
            <w:tcW w:w="0" w:type="auto"/>
          </w:tcPr>
          <w:p w14:paraId="2B5125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Changes required to a resident’s care or support plan are not always identified through the ongoing assessment and review process, and updates to the care plan are not always made to reflect the resident's needs.</w:t>
            </w:r>
          </w:p>
          <w:p w14:paraId="6323ACC5" w14:textId="77777777" w:rsidR="00000000" w:rsidRPr="00BE00C7" w:rsidRDefault="00000000" w:rsidP="00BE00C7">
            <w:pPr>
              <w:pStyle w:val="OutcomeDescription"/>
              <w:spacing w:before="120" w:after="120"/>
              <w:rPr>
                <w:rFonts w:cs="Arial"/>
                <w:lang w:eastAsia="en-NZ"/>
              </w:rPr>
            </w:pPr>
          </w:p>
        </w:tc>
        <w:tc>
          <w:tcPr>
            <w:tcW w:w="0" w:type="auto"/>
          </w:tcPr>
          <w:p w14:paraId="6AA7DB1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resident care plans are updated following interRAI assessment and when changes to a resident's needs are identified through the ongoing assessment and review process.</w:t>
            </w:r>
          </w:p>
          <w:p w14:paraId="448D76F8" w14:textId="77777777" w:rsidR="00000000" w:rsidRPr="00BE00C7" w:rsidRDefault="00000000" w:rsidP="00BE00C7">
            <w:pPr>
              <w:pStyle w:val="OutcomeDescription"/>
              <w:spacing w:before="120" w:after="120"/>
              <w:rPr>
                <w:rFonts w:cs="Arial"/>
                <w:lang w:eastAsia="en-NZ"/>
              </w:rPr>
            </w:pPr>
          </w:p>
          <w:p w14:paraId="0219F1F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B3594" w14:paraId="3A749278" w14:textId="77777777">
        <w:tc>
          <w:tcPr>
            <w:tcW w:w="0" w:type="auto"/>
          </w:tcPr>
          <w:p w14:paraId="0321E92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46F97FAA"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CA36D1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49CA4A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prescribed on an electronic system and dispensed by the contracted pharmacy. However, not all aspects of medication storage and management met the required standards:</w:t>
            </w:r>
          </w:p>
          <w:p w14:paraId="18669057"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Not all prescribed medication contained a legible label with the required information including the resident’s name and prescription details. This included 12 inhalers, and a nasal spray where the pharmacy label was absent, and the name of the prescriber and the administration instructions were not present.</w:t>
            </w:r>
          </w:p>
          <w:p w14:paraId="31BC070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Individually dispensed medications were being used as communal stock and being administered to multiple residents.</w:t>
            </w:r>
          </w:p>
          <w:p w14:paraId="1565DAC7" w14:textId="77777777" w:rsidR="00000000" w:rsidRPr="00BE00C7" w:rsidRDefault="00000000" w:rsidP="00BE00C7">
            <w:pPr>
              <w:pStyle w:val="OutcomeDescription"/>
              <w:spacing w:before="120" w:after="120"/>
              <w:rPr>
                <w:rFonts w:cs="Arial"/>
                <w:lang w:eastAsia="en-NZ"/>
              </w:rPr>
            </w:pPr>
            <w:r w:rsidRPr="00BE00C7">
              <w:rPr>
                <w:rFonts w:cs="Arial"/>
                <w:lang w:eastAsia="en-NZ"/>
              </w:rPr>
              <w:t>Corrective action was taken on the day of audit. Because action was taken promptly and appropriately to rectify the problem and a plan is in place to monitor progress ensuring this does not happen again, the finding is rated low risk; however, the time frame is 30 days.</w:t>
            </w:r>
          </w:p>
          <w:p w14:paraId="7F86D237" w14:textId="77777777" w:rsidR="00000000" w:rsidRPr="00BE00C7" w:rsidRDefault="00000000" w:rsidP="00BE00C7">
            <w:pPr>
              <w:pStyle w:val="OutcomeDescription"/>
              <w:spacing w:before="120" w:after="120"/>
              <w:rPr>
                <w:rFonts w:cs="Arial"/>
                <w:lang w:eastAsia="en-NZ"/>
              </w:rPr>
            </w:pPr>
          </w:p>
        </w:tc>
        <w:tc>
          <w:tcPr>
            <w:tcW w:w="0" w:type="auto"/>
          </w:tcPr>
          <w:p w14:paraId="723B8495"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elements of the medication management system met the expected standard for the safe administration of medications.</w:t>
            </w:r>
          </w:p>
          <w:p w14:paraId="705A4B07" w14:textId="77777777" w:rsidR="00000000" w:rsidRPr="00BE00C7" w:rsidRDefault="00000000" w:rsidP="00BE00C7">
            <w:pPr>
              <w:pStyle w:val="OutcomeDescription"/>
              <w:spacing w:before="120" w:after="120"/>
              <w:rPr>
                <w:rFonts w:cs="Arial"/>
                <w:lang w:eastAsia="en-NZ"/>
              </w:rPr>
            </w:pPr>
          </w:p>
        </w:tc>
        <w:tc>
          <w:tcPr>
            <w:tcW w:w="0" w:type="auto"/>
          </w:tcPr>
          <w:p w14:paraId="52FD31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will ensure medications are labelled correctly with a pharmacy label including the prescriber’s name and prescription details and that individually dispensed medications are not used as communal stock.</w:t>
            </w:r>
          </w:p>
          <w:p w14:paraId="5672DC9F" w14:textId="77777777" w:rsidR="00000000" w:rsidRPr="00BE00C7" w:rsidRDefault="00000000" w:rsidP="00BE00C7">
            <w:pPr>
              <w:pStyle w:val="OutcomeDescription"/>
              <w:spacing w:before="120" w:after="120"/>
              <w:rPr>
                <w:rFonts w:cs="Arial"/>
                <w:lang w:eastAsia="en-NZ"/>
              </w:rPr>
            </w:pPr>
          </w:p>
          <w:p w14:paraId="0F869E53"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2B3594" w14:paraId="0D003BB7" w14:textId="77777777">
        <w:tc>
          <w:tcPr>
            <w:tcW w:w="0" w:type="auto"/>
          </w:tcPr>
          <w:p w14:paraId="2523E7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6D84486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 xml:space="preserve">(a) Developed by those with </w:t>
            </w:r>
            <w:r w:rsidRPr="00BE00C7">
              <w:rPr>
                <w:rFonts w:cs="Arial"/>
                <w:lang w:eastAsia="en-NZ"/>
              </w:rPr>
              <w:lastRenderedPageBreak/>
              <w:t>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06D9ABAD" w14:textId="77777777" w:rsidR="00000000" w:rsidRPr="00BE00C7" w:rsidRDefault="00000000" w:rsidP="00BE00C7">
            <w:pPr>
              <w:pStyle w:val="OutcomeDescription"/>
              <w:spacing w:before="120" w:after="120"/>
              <w:rPr>
                <w:rFonts w:cs="Arial"/>
                <w:lang w:eastAsia="en-NZ"/>
              </w:rPr>
            </w:pPr>
          </w:p>
        </w:tc>
        <w:tc>
          <w:tcPr>
            <w:tcW w:w="0" w:type="auto"/>
          </w:tcPr>
          <w:p w14:paraId="679BB7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BE831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office of New Zealand Aged Care Service has developed an IP programme with input from those with IP expertise. This has been approved by the governance body. The programme is linked to quality improvements. </w:t>
            </w:r>
            <w:r w:rsidRPr="00BE00C7">
              <w:rPr>
                <w:rFonts w:cs="Arial"/>
                <w:lang w:eastAsia="en-NZ"/>
              </w:rPr>
              <w:lastRenderedPageBreak/>
              <w:t>However, as the programme is new, there was no evidence of annual review or reporting.</w:t>
            </w:r>
          </w:p>
          <w:p w14:paraId="75C9AEF9" w14:textId="77777777" w:rsidR="00000000" w:rsidRPr="00BE00C7" w:rsidRDefault="00000000" w:rsidP="00BE00C7">
            <w:pPr>
              <w:pStyle w:val="OutcomeDescription"/>
              <w:spacing w:before="120" w:after="120"/>
              <w:rPr>
                <w:rFonts w:cs="Arial"/>
                <w:lang w:eastAsia="en-NZ"/>
              </w:rPr>
            </w:pPr>
          </w:p>
        </w:tc>
        <w:tc>
          <w:tcPr>
            <w:tcW w:w="0" w:type="auto"/>
          </w:tcPr>
          <w:p w14:paraId="554A7B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was no evidence of annual review or reporting against the IP programme.</w:t>
            </w:r>
          </w:p>
          <w:p w14:paraId="2581C590" w14:textId="77777777" w:rsidR="00000000" w:rsidRPr="00BE00C7" w:rsidRDefault="00000000" w:rsidP="00BE00C7">
            <w:pPr>
              <w:pStyle w:val="OutcomeDescription"/>
              <w:spacing w:before="120" w:after="120"/>
              <w:rPr>
                <w:rFonts w:cs="Arial"/>
                <w:lang w:eastAsia="en-NZ"/>
              </w:rPr>
            </w:pPr>
          </w:p>
        </w:tc>
        <w:tc>
          <w:tcPr>
            <w:tcW w:w="0" w:type="auto"/>
          </w:tcPr>
          <w:p w14:paraId="7E84E63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newly developed IP programme is reviewed and reported on annually.</w:t>
            </w:r>
          </w:p>
          <w:p w14:paraId="4B8017E8" w14:textId="77777777" w:rsidR="00000000" w:rsidRPr="00BE00C7" w:rsidRDefault="00000000" w:rsidP="00BE00C7">
            <w:pPr>
              <w:pStyle w:val="OutcomeDescription"/>
              <w:spacing w:before="120" w:after="120"/>
              <w:rPr>
                <w:rFonts w:cs="Arial"/>
                <w:lang w:eastAsia="en-NZ"/>
              </w:rPr>
            </w:pPr>
          </w:p>
          <w:p w14:paraId="0C21EFF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5CFF928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3A61878" w14:textId="77777777" w:rsidR="00000000" w:rsidRDefault="00000000">
      <w:pPr>
        <w:pStyle w:val="Heading1"/>
        <w:rPr>
          <w:rFonts w:cs="Arial"/>
        </w:rPr>
      </w:pPr>
      <w:r>
        <w:rPr>
          <w:rFonts w:cs="Arial"/>
        </w:rPr>
        <w:lastRenderedPageBreak/>
        <w:t>Specific results for criterion where a continuous improvement has been recorded</w:t>
      </w:r>
    </w:p>
    <w:p w14:paraId="260586F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D18781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EC4F96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B3594" w14:paraId="7A1C15BB" w14:textId="77777777">
        <w:tc>
          <w:tcPr>
            <w:tcW w:w="0" w:type="auto"/>
          </w:tcPr>
          <w:p w14:paraId="15A1C55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27AAE8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7874EB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F065" w14:textId="77777777" w:rsidR="00AC4EF0" w:rsidRDefault="00AC4EF0">
      <w:r>
        <w:separator/>
      </w:r>
    </w:p>
  </w:endnote>
  <w:endnote w:type="continuationSeparator" w:id="0">
    <w:p w14:paraId="0B4F0D25" w14:textId="77777777" w:rsidR="00AC4EF0" w:rsidRDefault="00AC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A33B" w14:textId="77777777" w:rsidR="00000000" w:rsidRDefault="00000000">
    <w:pPr>
      <w:pStyle w:val="Footer"/>
    </w:pPr>
  </w:p>
  <w:p w14:paraId="3C64CC1A" w14:textId="77777777" w:rsidR="00000000" w:rsidRDefault="00000000"/>
  <w:p w14:paraId="01F6C7B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A8B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Oxford Court Limited - Oxford Court</w:t>
    </w:r>
    <w:bookmarkEnd w:id="59"/>
    <w:r>
      <w:rPr>
        <w:rFonts w:cs="Arial"/>
        <w:sz w:val="16"/>
        <w:szCs w:val="20"/>
      </w:rPr>
      <w:tab/>
      <w:t xml:space="preserve">Date of Audit: </w:t>
    </w:r>
    <w:bookmarkStart w:id="60" w:name="AuditStartDate1"/>
    <w:r>
      <w:rPr>
        <w:rFonts w:cs="Arial"/>
        <w:sz w:val="16"/>
        <w:szCs w:val="20"/>
      </w:rPr>
      <w:t>23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ADDE3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821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22A7" w14:textId="77777777" w:rsidR="00AC4EF0" w:rsidRDefault="00AC4EF0">
      <w:r>
        <w:separator/>
      </w:r>
    </w:p>
  </w:footnote>
  <w:footnote w:type="continuationSeparator" w:id="0">
    <w:p w14:paraId="038BAB77" w14:textId="77777777" w:rsidR="00AC4EF0" w:rsidRDefault="00AC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4E48" w14:textId="77777777" w:rsidR="00000000" w:rsidRDefault="00000000">
    <w:pPr>
      <w:pStyle w:val="Header"/>
    </w:pPr>
  </w:p>
  <w:p w14:paraId="5519D20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19AA" w14:textId="77777777" w:rsidR="00000000" w:rsidRDefault="00000000">
    <w:pPr>
      <w:pStyle w:val="Header"/>
    </w:pPr>
  </w:p>
  <w:p w14:paraId="2CB955F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C35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554A4C4">
      <w:start w:val="1"/>
      <w:numFmt w:val="decimal"/>
      <w:lvlText w:val="%1."/>
      <w:lvlJc w:val="left"/>
      <w:pPr>
        <w:ind w:left="360" w:hanging="360"/>
      </w:pPr>
    </w:lvl>
    <w:lvl w:ilvl="1" w:tplc="5F5CC494" w:tentative="1">
      <w:start w:val="1"/>
      <w:numFmt w:val="lowerLetter"/>
      <w:lvlText w:val="%2."/>
      <w:lvlJc w:val="left"/>
      <w:pPr>
        <w:ind w:left="1080" w:hanging="360"/>
      </w:pPr>
    </w:lvl>
    <w:lvl w:ilvl="2" w:tplc="05948000" w:tentative="1">
      <w:start w:val="1"/>
      <w:numFmt w:val="lowerRoman"/>
      <w:lvlText w:val="%3."/>
      <w:lvlJc w:val="right"/>
      <w:pPr>
        <w:ind w:left="1800" w:hanging="180"/>
      </w:pPr>
    </w:lvl>
    <w:lvl w:ilvl="3" w:tplc="0462995E" w:tentative="1">
      <w:start w:val="1"/>
      <w:numFmt w:val="decimal"/>
      <w:lvlText w:val="%4."/>
      <w:lvlJc w:val="left"/>
      <w:pPr>
        <w:ind w:left="2520" w:hanging="360"/>
      </w:pPr>
    </w:lvl>
    <w:lvl w:ilvl="4" w:tplc="1E6EB2F8" w:tentative="1">
      <w:start w:val="1"/>
      <w:numFmt w:val="lowerLetter"/>
      <w:lvlText w:val="%5."/>
      <w:lvlJc w:val="left"/>
      <w:pPr>
        <w:ind w:left="3240" w:hanging="360"/>
      </w:pPr>
    </w:lvl>
    <w:lvl w:ilvl="5" w:tplc="4022C3E4" w:tentative="1">
      <w:start w:val="1"/>
      <w:numFmt w:val="lowerRoman"/>
      <w:lvlText w:val="%6."/>
      <w:lvlJc w:val="right"/>
      <w:pPr>
        <w:ind w:left="3960" w:hanging="180"/>
      </w:pPr>
    </w:lvl>
    <w:lvl w:ilvl="6" w:tplc="7C228BFA" w:tentative="1">
      <w:start w:val="1"/>
      <w:numFmt w:val="decimal"/>
      <w:lvlText w:val="%7."/>
      <w:lvlJc w:val="left"/>
      <w:pPr>
        <w:ind w:left="4680" w:hanging="360"/>
      </w:pPr>
    </w:lvl>
    <w:lvl w:ilvl="7" w:tplc="7D36F5FE" w:tentative="1">
      <w:start w:val="1"/>
      <w:numFmt w:val="lowerLetter"/>
      <w:lvlText w:val="%8."/>
      <w:lvlJc w:val="left"/>
      <w:pPr>
        <w:ind w:left="5400" w:hanging="360"/>
      </w:pPr>
    </w:lvl>
    <w:lvl w:ilvl="8" w:tplc="B73C06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B628EA">
      <w:start w:val="1"/>
      <w:numFmt w:val="bullet"/>
      <w:lvlText w:val=""/>
      <w:lvlJc w:val="left"/>
      <w:pPr>
        <w:ind w:left="720" w:hanging="360"/>
      </w:pPr>
      <w:rPr>
        <w:rFonts w:ascii="Symbol" w:hAnsi="Symbol" w:hint="default"/>
      </w:rPr>
    </w:lvl>
    <w:lvl w:ilvl="1" w:tplc="0AB62222" w:tentative="1">
      <w:start w:val="1"/>
      <w:numFmt w:val="bullet"/>
      <w:lvlText w:val="o"/>
      <w:lvlJc w:val="left"/>
      <w:pPr>
        <w:ind w:left="1440" w:hanging="360"/>
      </w:pPr>
      <w:rPr>
        <w:rFonts w:ascii="Courier New" w:hAnsi="Courier New" w:cs="Courier New" w:hint="default"/>
      </w:rPr>
    </w:lvl>
    <w:lvl w:ilvl="2" w:tplc="EDFEA83C" w:tentative="1">
      <w:start w:val="1"/>
      <w:numFmt w:val="bullet"/>
      <w:lvlText w:val=""/>
      <w:lvlJc w:val="left"/>
      <w:pPr>
        <w:ind w:left="2160" w:hanging="360"/>
      </w:pPr>
      <w:rPr>
        <w:rFonts w:ascii="Wingdings" w:hAnsi="Wingdings" w:hint="default"/>
      </w:rPr>
    </w:lvl>
    <w:lvl w:ilvl="3" w:tplc="B9AA59F4" w:tentative="1">
      <w:start w:val="1"/>
      <w:numFmt w:val="bullet"/>
      <w:lvlText w:val=""/>
      <w:lvlJc w:val="left"/>
      <w:pPr>
        <w:ind w:left="2880" w:hanging="360"/>
      </w:pPr>
      <w:rPr>
        <w:rFonts w:ascii="Symbol" w:hAnsi="Symbol" w:hint="default"/>
      </w:rPr>
    </w:lvl>
    <w:lvl w:ilvl="4" w:tplc="3AE6FE7E" w:tentative="1">
      <w:start w:val="1"/>
      <w:numFmt w:val="bullet"/>
      <w:lvlText w:val="o"/>
      <w:lvlJc w:val="left"/>
      <w:pPr>
        <w:ind w:left="3600" w:hanging="360"/>
      </w:pPr>
      <w:rPr>
        <w:rFonts w:ascii="Courier New" w:hAnsi="Courier New" w:cs="Courier New" w:hint="default"/>
      </w:rPr>
    </w:lvl>
    <w:lvl w:ilvl="5" w:tplc="B8646BF4" w:tentative="1">
      <w:start w:val="1"/>
      <w:numFmt w:val="bullet"/>
      <w:lvlText w:val=""/>
      <w:lvlJc w:val="left"/>
      <w:pPr>
        <w:ind w:left="4320" w:hanging="360"/>
      </w:pPr>
      <w:rPr>
        <w:rFonts w:ascii="Wingdings" w:hAnsi="Wingdings" w:hint="default"/>
      </w:rPr>
    </w:lvl>
    <w:lvl w:ilvl="6" w:tplc="F55451CA" w:tentative="1">
      <w:start w:val="1"/>
      <w:numFmt w:val="bullet"/>
      <w:lvlText w:val=""/>
      <w:lvlJc w:val="left"/>
      <w:pPr>
        <w:ind w:left="5040" w:hanging="360"/>
      </w:pPr>
      <w:rPr>
        <w:rFonts w:ascii="Symbol" w:hAnsi="Symbol" w:hint="default"/>
      </w:rPr>
    </w:lvl>
    <w:lvl w:ilvl="7" w:tplc="390E36F6" w:tentative="1">
      <w:start w:val="1"/>
      <w:numFmt w:val="bullet"/>
      <w:lvlText w:val="o"/>
      <w:lvlJc w:val="left"/>
      <w:pPr>
        <w:ind w:left="5760" w:hanging="360"/>
      </w:pPr>
      <w:rPr>
        <w:rFonts w:ascii="Courier New" w:hAnsi="Courier New" w:cs="Courier New" w:hint="default"/>
      </w:rPr>
    </w:lvl>
    <w:lvl w:ilvl="8" w:tplc="008EC7BA" w:tentative="1">
      <w:start w:val="1"/>
      <w:numFmt w:val="bullet"/>
      <w:lvlText w:val=""/>
      <w:lvlJc w:val="left"/>
      <w:pPr>
        <w:ind w:left="6480" w:hanging="360"/>
      </w:pPr>
      <w:rPr>
        <w:rFonts w:ascii="Wingdings" w:hAnsi="Wingdings" w:hint="default"/>
      </w:rPr>
    </w:lvl>
  </w:abstractNum>
  <w:num w:numId="1" w16cid:durableId="899562087">
    <w:abstractNumId w:val="1"/>
  </w:num>
  <w:num w:numId="2" w16cid:durableId="121611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94"/>
    <w:rsid w:val="002B3594"/>
    <w:rsid w:val="003C4AE6"/>
    <w:rsid w:val="00AC4E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859C"/>
  <w15:docId w15:val="{B2749945-3488-42FE-8668-376113BD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7838</Words>
  <Characters>44677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2025-03-11T01:59:00Z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