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7577" w14:textId="77777777" w:rsidR="00000000" w:rsidRDefault="00000000">
      <w:pPr>
        <w:pStyle w:val="Heading1"/>
        <w:rPr>
          <w:rFonts w:cs="Arial"/>
        </w:rPr>
      </w:pPr>
      <w:bookmarkStart w:id="0" w:name="PRMS_RIName"/>
      <w:r>
        <w:rPr>
          <w:rFonts w:cs="Arial"/>
        </w:rPr>
        <w:t>CHT Healthcare Trust - CHT Glynavon</w:t>
      </w:r>
      <w:bookmarkEnd w:id="0"/>
    </w:p>
    <w:p w14:paraId="4D21322B" w14:textId="77777777" w:rsidR="00000000" w:rsidRDefault="00000000">
      <w:pPr>
        <w:pStyle w:val="Heading2"/>
        <w:spacing w:after="0"/>
        <w:rPr>
          <w:rFonts w:cs="Arial"/>
        </w:rPr>
      </w:pPr>
      <w:r>
        <w:rPr>
          <w:rFonts w:cs="Arial"/>
        </w:rPr>
        <w:t>Introduction</w:t>
      </w:r>
    </w:p>
    <w:p w14:paraId="0D8E7098"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C8229F2"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89001A2"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79B59B9"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DCDFF0C" w14:textId="77777777" w:rsidR="00000000" w:rsidRDefault="00000000">
      <w:pPr>
        <w:spacing w:before="240" w:after="240"/>
        <w:rPr>
          <w:rFonts w:cs="Arial"/>
          <w:lang w:eastAsia="en-NZ"/>
        </w:rPr>
      </w:pPr>
      <w:r>
        <w:rPr>
          <w:rFonts w:cs="Arial"/>
          <w:lang w:eastAsia="en-NZ"/>
        </w:rPr>
        <w:t>The specifics of this audit included:</w:t>
      </w:r>
    </w:p>
    <w:p w14:paraId="72BE5E53"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C3596B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7EE4521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CHT </w:t>
      </w:r>
      <w:r>
        <w:rPr>
          <w:rFonts w:cs="Arial"/>
        </w:rPr>
        <w:t>Glynavon</w:t>
      </w:r>
      <w:bookmarkEnd w:id="5"/>
    </w:p>
    <w:p w14:paraId="182DDAC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22ED48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December 2024</w:t>
      </w:r>
      <w:bookmarkEnd w:id="7"/>
      <w:r w:rsidRPr="009418D4">
        <w:rPr>
          <w:rFonts w:cs="Arial"/>
        </w:rPr>
        <w:tab/>
        <w:t xml:space="preserve">End date: </w:t>
      </w:r>
      <w:bookmarkStart w:id="8" w:name="AuditEndDate"/>
      <w:r>
        <w:rPr>
          <w:rFonts w:cs="Arial"/>
        </w:rPr>
        <w:t>17 December 2024</w:t>
      </w:r>
      <w:bookmarkEnd w:id="8"/>
    </w:p>
    <w:p w14:paraId="499CA094"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8C91D91" w14:textId="77777777" w:rsidR="00D1096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7680084F"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8CBA73A" w14:textId="77777777" w:rsidR="00000000" w:rsidRDefault="00000000">
      <w:pPr>
        <w:pStyle w:val="Heading1"/>
        <w:rPr>
          <w:rFonts w:cs="Arial"/>
        </w:rPr>
      </w:pPr>
      <w:r>
        <w:rPr>
          <w:rFonts w:cs="Arial"/>
        </w:rPr>
        <w:lastRenderedPageBreak/>
        <w:t>Executive summary of the audit</w:t>
      </w:r>
    </w:p>
    <w:p w14:paraId="27DB1E89" w14:textId="77777777" w:rsidR="00000000" w:rsidRDefault="00000000">
      <w:pPr>
        <w:pStyle w:val="Heading2"/>
        <w:rPr>
          <w:rFonts w:cs="Arial"/>
        </w:rPr>
      </w:pPr>
      <w:r>
        <w:rPr>
          <w:rFonts w:cs="Arial"/>
        </w:rPr>
        <w:t>Introduction</w:t>
      </w:r>
    </w:p>
    <w:p w14:paraId="1C2F25AB"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7C4D7ED"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59C91E4"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29595CB"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FA06EE7"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8CB6BCF"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EF3C084"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82D330A"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90BCB1E"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D10968" w14:paraId="3CE77C65" w14:textId="77777777">
        <w:trPr>
          <w:cantSplit/>
          <w:tblHeader/>
        </w:trPr>
        <w:tc>
          <w:tcPr>
            <w:tcW w:w="1260" w:type="dxa"/>
            <w:tcBorders>
              <w:bottom w:val="single" w:sz="4" w:space="0" w:color="000000"/>
            </w:tcBorders>
            <w:vAlign w:val="center"/>
          </w:tcPr>
          <w:p w14:paraId="147C187D"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C43E09"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E8CDC2D" w14:textId="77777777" w:rsidR="00000000" w:rsidRDefault="00000000">
            <w:pPr>
              <w:spacing w:before="60" w:after="60"/>
              <w:rPr>
                <w:rFonts w:eastAsia="Calibri"/>
                <w:b/>
                <w:szCs w:val="24"/>
              </w:rPr>
            </w:pPr>
            <w:r>
              <w:rPr>
                <w:rFonts w:eastAsia="Calibri"/>
                <w:b/>
                <w:szCs w:val="24"/>
              </w:rPr>
              <w:t>Definition</w:t>
            </w:r>
          </w:p>
        </w:tc>
      </w:tr>
      <w:tr w:rsidR="00D10968" w14:paraId="6C2F0B82" w14:textId="77777777">
        <w:trPr>
          <w:cantSplit/>
          <w:trHeight w:val="964"/>
        </w:trPr>
        <w:tc>
          <w:tcPr>
            <w:tcW w:w="1260" w:type="dxa"/>
            <w:tcBorders>
              <w:bottom w:val="single" w:sz="4" w:space="0" w:color="000000"/>
            </w:tcBorders>
            <w:shd w:val="clear" w:color="0066FF" w:fill="0000FF"/>
            <w:vAlign w:val="center"/>
          </w:tcPr>
          <w:p w14:paraId="179C0490"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767C1EE"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287BB73"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10968" w14:paraId="4EACDF6B" w14:textId="77777777">
        <w:trPr>
          <w:cantSplit/>
          <w:trHeight w:val="964"/>
        </w:trPr>
        <w:tc>
          <w:tcPr>
            <w:tcW w:w="1260" w:type="dxa"/>
            <w:shd w:val="clear" w:color="33CC33" w:fill="00FF00"/>
            <w:vAlign w:val="center"/>
          </w:tcPr>
          <w:p w14:paraId="63D9672C" w14:textId="77777777" w:rsidR="00000000" w:rsidRDefault="00000000">
            <w:pPr>
              <w:spacing w:before="60" w:after="60"/>
              <w:rPr>
                <w:rFonts w:eastAsia="Calibri"/>
                <w:szCs w:val="24"/>
              </w:rPr>
            </w:pPr>
          </w:p>
        </w:tc>
        <w:tc>
          <w:tcPr>
            <w:tcW w:w="7095" w:type="dxa"/>
            <w:shd w:val="clear" w:color="auto" w:fill="auto"/>
            <w:vAlign w:val="center"/>
          </w:tcPr>
          <w:p w14:paraId="2657E105"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4605516"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D10968" w14:paraId="17FC1181" w14:textId="77777777">
        <w:trPr>
          <w:cantSplit/>
          <w:trHeight w:val="964"/>
        </w:trPr>
        <w:tc>
          <w:tcPr>
            <w:tcW w:w="1260" w:type="dxa"/>
            <w:tcBorders>
              <w:bottom w:val="single" w:sz="4" w:space="0" w:color="000000"/>
            </w:tcBorders>
            <w:shd w:val="clear" w:color="auto" w:fill="FFFF00"/>
            <w:vAlign w:val="center"/>
          </w:tcPr>
          <w:p w14:paraId="5903EF13" w14:textId="77777777" w:rsidR="00000000" w:rsidRDefault="00000000">
            <w:pPr>
              <w:spacing w:before="60" w:after="60"/>
              <w:rPr>
                <w:rFonts w:eastAsia="Calibri"/>
                <w:szCs w:val="24"/>
              </w:rPr>
            </w:pPr>
          </w:p>
        </w:tc>
        <w:tc>
          <w:tcPr>
            <w:tcW w:w="7095" w:type="dxa"/>
            <w:shd w:val="clear" w:color="auto" w:fill="auto"/>
            <w:vAlign w:val="center"/>
          </w:tcPr>
          <w:p w14:paraId="06F798A1"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3A6FB1A"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10968" w14:paraId="02CC9EBA" w14:textId="77777777">
        <w:trPr>
          <w:cantSplit/>
          <w:trHeight w:val="964"/>
        </w:trPr>
        <w:tc>
          <w:tcPr>
            <w:tcW w:w="1260" w:type="dxa"/>
            <w:tcBorders>
              <w:bottom w:val="single" w:sz="4" w:space="0" w:color="000000"/>
            </w:tcBorders>
            <w:shd w:val="clear" w:color="auto" w:fill="FFC800"/>
            <w:vAlign w:val="center"/>
          </w:tcPr>
          <w:p w14:paraId="3C383B69"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44BF1CD"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0882A55"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10968" w14:paraId="193F932C" w14:textId="77777777">
        <w:trPr>
          <w:cantSplit/>
          <w:trHeight w:val="964"/>
        </w:trPr>
        <w:tc>
          <w:tcPr>
            <w:tcW w:w="1260" w:type="dxa"/>
            <w:shd w:val="clear" w:color="auto" w:fill="FF0000"/>
            <w:vAlign w:val="center"/>
          </w:tcPr>
          <w:p w14:paraId="7EF2009D" w14:textId="77777777" w:rsidR="00000000" w:rsidRDefault="00000000">
            <w:pPr>
              <w:spacing w:before="60" w:after="60"/>
              <w:rPr>
                <w:rFonts w:eastAsia="Calibri"/>
                <w:szCs w:val="24"/>
              </w:rPr>
            </w:pPr>
          </w:p>
        </w:tc>
        <w:tc>
          <w:tcPr>
            <w:tcW w:w="7095" w:type="dxa"/>
            <w:shd w:val="clear" w:color="auto" w:fill="auto"/>
            <w:vAlign w:val="center"/>
          </w:tcPr>
          <w:p w14:paraId="250E7178"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23DF70"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6FDBD67" w14:textId="77777777" w:rsidR="00000000" w:rsidRDefault="00000000">
      <w:pPr>
        <w:pStyle w:val="Heading2"/>
        <w:spacing w:after="0"/>
        <w:rPr>
          <w:rFonts w:cs="Arial"/>
        </w:rPr>
      </w:pPr>
      <w:r>
        <w:rPr>
          <w:rFonts w:cs="Arial"/>
        </w:rPr>
        <w:t>General overview of the audit</w:t>
      </w:r>
    </w:p>
    <w:p w14:paraId="3F57D7A8" w14:textId="77777777" w:rsidR="00000000" w:rsidRDefault="00000000">
      <w:pPr>
        <w:spacing w:before="240" w:line="276" w:lineRule="auto"/>
        <w:rPr>
          <w:rFonts w:eastAsia="Calibri"/>
        </w:rPr>
      </w:pPr>
      <w:bookmarkStart w:id="13" w:name="GeneralOverview"/>
      <w:r w:rsidRPr="00A4268A">
        <w:rPr>
          <w:rFonts w:eastAsia="Calibri"/>
        </w:rPr>
        <w:t xml:space="preserve">CHT Glynavon is owned and operated by the CHT Healthcare Trust. The service cares for up to 33 residents at hospital, and rest home levels of care. On the day of the audit, there were 31 residents. Residents and family/whānau interviewed spoke positively about the service provided. The general practitioner was unavailable for interview at the time of audit. </w:t>
      </w:r>
    </w:p>
    <w:p w14:paraId="27F92D90" w14:textId="77777777" w:rsidR="00D10968" w:rsidRPr="00A4268A" w:rsidRDefault="00000000">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 with Health New Zealand – Te Whatu Ora. The audit process included reviewing policies and procedures, reviewing residents’ and staff records, and observing and interviewing residents, family/whānau, staff and management.</w:t>
      </w:r>
    </w:p>
    <w:p w14:paraId="1D55A583" w14:textId="77777777" w:rsidR="00D10968" w:rsidRPr="00A4268A" w:rsidRDefault="00000000">
      <w:pPr>
        <w:spacing w:before="240" w:line="276" w:lineRule="auto"/>
        <w:rPr>
          <w:rFonts w:eastAsia="Calibri"/>
        </w:rPr>
      </w:pPr>
      <w:r w:rsidRPr="00A4268A">
        <w:rPr>
          <w:rFonts w:eastAsia="Calibri"/>
        </w:rPr>
        <w:t>The care home manager oversees the service with the support of the area manager and clinical coordinator. Quality systems and processes are being implemented. An induction and in-service training programme are in place to provide staff with appropriate knowledge and skills to deliver care.</w:t>
      </w:r>
    </w:p>
    <w:p w14:paraId="79BB4EE7" w14:textId="77777777" w:rsidR="00D10968" w:rsidRPr="00A4268A" w:rsidRDefault="00000000">
      <w:pPr>
        <w:spacing w:before="240" w:line="276" w:lineRule="auto"/>
        <w:rPr>
          <w:rFonts w:eastAsia="Calibri"/>
        </w:rPr>
      </w:pPr>
      <w:r w:rsidRPr="00A4268A">
        <w:rPr>
          <w:rFonts w:eastAsia="Calibri"/>
        </w:rPr>
        <w:t xml:space="preserve">The partial attainment identified at the previous audit related to registered nurse staffing has been satisfied. </w:t>
      </w:r>
    </w:p>
    <w:p w14:paraId="21CEFC97" w14:textId="77777777" w:rsidR="00D10968" w:rsidRPr="00A4268A" w:rsidRDefault="00000000">
      <w:pPr>
        <w:spacing w:before="240" w:line="276" w:lineRule="auto"/>
        <w:rPr>
          <w:rFonts w:eastAsia="Calibri"/>
        </w:rPr>
      </w:pPr>
      <w:r w:rsidRPr="00A4268A">
        <w:rPr>
          <w:rFonts w:eastAsia="Calibri"/>
        </w:rPr>
        <w:t>This audit identified that the service meets the required subset of the Ngā Paerewa Standard.</w:t>
      </w:r>
    </w:p>
    <w:bookmarkEnd w:id="13"/>
    <w:p w14:paraId="1CBCEC52" w14:textId="77777777" w:rsidR="00D10968" w:rsidRPr="00A4268A" w:rsidRDefault="00D10968">
      <w:pPr>
        <w:spacing w:before="240" w:line="276" w:lineRule="auto"/>
        <w:rPr>
          <w:rFonts w:eastAsia="Calibri"/>
        </w:rPr>
      </w:pPr>
    </w:p>
    <w:p w14:paraId="16C2D9DD"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968" w14:paraId="25AB1943" w14:textId="77777777" w:rsidTr="00A4268A">
        <w:trPr>
          <w:cantSplit/>
        </w:trPr>
        <w:tc>
          <w:tcPr>
            <w:tcW w:w="10206" w:type="dxa"/>
            <w:vAlign w:val="center"/>
          </w:tcPr>
          <w:p w14:paraId="4C2C9F1E"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6E125B3"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6704221"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BA5E0B9"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FF4E327" w14:textId="77777777" w:rsidR="00000000" w:rsidRDefault="00000000">
      <w:pPr>
        <w:spacing w:before="240" w:line="276" w:lineRule="auto"/>
        <w:rPr>
          <w:rFonts w:eastAsia="Calibri"/>
        </w:rPr>
      </w:pPr>
      <w:bookmarkStart w:id="16" w:name="ConsumerRights"/>
      <w:r w:rsidRPr="00A4268A">
        <w:rPr>
          <w:rFonts w:eastAsia="Calibri"/>
        </w:rPr>
        <w:t xml:space="preserve">CHT Glynavon has a Māori and Pacific peoples’ health policy in place. The policy outlines CHT Glynavon’s commitment to Te Tiriti o Waitangi and Te Whare Tapa Whā model of care. The service works collaboratively to support and encourage a Māori world view of health in service delivery. Māori are provided with equitable and effective services based on Te Tiriti o Waitangi and the principles of mana motuhake. Pacific peoples are provided with services that recognise their worldview and are culturally safe. Residents and staff stated that culturally appropriate care is provided. </w:t>
      </w:r>
    </w:p>
    <w:p w14:paraId="60BB1167" w14:textId="77777777" w:rsidR="00D10968" w:rsidRPr="00A4268A" w:rsidRDefault="00000000">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are actively managed and well documented.</w:t>
      </w:r>
    </w:p>
    <w:bookmarkEnd w:id="16"/>
    <w:p w14:paraId="03978C24" w14:textId="77777777" w:rsidR="00D10968" w:rsidRPr="00A4268A" w:rsidRDefault="00D10968">
      <w:pPr>
        <w:spacing w:before="240" w:line="276" w:lineRule="auto"/>
        <w:rPr>
          <w:rFonts w:eastAsia="Calibri"/>
        </w:rPr>
      </w:pPr>
    </w:p>
    <w:p w14:paraId="67E7EDE2"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968" w14:paraId="22ED38CA" w14:textId="77777777" w:rsidTr="00A4268A">
        <w:trPr>
          <w:cantSplit/>
        </w:trPr>
        <w:tc>
          <w:tcPr>
            <w:tcW w:w="10206" w:type="dxa"/>
            <w:vAlign w:val="center"/>
          </w:tcPr>
          <w:p w14:paraId="479DE8C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FF7961A"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8461054"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1A861CC" w14:textId="77777777" w:rsidR="00000000" w:rsidRDefault="00000000">
      <w:pPr>
        <w:spacing w:before="240" w:line="276" w:lineRule="auto"/>
        <w:rPr>
          <w:rFonts w:eastAsia="Calibri"/>
        </w:rPr>
      </w:pPr>
      <w:bookmarkStart w:id="19" w:name="OrganisationalManagement"/>
      <w:r w:rsidRPr="00A4268A">
        <w:rPr>
          <w:rFonts w:eastAsia="Calibri"/>
        </w:rPr>
        <w:t xml:space="preserve">The business organisational plan includes a mission statement and operational objectives. The quality and risk management systems are focused on quality service provision and care. The quality and risk management processes use a risk-based approach. </w:t>
      </w:r>
    </w:p>
    <w:p w14:paraId="33BC7C5E" w14:textId="77777777" w:rsidR="00D10968" w:rsidRPr="00A4268A" w:rsidRDefault="00000000">
      <w:pPr>
        <w:spacing w:before="240" w:line="276" w:lineRule="auto"/>
        <w:rPr>
          <w:rFonts w:eastAsia="Calibri"/>
        </w:rPr>
      </w:pPr>
      <w:r w:rsidRPr="00A4268A">
        <w:rPr>
          <w:rFonts w:eastAsia="Calibri"/>
        </w:rPr>
        <w:t>The service and management ensure the best outcomes for residents and that their health and safety are a priority. Actual and potential risks are identified and mitigated. The service complies with all statutory and regulatory reporting obligations and meets the contract's requirements with Health New Zealand -Te Whatu Ora.</w:t>
      </w:r>
    </w:p>
    <w:p w14:paraId="60FBF0E6" w14:textId="77777777" w:rsidR="00D10968" w:rsidRPr="00A4268A" w:rsidRDefault="00000000">
      <w:pPr>
        <w:spacing w:before="240" w:line="276" w:lineRule="auto"/>
        <w:rPr>
          <w:rFonts w:eastAsia="Calibri"/>
        </w:rPr>
      </w:pPr>
      <w:r w:rsidRPr="00A4268A">
        <w:rPr>
          <w:rFonts w:eastAsia="Calibri"/>
        </w:rPr>
        <w:lastRenderedPageBreak/>
        <w:t>Staff coverage is maintained for all shifts. Residents' acuity is considered when planning and ensuring adequate coverage. Staff employed are provided with orientation, job descriptions and receive education. All employed and contracted health professionals maintain a current practising certificate.</w:t>
      </w:r>
    </w:p>
    <w:bookmarkEnd w:id="19"/>
    <w:p w14:paraId="3C558939" w14:textId="77777777" w:rsidR="00D10968" w:rsidRPr="00A4268A" w:rsidRDefault="00D10968">
      <w:pPr>
        <w:spacing w:before="240" w:line="276" w:lineRule="auto"/>
        <w:rPr>
          <w:rFonts w:eastAsia="Calibri"/>
        </w:rPr>
      </w:pPr>
    </w:p>
    <w:p w14:paraId="387E33D0"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968" w14:paraId="259ECF8D" w14:textId="77777777" w:rsidTr="00A4268A">
        <w:trPr>
          <w:cantSplit/>
        </w:trPr>
        <w:tc>
          <w:tcPr>
            <w:tcW w:w="10206" w:type="dxa"/>
            <w:vAlign w:val="center"/>
          </w:tcPr>
          <w:p w14:paraId="5C967FD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4B232D2"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54571E"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588D09CC"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35BDAC14" w14:textId="77777777" w:rsidR="00D10968"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w:t>
      </w:r>
    </w:p>
    <w:p w14:paraId="487F545B" w14:textId="77777777" w:rsidR="00D10968"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57D3FFC6" w14:textId="77777777" w:rsidR="00D10968"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7B082B2A" w14:textId="77777777" w:rsidR="00D10968" w:rsidRPr="00A4268A" w:rsidRDefault="00D10968" w:rsidP="00621629">
      <w:pPr>
        <w:spacing w:before="240" w:line="276" w:lineRule="auto"/>
        <w:rPr>
          <w:rFonts w:eastAsia="Calibri"/>
        </w:rPr>
      </w:pPr>
    </w:p>
    <w:p w14:paraId="036CDB1B"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968" w14:paraId="102173CD" w14:textId="77777777" w:rsidTr="00A4268A">
        <w:trPr>
          <w:cantSplit/>
        </w:trPr>
        <w:tc>
          <w:tcPr>
            <w:tcW w:w="10206" w:type="dxa"/>
            <w:vAlign w:val="center"/>
          </w:tcPr>
          <w:p w14:paraId="021E3D3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D1EB5AD"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E2C9A1E"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E643F89" w14:textId="77777777" w:rsidR="00000000" w:rsidRDefault="00000000">
      <w:pPr>
        <w:spacing w:before="240" w:line="276" w:lineRule="auto"/>
        <w:rPr>
          <w:rFonts w:eastAsia="Calibri"/>
        </w:rPr>
      </w:pPr>
      <w:bookmarkStart w:id="25" w:name="SafeAndAppropriateEnvironment"/>
      <w:r w:rsidRPr="00A4268A">
        <w:rPr>
          <w:rFonts w:eastAsia="Calibri"/>
        </w:rPr>
        <w:lastRenderedPageBreak/>
        <w:t xml:space="preserve">The building holds a current building warrant of fitness. Electrical equipment has been tested and tagged. All medical equipment has been serviced and calibrated. </w:t>
      </w:r>
    </w:p>
    <w:p w14:paraId="16E6503A" w14:textId="77777777" w:rsidR="00D10968" w:rsidRPr="00A4268A" w:rsidRDefault="00000000">
      <w:pPr>
        <w:spacing w:before="240" w:line="276" w:lineRule="auto"/>
        <w:rPr>
          <w:rFonts w:eastAsia="Calibri"/>
        </w:rPr>
      </w:pPr>
      <w:r w:rsidRPr="00A4268A">
        <w:rPr>
          <w:rFonts w:eastAsia="Calibri"/>
        </w:rPr>
        <w:t>There is an approved evacuation scheme.</w:t>
      </w:r>
    </w:p>
    <w:bookmarkEnd w:id="25"/>
    <w:p w14:paraId="1CA07273" w14:textId="77777777" w:rsidR="00D10968" w:rsidRPr="00A4268A" w:rsidRDefault="00D10968">
      <w:pPr>
        <w:spacing w:before="240" w:line="276" w:lineRule="auto"/>
        <w:rPr>
          <w:rFonts w:eastAsia="Calibri"/>
        </w:rPr>
      </w:pPr>
    </w:p>
    <w:p w14:paraId="52537427"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968" w14:paraId="0B77593D" w14:textId="77777777" w:rsidTr="00A4268A">
        <w:trPr>
          <w:cantSplit/>
        </w:trPr>
        <w:tc>
          <w:tcPr>
            <w:tcW w:w="10206" w:type="dxa"/>
            <w:vAlign w:val="center"/>
          </w:tcPr>
          <w:p w14:paraId="669BD5D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3681CA9"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C203AAA"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CA72597"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infection control programme has been approved by the Board and is reviewed annually. The infection control programme links to the quality programme. Staff orientation and ongoing education are maintained. </w:t>
      </w:r>
    </w:p>
    <w:p w14:paraId="335A070B" w14:textId="77777777" w:rsidR="00D10968" w:rsidRPr="00A4268A" w:rsidRDefault="00000000">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There has been one outbreak since the previous audit which was managed well.</w:t>
      </w:r>
    </w:p>
    <w:bookmarkEnd w:id="28"/>
    <w:p w14:paraId="1FCD0E22" w14:textId="77777777" w:rsidR="00D10968" w:rsidRPr="00A4268A" w:rsidRDefault="00D10968">
      <w:pPr>
        <w:spacing w:before="240" w:line="276" w:lineRule="auto"/>
        <w:rPr>
          <w:rFonts w:eastAsia="Calibri"/>
        </w:rPr>
      </w:pPr>
    </w:p>
    <w:p w14:paraId="18A3FFBA"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968" w14:paraId="072BA502" w14:textId="77777777" w:rsidTr="00A4268A">
        <w:trPr>
          <w:cantSplit/>
        </w:trPr>
        <w:tc>
          <w:tcPr>
            <w:tcW w:w="10206" w:type="dxa"/>
            <w:vAlign w:val="center"/>
          </w:tcPr>
          <w:p w14:paraId="6696401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D256AB4"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F7B45A6"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065FDF1" w14:textId="77777777" w:rsidR="00000000" w:rsidRDefault="00000000">
      <w:pPr>
        <w:spacing w:before="240" w:line="276" w:lineRule="auto"/>
        <w:rPr>
          <w:rFonts w:eastAsia="Calibri"/>
        </w:rPr>
      </w:pPr>
      <w:bookmarkStart w:id="31" w:name="InfectionPreventionAndControl"/>
      <w:r w:rsidRPr="00A4268A">
        <w:rPr>
          <w:rFonts w:eastAsia="Calibri"/>
        </w:rPr>
        <w:lastRenderedPageBreak/>
        <w:t>The restraint coordinator is a registered nurse. The facility had no residents using restraints at the time of audit. A focus on a restraint 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53CBD394" w14:textId="77777777" w:rsidR="00D10968" w:rsidRPr="00A4268A" w:rsidRDefault="00D10968">
      <w:pPr>
        <w:spacing w:before="240" w:line="276" w:lineRule="auto"/>
        <w:rPr>
          <w:rFonts w:eastAsia="Calibri"/>
        </w:rPr>
      </w:pPr>
    </w:p>
    <w:p w14:paraId="4D80A41D" w14:textId="77777777" w:rsidR="00000000" w:rsidRDefault="00000000" w:rsidP="000E6E02">
      <w:pPr>
        <w:pStyle w:val="Heading2"/>
        <w:spacing w:before="0"/>
        <w:rPr>
          <w:rFonts w:cs="Arial"/>
        </w:rPr>
      </w:pPr>
      <w:r>
        <w:rPr>
          <w:rFonts w:cs="Arial"/>
        </w:rPr>
        <w:t>Summary of attainment</w:t>
      </w:r>
    </w:p>
    <w:p w14:paraId="5B24D416"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10968" w14:paraId="4ED1C13B" w14:textId="77777777">
        <w:tc>
          <w:tcPr>
            <w:tcW w:w="1384" w:type="dxa"/>
            <w:vAlign w:val="center"/>
          </w:tcPr>
          <w:p w14:paraId="2EE92AE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21EE03E" w14:textId="77777777" w:rsidR="00000000" w:rsidRDefault="00000000">
            <w:pPr>
              <w:keepNext/>
              <w:spacing w:before="60" w:after="60"/>
              <w:jc w:val="center"/>
              <w:rPr>
                <w:rFonts w:cs="Arial"/>
                <w:b/>
                <w:sz w:val="20"/>
                <w:szCs w:val="20"/>
              </w:rPr>
            </w:pPr>
            <w:r>
              <w:rPr>
                <w:rFonts w:cs="Arial"/>
                <w:b/>
                <w:sz w:val="20"/>
                <w:szCs w:val="20"/>
              </w:rPr>
              <w:t>Continuous Improvement</w:t>
            </w:r>
          </w:p>
          <w:p w14:paraId="358D7095"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E24D79A" w14:textId="77777777" w:rsidR="00000000" w:rsidRDefault="00000000">
            <w:pPr>
              <w:keepNext/>
              <w:spacing w:before="60" w:after="60"/>
              <w:jc w:val="center"/>
              <w:rPr>
                <w:rFonts w:cs="Arial"/>
                <w:b/>
                <w:sz w:val="20"/>
                <w:szCs w:val="20"/>
              </w:rPr>
            </w:pPr>
            <w:r>
              <w:rPr>
                <w:rFonts w:cs="Arial"/>
                <w:b/>
                <w:sz w:val="20"/>
                <w:szCs w:val="20"/>
              </w:rPr>
              <w:t>Fully Attained</w:t>
            </w:r>
          </w:p>
          <w:p w14:paraId="366FEFC2"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F4DC3E2"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6560B035"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954CBE0"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551E3C6C"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400D23B"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2E8DD07D"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18427F3"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5FD5545"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2BCF030"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15573D27" w14:textId="77777777" w:rsidR="00000000" w:rsidRDefault="00000000">
            <w:pPr>
              <w:keepNext/>
              <w:spacing w:before="60" w:after="60"/>
              <w:jc w:val="center"/>
              <w:rPr>
                <w:rFonts w:cs="Arial"/>
                <w:b/>
                <w:sz w:val="20"/>
                <w:szCs w:val="20"/>
              </w:rPr>
            </w:pPr>
            <w:r>
              <w:rPr>
                <w:rFonts w:cs="Arial"/>
                <w:b/>
                <w:sz w:val="20"/>
                <w:szCs w:val="20"/>
              </w:rPr>
              <w:t>(PA Critical)</w:t>
            </w:r>
          </w:p>
        </w:tc>
      </w:tr>
      <w:tr w:rsidR="00D10968" w14:paraId="387B887B" w14:textId="77777777">
        <w:tc>
          <w:tcPr>
            <w:tcW w:w="1384" w:type="dxa"/>
            <w:vAlign w:val="center"/>
          </w:tcPr>
          <w:p w14:paraId="5FEED9E3"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929B10E"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F7A4CE2"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11E48266"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66B461F"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C6DB62D"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7F2CEE9"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8F8B66F"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10968" w14:paraId="2BC3CB25" w14:textId="77777777">
        <w:tc>
          <w:tcPr>
            <w:tcW w:w="1384" w:type="dxa"/>
            <w:vAlign w:val="center"/>
          </w:tcPr>
          <w:p w14:paraId="762FAD73"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E1DFBA8"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F4C1EA4"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64065C7"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F8D41DD"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9246219"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3D4365E"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F369375"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155038A"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10968" w14:paraId="5C184A86" w14:textId="77777777">
        <w:tc>
          <w:tcPr>
            <w:tcW w:w="1384" w:type="dxa"/>
            <w:vAlign w:val="center"/>
          </w:tcPr>
          <w:p w14:paraId="05758859"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8FC6F30" w14:textId="77777777" w:rsidR="00000000" w:rsidRDefault="00000000">
            <w:pPr>
              <w:keepNext/>
              <w:spacing w:before="60" w:after="60"/>
              <w:jc w:val="center"/>
              <w:rPr>
                <w:rFonts w:cs="Arial"/>
                <w:b/>
                <w:sz w:val="20"/>
                <w:szCs w:val="20"/>
              </w:rPr>
            </w:pPr>
            <w:r>
              <w:rPr>
                <w:rFonts w:cs="Arial"/>
                <w:b/>
                <w:sz w:val="20"/>
                <w:szCs w:val="20"/>
              </w:rPr>
              <w:t>Unattained Negligible Risk</w:t>
            </w:r>
          </w:p>
          <w:p w14:paraId="57424865"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4E0413B" w14:textId="77777777" w:rsidR="00000000" w:rsidRDefault="00000000">
            <w:pPr>
              <w:keepNext/>
              <w:spacing w:before="60" w:after="60"/>
              <w:jc w:val="center"/>
              <w:rPr>
                <w:rFonts w:cs="Arial"/>
                <w:b/>
                <w:sz w:val="20"/>
                <w:szCs w:val="20"/>
              </w:rPr>
            </w:pPr>
            <w:r>
              <w:rPr>
                <w:rFonts w:cs="Arial"/>
                <w:b/>
                <w:sz w:val="20"/>
                <w:szCs w:val="20"/>
              </w:rPr>
              <w:t>Unattained Low Risk</w:t>
            </w:r>
          </w:p>
          <w:p w14:paraId="4A33358C"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99A0FC8" w14:textId="77777777" w:rsidR="00000000" w:rsidRDefault="00000000">
            <w:pPr>
              <w:keepNext/>
              <w:spacing w:before="60" w:after="60"/>
              <w:jc w:val="center"/>
              <w:rPr>
                <w:rFonts w:cs="Arial"/>
                <w:b/>
                <w:sz w:val="20"/>
                <w:szCs w:val="20"/>
              </w:rPr>
            </w:pPr>
            <w:r>
              <w:rPr>
                <w:rFonts w:cs="Arial"/>
                <w:b/>
                <w:sz w:val="20"/>
                <w:szCs w:val="20"/>
              </w:rPr>
              <w:t>Unattained Moderate Risk</w:t>
            </w:r>
          </w:p>
          <w:p w14:paraId="165C2FEB"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9A7100D" w14:textId="77777777" w:rsidR="00000000" w:rsidRDefault="00000000">
            <w:pPr>
              <w:keepNext/>
              <w:spacing w:before="60" w:after="60"/>
              <w:jc w:val="center"/>
              <w:rPr>
                <w:rFonts w:cs="Arial"/>
                <w:b/>
                <w:sz w:val="20"/>
                <w:szCs w:val="20"/>
              </w:rPr>
            </w:pPr>
            <w:r>
              <w:rPr>
                <w:rFonts w:cs="Arial"/>
                <w:b/>
                <w:sz w:val="20"/>
                <w:szCs w:val="20"/>
              </w:rPr>
              <w:t>Unattained High Risk</w:t>
            </w:r>
          </w:p>
          <w:p w14:paraId="491FC014"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21894AF" w14:textId="77777777" w:rsidR="00000000" w:rsidRDefault="00000000">
            <w:pPr>
              <w:keepNext/>
              <w:spacing w:before="60" w:after="60"/>
              <w:jc w:val="center"/>
              <w:rPr>
                <w:rFonts w:cs="Arial"/>
                <w:b/>
                <w:sz w:val="20"/>
                <w:szCs w:val="20"/>
              </w:rPr>
            </w:pPr>
            <w:r>
              <w:rPr>
                <w:rFonts w:cs="Arial"/>
                <w:b/>
                <w:sz w:val="20"/>
                <w:szCs w:val="20"/>
              </w:rPr>
              <w:t>Unattained Critical Risk</w:t>
            </w:r>
          </w:p>
          <w:p w14:paraId="640CDA1C" w14:textId="77777777" w:rsidR="00000000" w:rsidRDefault="00000000">
            <w:pPr>
              <w:keepNext/>
              <w:spacing w:before="60" w:after="60"/>
              <w:jc w:val="center"/>
              <w:rPr>
                <w:rFonts w:cs="Arial"/>
                <w:b/>
                <w:sz w:val="20"/>
                <w:szCs w:val="20"/>
              </w:rPr>
            </w:pPr>
            <w:r>
              <w:rPr>
                <w:rFonts w:cs="Arial"/>
                <w:b/>
                <w:sz w:val="20"/>
                <w:szCs w:val="20"/>
              </w:rPr>
              <w:t>(UA Critical)</w:t>
            </w:r>
          </w:p>
        </w:tc>
      </w:tr>
      <w:tr w:rsidR="00D10968" w14:paraId="3359B277" w14:textId="77777777">
        <w:tc>
          <w:tcPr>
            <w:tcW w:w="1384" w:type="dxa"/>
            <w:vAlign w:val="center"/>
          </w:tcPr>
          <w:p w14:paraId="2AEFD52A"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DD187F8"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A5A1B84"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DDEA2C4"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1173750"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2B1A026"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10968" w14:paraId="2A55A4F2" w14:textId="77777777">
        <w:tc>
          <w:tcPr>
            <w:tcW w:w="1384" w:type="dxa"/>
            <w:vAlign w:val="center"/>
          </w:tcPr>
          <w:p w14:paraId="13203ED9"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5717C679"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6260046"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AE561FC"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CECD140"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4242969"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2A59EDF"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6CCAB6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4D75DF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53C894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1371"/>
        <w:gridCol w:w="7099"/>
      </w:tblGrid>
      <w:tr w:rsidR="00D10968" w14:paraId="097418B2" w14:textId="77777777">
        <w:tc>
          <w:tcPr>
            <w:tcW w:w="0" w:type="auto"/>
          </w:tcPr>
          <w:p w14:paraId="4E6B1347"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CCF644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460D2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10968" w14:paraId="4FCE3AA7" w14:textId="77777777">
        <w:tc>
          <w:tcPr>
            <w:tcW w:w="0" w:type="auto"/>
          </w:tcPr>
          <w:p w14:paraId="45E4119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984DA00"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8AC18A7" w14:textId="77777777" w:rsidR="00000000" w:rsidRPr="00BE00C7" w:rsidRDefault="00000000" w:rsidP="00BE00C7">
            <w:pPr>
              <w:pStyle w:val="OutcomeDescription"/>
              <w:spacing w:before="120" w:after="120"/>
              <w:rPr>
                <w:rFonts w:cs="Arial"/>
                <w:lang w:eastAsia="en-NZ"/>
              </w:rPr>
            </w:pPr>
          </w:p>
        </w:tc>
        <w:tc>
          <w:tcPr>
            <w:tcW w:w="0" w:type="auto"/>
          </w:tcPr>
          <w:p w14:paraId="5D3A92A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194E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plan references local Māori health care providers and recognises Māori values and beliefs. CHT Glynavon is committed to meeting its obligation under Te Tiriti o Waitangi and seeks to upload the articles and the rights of tāngata whenua in accordance with the United Nations Declaration on the Rights of Indigenous Peoples.</w:t>
            </w:r>
          </w:p>
          <w:p w14:paraId="04F801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Family/whānau involvement is encouraged in assessment and care planning, and visiting is encouraged, as evidenced during interviews. Te Whare Tapa Wha health model is incorporated into all Māori and other residents' care. The service currently has residents who identify as Māori. </w:t>
            </w:r>
          </w:p>
          <w:p w14:paraId="395D5653" w14:textId="1DF669CA" w:rsidR="00000000" w:rsidRPr="00BE00C7" w:rsidRDefault="00000000" w:rsidP="00BE00C7">
            <w:pPr>
              <w:pStyle w:val="OutcomeDescription"/>
              <w:spacing w:before="120" w:after="120"/>
              <w:rPr>
                <w:rFonts w:cs="Arial"/>
                <w:lang w:eastAsia="en-NZ"/>
              </w:rPr>
            </w:pPr>
            <w:r w:rsidRPr="00BE00C7">
              <w:rPr>
                <w:rFonts w:cs="Arial"/>
                <w:lang w:eastAsia="en-NZ"/>
              </w:rPr>
              <w:t>The care home manager (CHM), clinical coordinator (CC), two registered nurses (RNs), two healthcare assistants (HCAs), housekeeper, chef manager, and administrator interviewed demonstrated awareness of cultural safety and were able to describe ways they apply the principles of Te Tiriti in their roles.</w:t>
            </w:r>
          </w:p>
          <w:p w14:paraId="4CC5800C" w14:textId="77777777" w:rsidR="00000000" w:rsidRPr="00BE00C7" w:rsidRDefault="00000000" w:rsidP="00BE00C7">
            <w:pPr>
              <w:pStyle w:val="OutcomeDescription"/>
              <w:spacing w:before="120" w:after="120"/>
              <w:rPr>
                <w:rFonts w:cs="Arial"/>
                <w:lang w:eastAsia="en-NZ"/>
              </w:rPr>
            </w:pPr>
          </w:p>
        </w:tc>
      </w:tr>
      <w:tr w:rsidR="00D10968" w14:paraId="53DD5477" w14:textId="77777777">
        <w:tc>
          <w:tcPr>
            <w:tcW w:w="0" w:type="auto"/>
          </w:tcPr>
          <w:p w14:paraId="35AD00E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9081E1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77659F3" w14:textId="77777777" w:rsidR="00000000" w:rsidRPr="00BE00C7" w:rsidRDefault="00000000" w:rsidP="00BE00C7">
            <w:pPr>
              <w:pStyle w:val="OutcomeDescription"/>
              <w:spacing w:before="120" w:after="120"/>
              <w:rPr>
                <w:rFonts w:cs="Arial"/>
                <w:lang w:eastAsia="en-NZ"/>
              </w:rPr>
            </w:pPr>
          </w:p>
        </w:tc>
        <w:tc>
          <w:tcPr>
            <w:tcW w:w="0" w:type="auto"/>
          </w:tcPr>
          <w:p w14:paraId="7265AF1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FA1F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Pacific Health and Wellbeing Action Plan 2020-2025 that commits to providing appropriate and equitable care for residents who identify as Pasifika. The Pacific Model of Health (The Fonofale Model) guides on how Pacific people who engage with the service are supported. Cultural </w:t>
            </w:r>
            <w:r w:rsidRPr="00BE00C7">
              <w:rPr>
                <w:rFonts w:cs="Arial"/>
                <w:lang w:eastAsia="en-NZ"/>
              </w:rPr>
              <w:lastRenderedPageBreak/>
              <w:t>assessments and care plans for residents of each Pacific descent are available to implement. The service has no current residents and staff who identify as Pasifika. Staff and management interviewed highlighted the importance of understanding and supporting each other’s culture.</w:t>
            </w:r>
          </w:p>
          <w:p w14:paraId="339E1D78" w14:textId="77777777" w:rsidR="00000000" w:rsidRPr="00BE00C7" w:rsidRDefault="00000000" w:rsidP="00BE00C7">
            <w:pPr>
              <w:pStyle w:val="OutcomeDescription"/>
              <w:spacing w:before="120" w:after="120"/>
              <w:rPr>
                <w:rFonts w:cs="Arial"/>
                <w:lang w:eastAsia="en-NZ"/>
              </w:rPr>
            </w:pPr>
          </w:p>
        </w:tc>
      </w:tr>
      <w:tr w:rsidR="00D10968" w14:paraId="0DE4A6F2" w14:textId="77777777">
        <w:tc>
          <w:tcPr>
            <w:tcW w:w="0" w:type="auto"/>
          </w:tcPr>
          <w:p w14:paraId="6CFE4B3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297A1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E1E20CD" w14:textId="77777777" w:rsidR="00000000" w:rsidRPr="00BE00C7" w:rsidRDefault="00000000" w:rsidP="00BE00C7">
            <w:pPr>
              <w:pStyle w:val="OutcomeDescription"/>
              <w:spacing w:before="120" w:after="120"/>
              <w:rPr>
                <w:rFonts w:cs="Arial"/>
                <w:lang w:eastAsia="en-NZ"/>
              </w:rPr>
            </w:pPr>
          </w:p>
        </w:tc>
        <w:tc>
          <w:tcPr>
            <w:tcW w:w="0" w:type="auto"/>
          </w:tcPr>
          <w:p w14:paraId="24DD2C5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FA031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staff interviewed at the service understood the requirements of the Code of Health and Disability Services Consumers’ Rights (the Code) and were 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 Six residents (three hospital, three rest home), two family/whānau (one rest home, and one hospital) interviewed, reported the Code of Rights was adhered to and residents were aware of their rights.</w:t>
            </w:r>
          </w:p>
          <w:p w14:paraId="3955066F" w14:textId="77777777" w:rsidR="00000000" w:rsidRPr="00BE00C7" w:rsidRDefault="00000000" w:rsidP="00BE00C7">
            <w:pPr>
              <w:pStyle w:val="OutcomeDescription"/>
              <w:spacing w:before="120" w:after="120"/>
              <w:rPr>
                <w:rFonts w:cs="Arial"/>
                <w:lang w:eastAsia="en-NZ"/>
              </w:rPr>
            </w:pPr>
          </w:p>
        </w:tc>
      </w:tr>
      <w:tr w:rsidR="00D10968" w14:paraId="416C9F88" w14:textId="77777777">
        <w:tc>
          <w:tcPr>
            <w:tcW w:w="0" w:type="auto"/>
          </w:tcPr>
          <w:p w14:paraId="17E5447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18160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B61E5B3" w14:textId="77777777" w:rsidR="00000000" w:rsidRPr="00BE00C7" w:rsidRDefault="00000000" w:rsidP="00BE00C7">
            <w:pPr>
              <w:pStyle w:val="OutcomeDescription"/>
              <w:spacing w:before="120" w:after="120"/>
              <w:rPr>
                <w:rFonts w:cs="Arial"/>
                <w:lang w:eastAsia="en-NZ"/>
              </w:rPr>
            </w:pPr>
          </w:p>
        </w:tc>
        <w:tc>
          <w:tcPr>
            <w:tcW w:w="0" w:type="auto"/>
          </w:tcPr>
          <w:p w14:paraId="25B5F41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6318E9" w14:textId="77777777" w:rsidR="00000000"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was provided to staff annually. Residents reported that their property and finances were respected, and professional boundaries were maintained.</w:t>
            </w:r>
          </w:p>
          <w:p w14:paraId="04BF7FB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CHM reported that staff are guided by the code of conduct to ensure the environment is safe and free from any form of institutional and/or systemic racism. Family/whānau and residents stated that they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41930D28" w14:textId="77777777" w:rsidR="00000000" w:rsidRPr="00BE00C7" w:rsidRDefault="00000000" w:rsidP="00BE00C7">
            <w:pPr>
              <w:pStyle w:val="OutcomeDescription"/>
              <w:spacing w:before="120" w:after="120"/>
              <w:rPr>
                <w:rFonts w:cs="Arial"/>
                <w:lang w:eastAsia="en-NZ"/>
              </w:rPr>
            </w:pPr>
          </w:p>
        </w:tc>
      </w:tr>
      <w:tr w:rsidR="00D10968" w14:paraId="1708C468" w14:textId="77777777">
        <w:tc>
          <w:tcPr>
            <w:tcW w:w="0" w:type="auto"/>
          </w:tcPr>
          <w:p w14:paraId="7F3102B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64300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38280EE" w14:textId="77777777" w:rsidR="00000000" w:rsidRPr="00BE00C7" w:rsidRDefault="00000000" w:rsidP="00BE00C7">
            <w:pPr>
              <w:pStyle w:val="OutcomeDescription"/>
              <w:spacing w:before="120" w:after="120"/>
              <w:rPr>
                <w:rFonts w:cs="Arial"/>
                <w:lang w:eastAsia="en-NZ"/>
              </w:rPr>
            </w:pPr>
          </w:p>
        </w:tc>
        <w:tc>
          <w:tcPr>
            <w:tcW w:w="0" w:type="auto"/>
          </w:tcPr>
          <w:p w14:paraId="6098F6B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3E870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Signed admission agreements were evidenced in the sampled residents’ records. Informed consent for specific procedures had been gained appropriately. All residents’ files reviewed contained appropriately signed consent forms. Resuscitation forms were signed by residents who are competent and able to consent, and a medical decision was made by the general practitioner (GP) for residents who were unable to provide consent. This was verified in interviews with residents and family/whānau. </w:t>
            </w:r>
          </w:p>
          <w:p w14:paraId="64CFE81E" w14:textId="77777777" w:rsidR="00000000" w:rsidRPr="00BE00C7" w:rsidRDefault="00000000" w:rsidP="00BE00C7">
            <w:pPr>
              <w:pStyle w:val="OutcomeDescription"/>
              <w:spacing w:before="120" w:after="120"/>
              <w:rPr>
                <w:rFonts w:cs="Arial"/>
                <w:lang w:eastAsia="en-NZ"/>
              </w:rPr>
            </w:pPr>
          </w:p>
        </w:tc>
      </w:tr>
      <w:tr w:rsidR="00D10968" w14:paraId="2B9CE454" w14:textId="77777777">
        <w:tc>
          <w:tcPr>
            <w:tcW w:w="0" w:type="auto"/>
          </w:tcPr>
          <w:p w14:paraId="466386C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3362E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09827D0" w14:textId="77777777" w:rsidR="00000000" w:rsidRPr="00BE00C7" w:rsidRDefault="00000000" w:rsidP="00BE00C7">
            <w:pPr>
              <w:pStyle w:val="OutcomeDescription"/>
              <w:spacing w:before="120" w:after="120"/>
              <w:rPr>
                <w:rFonts w:cs="Arial"/>
                <w:lang w:eastAsia="en-NZ"/>
              </w:rPr>
            </w:pPr>
          </w:p>
        </w:tc>
        <w:tc>
          <w:tcPr>
            <w:tcW w:w="0" w:type="auto"/>
          </w:tcPr>
          <w:p w14:paraId="683C07A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FDF77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complaints/compliments management policy and procedures were clearly documented to guide staff. The process complies with Right 10 of the Code of Rights, which is the right to complain, to be taken seriously and respected, and to receive a timely response. The service has a complaint register in place. There were three complaints lodged in 2023, and two in 2024 year to date. The CHM reported that the complaint process timeframes are adhered to, and service improvement measures are implemented as required. Documentation, including follow-up letters and resolutions, was completed, and managed in accordance with guidelines set by the Health and Disability Commissioner. Discussions with residents and family/whānau confirmed that they are provided with information on the complaints process and that any concerns or issues they had, are addressed promptly. There were several compliments received from residents and family/whānau.</w:t>
            </w:r>
          </w:p>
          <w:p w14:paraId="670A9FB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Families/whānau and residents making complaints can involve an independent support person. The complaints process is linked to advocacy services. The Code of Health and Disability Services Consumers’ Rights is visible and available in te reo Māori and English. Residents and family/whānau interviewed expressed satisfaction with the complaint process. In the event of a complaint from a Māori resident or family/whanau member, the service would seek the assistance of an interpreter or cultural advisor if </w:t>
            </w:r>
            <w:r w:rsidRPr="00BE00C7">
              <w:rPr>
                <w:rFonts w:cs="Arial"/>
                <w:lang w:eastAsia="en-NZ"/>
              </w:rPr>
              <w:lastRenderedPageBreak/>
              <w:t>needed. No external complaints have been reported since the previous audit.</w:t>
            </w:r>
          </w:p>
          <w:p w14:paraId="1D9D0386" w14:textId="77777777" w:rsidR="00000000" w:rsidRPr="00BE00C7" w:rsidRDefault="00000000" w:rsidP="00BE00C7">
            <w:pPr>
              <w:pStyle w:val="OutcomeDescription"/>
              <w:spacing w:before="120" w:after="120"/>
              <w:rPr>
                <w:rFonts w:cs="Arial"/>
                <w:lang w:eastAsia="en-NZ"/>
              </w:rPr>
            </w:pPr>
          </w:p>
        </w:tc>
      </w:tr>
      <w:tr w:rsidR="00D10968" w14:paraId="5064C7AA" w14:textId="77777777">
        <w:tc>
          <w:tcPr>
            <w:tcW w:w="0" w:type="auto"/>
          </w:tcPr>
          <w:p w14:paraId="3CF02A4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492D5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01E755F" w14:textId="77777777" w:rsidR="00000000" w:rsidRPr="00BE00C7" w:rsidRDefault="00000000" w:rsidP="00BE00C7">
            <w:pPr>
              <w:pStyle w:val="OutcomeDescription"/>
              <w:spacing w:before="120" w:after="120"/>
              <w:rPr>
                <w:rFonts w:cs="Arial"/>
                <w:lang w:eastAsia="en-NZ"/>
              </w:rPr>
            </w:pPr>
          </w:p>
        </w:tc>
        <w:tc>
          <w:tcPr>
            <w:tcW w:w="0" w:type="auto"/>
          </w:tcPr>
          <w:p w14:paraId="5B89A2D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37F59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CHT Glynavon is part of CHT Healthcare Trust (CHT). The service provides rest home, and hospital level care for up to 33 residents. On the day of the audit, there were 31 residents in total. There were 13 residents requiring rest home care: including two residents on a long-term support -chronic health conditions (LTS-CHC) contract, 18 hospital-level residents, including four residents on a younger person with a disability (YPD) contract, and one resident on a LTS-CHC contract. </w:t>
            </w:r>
          </w:p>
          <w:p w14:paraId="5FD51D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organisational plan (June 2024/2025) includes values, operational objectives, and organisational and site-specific goals related to community connections, resident satisfaction, staff satisfaction, and the environment. Regular milestone reports ensure that care home managers are current with progress and achievements. The care home manager (CHM) reports to the area manager, who oversees other sister sites in the Bay of Plenty area. The board and the senior leadership team are aware of legislative, contractual, and regulatory requirements.</w:t>
            </w:r>
          </w:p>
          <w:p w14:paraId="0DE56F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governance body of the CHT charitable trust consists of six trustees. Each trustee contributes their areas of expertise to the Board, including legal, accounting, medical, human resources, marketing, and business management. The Chairperson of the Board is also an experienced director and chairs other organisational Boards. The chief executive officer (CEO) is available for support anytime. The CHM interviewed explained the strategic plan, its reflection of collaboration with Māori that aligns with the Ministry of Health strategies and addresses barriers to equitable service delivery. The Quality, Health &amp; Safety Committee (QHSC), which is a sub-committee of the Board and reports to the Board, includes ‘Monitor CHT’s compliance with its policies and procedures on quality, health and safety and relevant legislation and contractual requirements’, as a part of its responsibilities. The quality programme includes a quality programme policy and quality goals (including site-specific business goals) that are reviewed monthly in unit review meetings and discussed in the monthly staff/quality meetings. The Audit and Risk Committee assists the Board in fulfilling its accounting, reporting, and risk management responsibilities.</w:t>
            </w:r>
          </w:p>
          <w:p w14:paraId="35EECC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CHT’s Māori health plan incorporates the principles of Te Tiriti o Waitangi </w:t>
            </w:r>
            <w:r w:rsidRPr="00BE00C7">
              <w:rPr>
                <w:rFonts w:cs="Arial"/>
                <w:lang w:eastAsia="en-NZ"/>
              </w:rPr>
              <w:lastRenderedPageBreak/>
              <w:t xml:space="preserve">principles, including partnership in recognising all cultures as partners and valuing each culture for their contributions. Cultural advisors at the governance level ensure Māori have meaningful representation and substantive input into organisational operational policies. CHT’s Māori Health Plan has a set of actions to address barriers to Māori accessing care and employment within CHT. The principles of these actions are also applied to people with disabilities. One of the actions from the Māori health plan is to develop meaningful relationships with kaumātua/kuia/koroua at governance, operational and service levels. CHT has established a Māori working party to complement this action, including respected kaumātua. The Clinical Quality Lead is the lead for the development and delivery of the Clinical Quality strategy. They work with the area managers to ensure a strong clinical quality culture. They provide a detailed analysis of clinical data to the Board prior to every board meeting. The area managers provide the clinical oversight for the care facilities. Discussions are held at the board meeting around the issues raised and any corrective actions taken. </w:t>
            </w:r>
          </w:p>
          <w:p w14:paraId="252D2803" w14:textId="77777777" w:rsidR="00000000" w:rsidRPr="00BE00C7" w:rsidRDefault="00000000" w:rsidP="00BE00C7">
            <w:pPr>
              <w:pStyle w:val="OutcomeDescription"/>
              <w:spacing w:before="120" w:after="120"/>
              <w:rPr>
                <w:rFonts w:cs="Arial"/>
                <w:lang w:eastAsia="en-NZ"/>
              </w:rPr>
            </w:pPr>
          </w:p>
        </w:tc>
      </w:tr>
      <w:tr w:rsidR="00D10968" w14:paraId="60BA06EE" w14:textId="77777777">
        <w:tc>
          <w:tcPr>
            <w:tcW w:w="0" w:type="auto"/>
          </w:tcPr>
          <w:p w14:paraId="454CB7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B163B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EE5E05D" w14:textId="77777777" w:rsidR="00000000" w:rsidRPr="00BE00C7" w:rsidRDefault="00000000" w:rsidP="00BE00C7">
            <w:pPr>
              <w:pStyle w:val="OutcomeDescription"/>
              <w:spacing w:before="120" w:after="120"/>
              <w:rPr>
                <w:rFonts w:cs="Arial"/>
                <w:lang w:eastAsia="en-NZ"/>
              </w:rPr>
            </w:pPr>
          </w:p>
        </w:tc>
        <w:tc>
          <w:tcPr>
            <w:tcW w:w="0" w:type="auto"/>
          </w:tcPr>
          <w:p w14:paraId="23DCFEB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239A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CHT Glynavon has an established quality and risk management programme. The quality and risk management systems include performance monitoring through internal audits and the collection of clinical indicator data. Clinical indicator data (eg, falls, skin tears, infections, episodes of behaviours that challenge) is collected, analysed at the facility level, and benchmarked within the organisation and externally. Meeting minutes reviewed evidence that quality data is shared in staff meetings. Internal audits are completed six-monthly by the area manager. Corrective actions are documented to address service improvements, with evidence of progress and sign-off when achieved. </w:t>
            </w:r>
          </w:p>
          <w:p w14:paraId="20FA5827" w14:textId="77777777" w:rsidR="00000000" w:rsidRPr="00BE00C7" w:rsidRDefault="00000000" w:rsidP="00BE00C7">
            <w:pPr>
              <w:pStyle w:val="OutcomeDescription"/>
              <w:spacing w:before="120" w:after="120"/>
              <w:rPr>
                <w:rFonts w:cs="Arial"/>
                <w:lang w:eastAsia="en-NZ"/>
              </w:rPr>
            </w:pPr>
            <w:r w:rsidRPr="00BE00C7">
              <w:rPr>
                <w:rFonts w:cs="Arial"/>
                <w:lang w:eastAsia="en-NZ"/>
              </w:rPr>
              <w:t>Combined staff/quality meetings provide an avenue for discussions in relation to (but not limited to) quality data; health and safety; infection control/pandemic strategies; complaints; compliments; staffing; and education. Resident/family satisfaction surveys are completed monthly, with a selection invited each month (on the yearly anniversary of their admission), to cover all residents and families/whānau in a calendar year. Surveys completed in 2023 and 2024 reflect high resident/family satisfaction levels. No corrective actions have arisen from the surveys completed.</w:t>
            </w:r>
          </w:p>
          <w:p w14:paraId="3F1487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w:t>
            </w:r>
            <w:r w:rsidRPr="00BE00C7">
              <w:rPr>
                <w:rFonts w:cs="Arial"/>
                <w:lang w:eastAsia="en-NZ"/>
              </w:rPr>
              <w:lastRenderedPageBreak/>
              <w:t xml:space="preserve">systems provide a good level of assurance that the facility is meeting accepted good practices and adhering to relevant standards. </w:t>
            </w:r>
          </w:p>
          <w:p w14:paraId="11A09B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risk mitigation plan, policies, and procedures clearly describe all potential internal and external risks and corresponding mitigation strategies in line with the National Adverse Event Reporting Policy.</w:t>
            </w:r>
          </w:p>
          <w:p w14:paraId="59893C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with identified health and safety goals is in place. Hazard identification forms were held at the entrance, and an up-to-date hazard register was sighted. The health and safety officer implements and monitors health and safety policies. There are regular manual handling sessions for staff. Staff are kept informed on health and safety issues and updates. Individual fall prevention strategies are in place for residents identified at risk of falls. </w:t>
            </w:r>
          </w:p>
          <w:p w14:paraId="00EC005F" w14:textId="77777777" w:rsidR="00000000" w:rsidRPr="00BE00C7" w:rsidRDefault="00000000" w:rsidP="00BE00C7">
            <w:pPr>
              <w:pStyle w:val="OutcomeDescription"/>
              <w:spacing w:before="120" w:after="120"/>
              <w:rPr>
                <w:rFonts w:cs="Arial"/>
                <w:lang w:eastAsia="en-NZ"/>
              </w:rPr>
            </w:pPr>
            <w:r w:rsidRPr="00BE00C7">
              <w:rPr>
                <w:rFonts w:cs="Arial"/>
                <w:lang w:eastAsia="en-NZ"/>
              </w:rPr>
              <w:t>Individual reports are completed for each incident/accident. Incident and accident data is collated monthly and analysed for trends. Results are discussed at the meetings. Ten resident-related accident/incident forms were reviewed, which evidenced that each event involving a resident reflected a clinical assessment and follow-up by a clinical coordinator.</w:t>
            </w:r>
          </w:p>
          <w:p w14:paraId="78D6EA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CHM, and CC evidenced awareness of their requirement to notify relevant authorities in relation to essential notifications. There were Section 31 notifications completed related to missing a resident, historical registered nurse shortages, police attendance, and changes in management. A covid-19 infection outbreak was reported following MoH guidelines in May 2024, and staff were debriefed. No SAC reports have required submission since their introduction in July 2024. </w:t>
            </w:r>
          </w:p>
          <w:p w14:paraId="67F297E4" w14:textId="77777777" w:rsidR="00000000" w:rsidRPr="00BE00C7" w:rsidRDefault="00000000" w:rsidP="00BE00C7">
            <w:pPr>
              <w:pStyle w:val="OutcomeDescription"/>
              <w:spacing w:before="120" w:after="120"/>
              <w:rPr>
                <w:rFonts w:cs="Arial"/>
                <w:lang w:eastAsia="en-NZ"/>
              </w:rPr>
            </w:pPr>
          </w:p>
        </w:tc>
      </w:tr>
      <w:tr w:rsidR="00D10968" w14:paraId="20537A1C" w14:textId="77777777">
        <w:tc>
          <w:tcPr>
            <w:tcW w:w="0" w:type="auto"/>
          </w:tcPr>
          <w:p w14:paraId="5BA8B1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19C27D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0EB15C31" w14:textId="77777777" w:rsidR="00000000" w:rsidRPr="00BE00C7" w:rsidRDefault="00000000" w:rsidP="00BE00C7">
            <w:pPr>
              <w:pStyle w:val="OutcomeDescription"/>
              <w:spacing w:before="120" w:after="120"/>
              <w:rPr>
                <w:rFonts w:cs="Arial"/>
                <w:lang w:eastAsia="en-NZ"/>
              </w:rPr>
            </w:pPr>
          </w:p>
        </w:tc>
        <w:tc>
          <w:tcPr>
            <w:tcW w:w="0" w:type="auto"/>
          </w:tcPr>
          <w:p w14:paraId="452A8BA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3C8D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organisation adjusts staffing levels to meet the changing needs of residents. Staff reported that there were adequate staff to complete the work allocated to them, and residents and family/whānau confirmed this in interviews.</w:t>
            </w:r>
          </w:p>
          <w:p w14:paraId="0A0520E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is fully staffed with registered nurses, providing 24/7 cover for hospital level residents. The partial attainment identified at the previous audit related to (2.3.1) has been satisfied. </w:t>
            </w:r>
          </w:p>
          <w:p w14:paraId="01CB3F2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significant number of staff maintain current first aid certificates, so there is always a first aider on site. Care staff have either completed, commenced or are due to commence a New Zealand Qualification Authority education programme to meet the provider’s funding and service agreement requirements. Twelve HCAs have attained NZQA level 4. </w:t>
            </w:r>
          </w:p>
          <w:p w14:paraId="6D4215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records were reviewed to confirm completion of the required training and competency assessments. Each staff member interviewed reported feeling well-supported and safe in the workplace. </w:t>
            </w:r>
          </w:p>
          <w:p w14:paraId="1B2D9C4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including mandatory training requirements, is planned annually. Related competencies are assessed to support equitable service delivery. The staff records reviewed demonstrated that the staff completed the required training and competency assessments, including cultural, first aid, hand hygiene, hoist, and medication competencies. An annual training programme covers mandatory and elective topics and meets the obligations of the service contract. Online learning opportunities are also available for staff to complete independently. Staff felt well supported with development opportunities. </w:t>
            </w:r>
          </w:p>
          <w:p w14:paraId="3FD19F45" w14:textId="77777777" w:rsidR="00000000" w:rsidRPr="00BE00C7" w:rsidRDefault="00000000" w:rsidP="00BE00C7">
            <w:pPr>
              <w:pStyle w:val="OutcomeDescription"/>
              <w:spacing w:before="120" w:after="120"/>
              <w:rPr>
                <w:rFonts w:cs="Arial"/>
                <w:lang w:eastAsia="en-NZ"/>
              </w:rPr>
            </w:pPr>
            <w:r w:rsidRPr="00BE00C7">
              <w:rPr>
                <w:rFonts w:cs="Arial"/>
                <w:lang w:eastAsia="en-NZ"/>
              </w:rPr>
              <w:t>Clinical advice is always available when required, ensuring a secure care provision. An out-of-hours on-call policy explains how and when to contact the general practitioner and the management team.</w:t>
            </w:r>
          </w:p>
          <w:p w14:paraId="67D7F27B" w14:textId="77777777" w:rsidR="00000000" w:rsidRPr="00BE00C7" w:rsidRDefault="00000000" w:rsidP="00BE00C7">
            <w:pPr>
              <w:pStyle w:val="OutcomeDescription"/>
              <w:spacing w:before="120" w:after="120"/>
              <w:rPr>
                <w:rFonts w:cs="Arial"/>
                <w:lang w:eastAsia="en-NZ"/>
              </w:rPr>
            </w:pPr>
            <w:r w:rsidRPr="00BE00C7">
              <w:rPr>
                <w:rFonts w:cs="Arial"/>
                <w:lang w:eastAsia="en-NZ"/>
              </w:rPr>
              <w:t>Registered nurses are accredited and maintain competencies to conduct interRAI assessments.</w:t>
            </w:r>
          </w:p>
          <w:p w14:paraId="627E3F69" w14:textId="77777777" w:rsidR="00000000" w:rsidRPr="00BE00C7" w:rsidRDefault="00000000" w:rsidP="00BE00C7">
            <w:pPr>
              <w:pStyle w:val="OutcomeDescription"/>
              <w:spacing w:before="120" w:after="120"/>
              <w:rPr>
                <w:rFonts w:cs="Arial"/>
                <w:lang w:eastAsia="en-NZ"/>
              </w:rPr>
            </w:pPr>
          </w:p>
        </w:tc>
      </w:tr>
      <w:tr w:rsidR="00D10968" w14:paraId="1B6E1572" w14:textId="77777777">
        <w:tc>
          <w:tcPr>
            <w:tcW w:w="0" w:type="auto"/>
          </w:tcPr>
          <w:p w14:paraId="3D804B4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DD4CB1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safe, respectful, quality care and </w:t>
            </w:r>
            <w:r w:rsidRPr="00BE00C7">
              <w:rPr>
                <w:rFonts w:cs="Arial"/>
                <w:lang w:eastAsia="en-NZ"/>
              </w:rPr>
              <w:lastRenderedPageBreak/>
              <w:t>services.</w:t>
            </w:r>
          </w:p>
          <w:p w14:paraId="67802B90" w14:textId="77777777" w:rsidR="00000000" w:rsidRPr="00BE00C7" w:rsidRDefault="00000000" w:rsidP="00BE00C7">
            <w:pPr>
              <w:pStyle w:val="OutcomeDescription"/>
              <w:spacing w:before="120" w:after="120"/>
              <w:rPr>
                <w:rFonts w:cs="Arial"/>
                <w:lang w:eastAsia="en-NZ"/>
              </w:rPr>
            </w:pPr>
          </w:p>
        </w:tc>
        <w:tc>
          <w:tcPr>
            <w:tcW w:w="0" w:type="auto"/>
          </w:tcPr>
          <w:p w14:paraId="3B14170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C4D1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including recruitment, selection, orientation, and staff training and development. </w:t>
            </w:r>
          </w:p>
          <w:p w14:paraId="75B045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register of annual practising certificates (APCs) is maintained for registered nurses and associated health contractors (GP, pharmacists, physiotherapist, podiatrist, and dietitian). </w:t>
            </w:r>
          </w:p>
          <w:p w14:paraId="0656502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sample of staff records reviewed confirmed that the organisation’s policies are being consistently implemented. All staff records reviewed evidenced completed induction and orientation. The staff files reviewed included: reference checks; police checks; appraisals; competencies; individual training </w:t>
            </w:r>
            <w:r w:rsidRPr="00BE00C7">
              <w:rPr>
                <w:rFonts w:cs="Arial"/>
                <w:lang w:eastAsia="en-NZ"/>
              </w:rPr>
              <w:lastRenderedPageBreak/>
              <w:t>plans; professional qualifications; orientation; employment agreements; and position descriptions.</w:t>
            </w:r>
          </w:p>
          <w:p w14:paraId="384CC93F"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sighted and interviews with staff. Staff reported that they have input into the performance appraisal process, and that they can set their own goals.</w:t>
            </w:r>
          </w:p>
          <w:p w14:paraId="74D145C2" w14:textId="77777777" w:rsidR="00000000" w:rsidRPr="00BE00C7" w:rsidRDefault="00000000" w:rsidP="00BE00C7">
            <w:pPr>
              <w:pStyle w:val="OutcomeDescription"/>
              <w:spacing w:before="120" w:after="120"/>
              <w:rPr>
                <w:rFonts w:cs="Arial"/>
                <w:lang w:eastAsia="en-NZ"/>
              </w:rPr>
            </w:pPr>
          </w:p>
        </w:tc>
      </w:tr>
      <w:tr w:rsidR="00D10968" w14:paraId="0F04C400" w14:textId="77777777">
        <w:tc>
          <w:tcPr>
            <w:tcW w:w="0" w:type="auto"/>
          </w:tcPr>
          <w:p w14:paraId="6939748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C384F2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740C15C" w14:textId="77777777" w:rsidR="00000000" w:rsidRPr="00BE00C7" w:rsidRDefault="00000000" w:rsidP="00BE00C7">
            <w:pPr>
              <w:pStyle w:val="OutcomeDescription"/>
              <w:spacing w:before="120" w:after="120"/>
              <w:rPr>
                <w:rFonts w:cs="Arial"/>
                <w:lang w:eastAsia="en-NZ"/>
              </w:rPr>
            </w:pPr>
          </w:p>
        </w:tc>
        <w:tc>
          <w:tcPr>
            <w:tcW w:w="0" w:type="auto"/>
          </w:tcPr>
          <w:p w14:paraId="0A46E9D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85F462"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resident files were reviewed: three hospital; including one younger person with a disability (YPD), and two rest home; including one LTS-CHC. The registered nurses (RN) are responsible for all resident assessments, care planning and evaluation. Care plans are based on data collected during the initial nursing assessments, which include dietary needs, pressure injury, falls risk, social history, and information from pre-entry assessments. All residents apart from the YPD had an interRAI assessment. This resident had a full suite of assessments completed in the electronic resident management system, which incorporates, skin integrity, pressure injury risk, dietary requirements, communication needs, emotional, psychological, and behavioural support needs.</w:t>
            </w:r>
          </w:p>
          <w:p w14:paraId="76FD49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within 24 hours of admission. The individualised long-term care plans (LTCPs) are developed with information gathered during the initial assessments and the interRAI assessments. All LTCP and interRAI assessments sampled had been completed within three weeks of the residents’ admission to the facility. Documented interventions and early warning signs meet the residents’ assessed needs and are sufficiently detailed to guide care staff in care delivery. The activity assessments include a cultural assessment, which gathers information about cultural needs, values, and beliefs. Information from these assessments is used to develop the resident’s individual activity care plan. </w:t>
            </w:r>
          </w:p>
          <w:p w14:paraId="6DFB093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wounds, and weight loss. Resident care is evaluated on each shift and reported at handover and in the electronic progress notes. If any change is noted, it is reported to the RN. Long-term care plans are formally evaluated every six months in conjunction with the interRAI re-assessments and when there is a change in the resident’s condition. Evaluations are documented by </w:t>
            </w:r>
            <w:r w:rsidRPr="00BE00C7">
              <w:rPr>
                <w:rFonts w:cs="Arial"/>
                <w:lang w:eastAsia="en-NZ"/>
              </w:rPr>
              <w:lastRenderedPageBreak/>
              <w:t>an RN and include the degree of achievement towards meeting desired goals and outcomes. Residents interviewed confirmed that assessments are completed according to their needs and in the privacy of their bedrooms.</w:t>
            </w:r>
          </w:p>
          <w:p w14:paraId="529DC4A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Family/whānau interviews and resident records provide evidence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098EC2C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There is one GP visit per week and as required. Medical documentation and records reviewed were current. The contracted GP is also available on-call after hours for the facility. A physiotherapist visits the facility weekly and on request to review residents referred by the registered nurses. There is access to a continence specialist as required. A podiatrist visits regularly, and a dietitian, speech and language therapist, hospice, wound care nurse specialist, and medical specialist are available as required through Health New Zealand.</w:t>
            </w:r>
          </w:p>
          <w:p w14:paraId="44D3A4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six active wounds, including one stage 1 pressure injury. </w:t>
            </w:r>
          </w:p>
          <w:p w14:paraId="064ABE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electronic records. Monthly observations such as weight and blood pressure were completed and are up to date. Neurological observations are recorded following un-witnessed falls as per policy. A range of electronic monitoring charts are available for the care staff to utilise. These include (but are not limited to) monthly blood pressure and weight monitoring, bowel records and repositioning records. Staff interviews confirmed they are familiar with the needs of all residents in the facility and that they have access to the supplies and products they require to meet those needs. Staff receive handover at the </w:t>
            </w:r>
            <w:r w:rsidRPr="00BE00C7">
              <w:rPr>
                <w:rFonts w:cs="Arial"/>
                <w:lang w:eastAsia="en-NZ"/>
              </w:rPr>
              <w:lastRenderedPageBreak/>
              <w:t xml:space="preserve">beginning of their shift. </w:t>
            </w:r>
          </w:p>
          <w:p w14:paraId="47A48EBD" w14:textId="77777777" w:rsidR="00000000" w:rsidRPr="00BE00C7" w:rsidRDefault="00000000" w:rsidP="00912F81">
            <w:pPr>
              <w:pStyle w:val="OutcomeDescription"/>
              <w:spacing w:before="120" w:after="120"/>
              <w:rPr>
                <w:rFonts w:cs="Arial"/>
                <w:lang w:eastAsia="en-NZ"/>
              </w:rPr>
            </w:pPr>
          </w:p>
        </w:tc>
      </w:tr>
      <w:tr w:rsidR="00D10968" w14:paraId="37C1CA32" w14:textId="77777777">
        <w:tc>
          <w:tcPr>
            <w:tcW w:w="0" w:type="auto"/>
          </w:tcPr>
          <w:p w14:paraId="44DFF79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F2A09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AAF4C27" w14:textId="77777777" w:rsidR="00000000" w:rsidRPr="00BE00C7" w:rsidRDefault="00000000" w:rsidP="00BE00C7">
            <w:pPr>
              <w:pStyle w:val="OutcomeDescription"/>
              <w:spacing w:before="120" w:after="120"/>
              <w:rPr>
                <w:rFonts w:cs="Arial"/>
                <w:lang w:eastAsia="en-NZ"/>
              </w:rPr>
            </w:pPr>
          </w:p>
        </w:tc>
        <w:tc>
          <w:tcPr>
            <w:tcW w:w="0" w:type="auto"/>
          </w:tcPr>
          <w:p w14:paraId="62096C9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973F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2B7109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medication-competent HCAs interviewed could describe their role regarding medication administration. All medications are checked on delivery against the medication chart and any discrepancies are fed back to the supplying pharmacy. </w:t>
            </w:r>
          </w:p>
          <w:p w14:paraId="2A9324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temperatures are monitored daily. All stored medications are checked weekly. Eyedrops are dated on opening. </w:t>
            </w:r>
          </w:p>
          <w:p w14:paraId="69E70A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drug chart has a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There were three residents self-administering medications; procedures for assessing competence had been fully completed, and safe storage was available as required. No vaccines are kept on site, and no standing orders are used. </w:t>
            </w:r>
          </w:p>
          <w:p w14:paraId="5F9946A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 When medication related incidents occurred, these were investigated and followed up on.</w:t>
            </w:r>
          </w:p>
          <w:p w14:paraId="16398576" w14:textId="77777777" w:rsidR="00000000" w:rsidRPr="00BE00C7" w:rsidRDefault="00000000" w:rsidP="00BE00C7">
            <w:pPr>
              <w:pStyle w:val="OutcomeDescription"/>
              <w:spacing w:before="120" w:after="120"/>
              <w:rPr>
                <w:rFonts w:cs="Arial"/>
                <w:lang w:eastAsia="en-NZ"/>
              </w:rPr>
            </w:pPr>
          </w:p>
        </w:tc>
      </w:tr>
      <w:tr w:rsidR="00D10968" w14:paraId="7674972D" w14:textId="77777777">
        <w:tc>
          <w:tcPr>
            <w:tcW w:w="0" w:type="auto"/>
          </w:tcPr>
          <w:p w14:paraId="2076C13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6DE7D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lastRenderedPageBreak/>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0860A2A" w14:textId="77777777" w:rsidR="00000000" w:rsidRPr="00BE00C7" w:rsidRDefault="00000000" w:rsidP="00BE00C7">
            <w:pPr>
              <w:pStyle w:val="OutcomeDescription"/>
              <w:spacing w:before="120" w:after="120"/>
              <w:rPr>
                <w:rFonts w:cs="Arial"/>
                <w:lang w:eastAsia="en-NZ"/>
              </w:rPr>
            </w:pPr>
          </w:p>
        </w:tc>
        <w:tc>
          <w:tcPr>
            <w:tcW w:w="0" w:type="auto"/>
          </w:tcPr>
          <w:p w14:paraId="5140B91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0953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Food preferences and cultural preferences are encompassed into the menu. The kitchen receives resident dietary forms and is notified of any dietary </w:t>
            </w:r>
            <w:r w:rsidRPr="00BE00C7">
              <w:rPr>
                <w:rFonts w:cs="Arial"/>
                <w:lang w:eastAsia="en-NZ"/>
              </w:rPr>
              <w:lastRenderedPageBreak/>
              <w:t>changes for residents. Dislikes and special dietary requirements are accommodated, including food allergies. The chef manager interviewed reported they accommodate residents’ requests.</w:t>
            </w:r>
          </w:p>
          <w:p w14:paraId="6FE5FAF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expiring 7 April 2025.The residents and family/whānau interviewed were complimentary regarding the standard of food provided.</w:t>
            </w:r>
          </w:p>
          <w:p w14:paraId="64D9112B" w14:textId="77777777" w:rsidR="00000000" w:rsidRPr="00BE00C7" w:rsidRDefault="00000000" w:rsidP="00BE00C7">
            <w:pPr>
              <w:pStyle w:val="OutcomeDescription"/>
              <w:spacing w:before="120" w:after="120"/>
              <w:rPr>
                <w:rFonts w:cs="Arial"/>
                <w:lang w:eastAsia="en-NZ"/>
              </w:rPr>
            </w:pPr>
          </w:p>
        </w:tc>
      </w:tr>
      <w:tr w:rsidR="00D10968" w14:paraId="616642ED" w14:textId="77777777">
        <w:tc>
          <w:tcPr>
            <w:tcW w:w="0" w:type="auto"/>
          </w:tcPr>
          <w:p w14:paraId="71D8A38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F05D6B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E0A391D" w14:textId="77777777" w:rsidR="00000000" w:rsidRPr="00BE00C7" w:rsidRDefault="00000000" w:rsidP="00BE00C7">
            <w:pPr>
              <w:pStyle w:val="OutcomeDescription"/>
              <w:spacing w:before="120" w:after="120"/>
              <w:rPr>
                <w:rFonts w:cs="Arial"/>
                <w:lang w:eastAsia="en-NZ"/>
              </w:rPr>
            </w:pPr>
          </w:p>
        </w:tc>
        <w:tc>
          <w:tcPr>
            <w:tcW w:w="0" w:type="auto"/>
          </w:tcPr>
          <w:p w14:paraId="293DEE3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E7B3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1EE8BB4D" w14:textId="77777777" w:rsidR="00000000" w:rsidRPr="00BE00C7" w:rsidRDefault="00000000" w:rsidP="00BE00C7">
            <w:pPr>
              <w:pStyle w:val="OutcomeDescription"/>
              <w:spacing w:before="120" w:after="120"/>
              <w:rPr>
                <w:rFonts w:cs="Arial"/>
                <w:lang w:eastAsia="en-NZ"/>
              </w:rPr>
            </w:pPr>
          </w:p>
        </w:tc>
      </w:tr>
      <w:tr w:rsidR="00D10968" w14:paraId="682E5EA9" w14:textId="77777777">
        <w:tc>
          <w:tcPr>
            <w:tcW w:w="0" w:type="auto"/>
          </w:tcPr>
          <w:p w14:paraId="2B2262A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12F715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41CEEAC" w14:textId="77777777" w:rsidR="00000000" w:rsidRPr="00BE00C7" w:rsidRDefault="00000000" w:rsidP="00BE00C7">
            <w:pPr>
              <w:pStyle w:val="OutcomeDescription"/>
              <w:spacing w:before="120" w:after="120"/>
              <w:rPr>
                <w:rFonts w:cs="Arial"/>
                <w:lang w:eastAsia="en-NZ"/>
              </w:rPr>
            </w:pPr>
          </w:p>
        </w:tc>
        <w:tc>
          <w:tcPr>
            <w:tcW w:w="0" w:type="auto"/>
          </w:tcPr>
          <w:p w14:paraId="14FD404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97F7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CHT Glynavon and comply with legislation relevant to the health and disability services being provided. The environment is inclusive of people’s cultures and supports cultural practices. There is a current building warrant of fitness which expires June 2025. An annual maintenance plan includes electrical testing and tagging, equipment checks, call bell checks, medical equipment calibration, and monthly testing of hot water temperatures. </w:t>
            </w:r>
          </w:p>
          <w:p w14:paraId="2AFDDDAF" w14:textId="77777777" w:rsidR="00000000" w:rsidRPr="00BE00C7" w:rsidRDefault="00000000" w:rsidP="00BE00C7">
            <w:pPr>
              <w:pStyle w:val="OutcomeDescription"/>
              <w:spacing w:before="120" w:after="120"/>
              <w:rPr>
                <w:rFonts w:cs="Arial"/>
                <w:lang w:eastAsia="en-NZ"/>
              </w:rPr>
            </w:pPr>
          </w:p>
        </w:tc>
      </w:tr>
      <w:tr w:rsidR="00D10968" w14:paraId="62E9412C" w14:textId="77777777">
        <w:tc>
          <w:tcPr>
            <w:tcW w:w="0" w:type="auto"/>
          </w:tcPr>
          <w:p w14:paraId="55F25C4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DCBC6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D973FC2" w14:textId="77777777" w:rsidR="00000000" w:rsidRPr="00BE00C7" w:rsidRDefault="00000000" w:rsidP="00BE00C7">
            <w:pPr>
              <w:pStyle w:val="OutcomeDescription"/>
              <w:spacing w:before="120" w:after="120"/>
              <w:rPr>
                <w:rFonts w:cs="Arial"/>
                <w:lang w:eastAsia="en-NZ"/>
              </w:rPr>
            </w:pPr>
          </w:p>
        </w:tc>
        <w:tc>
          <w:tcPr>
            <w:tcW w:w="0" w:type="auto"/>
          </w:tcPr>
          <w:p w14:paraId="4E75A44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2D325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with input from external IPC services. The quality team approved the IPC programme, which is linked to the quality improvement programme. The IPC programme was current and has been reviewed annually. The IPC policies were developed by suitably qualified personnel, complied with relevant legislation, and accepted best practices. The IPC policies reflect the requirements of the infection prevention and control standards and include appropriate referencing.</w:t>
            </w:r>
          </w:p>
          <w:p w14:paraId="6AF0B33B"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Residents were reminded about handwashing and advised about remaining in their rooms if they are unwell supervised by care staff. This was confirmed in interviews with residents and family/whānau.</w:t>
            </w:r>
          </w:p>
          <w:p w14:paraId="2F18BBCC" w14:textId="77777777" w:rsidR="00000000" w:rsidRPr="00BE00C7" w:rsidRDefault="00000000" w:rsidP="00BE00C7">
            <w:pPr>
              <w:pStyle w:val="OutcomeDescription"/>
              <w:spacing w:before="120" w:after="120"/>
              <w:rPr>
                <w:rFonts w:cs="Arial"/>
                <w:lang w:eastAsia="en-NZ"/>
              </w:rPr>
            </w:pPr>
          </w:p>
        </w:tc>
      </w:tr>
      <w:tr w:rsidR="00D10968" w14:paraId="238D7552" w14:textId="77777777">
        <w:tc>
          <w:tcPr>
            <w:tcW w:w="0" w:type="auto"/>
          </w:tcPr>
          <w:p w14:paraId="29761A7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2E112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F871497" w14:textId="77777777" w:rsidR="00000000" w:rsidRPr="00BE00C7" w:rsidRDefault="00000000" w:rsidP="00BE00C7">
            <w:pPr>
              <w:pStyle w:val="OutcomeDescription"/>
              <w:spacing w:before="120" w:after="120"/>
              <w:rPr>
                <w:rFonts w:cs="Arial"/>
                <w:lang w:eastAsia="en-NZ"/>
              </w:rPr>
            </w:pPr>
          </w:p>
        </w:tc>
        <w:tc>
          <w:tcPr>
            <w:tcW w:w="0" w:type="auto"/>
          </w:tcPr>
          <w:p w14:paraId="7C2DED2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EFB43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implemented. The HAIs being monitored included urinary tract infections, skin, eyes, respiratory, and wounds. Surveillance tools are used to collect infection data, and standardised surveillance definitions are used. Surveillance of all infections (including organisms) is entered into a monthly infection summary. This data is monitored and analysed for trends monthly and annually. Infection control surveillance is discussed at quality and staff meetings and sent to CHT head office.</w:t>
            </w:r>
          </w:p>
          <w:p w14:paraId="6EE204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and they included cleaning, laundry, personal protective equipment (PPE), donning and doffing, and hand hygiene. Relevant corrective actions were implemented where required. </w:t>
            </w:r>
          </w:p>
          <w:p w14:paraId="6FDE8C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reported that they are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at shift handovers for early interventions to be implemented. Benchmarking is completed internally and </w:t>
            </w:r>
            <w:r w:rsidRPr="00BE00C7">
              <w:rPr>
                <w:rFonts w:cs="Arial"/>
                <w:lang w:eastAsia="en-NZ"/>
              </w:rPr>
              <w:lastRenderedPageBreak/>
              <w:t>externally with results from previous months and other sister facilities.</w:t>
            </w:r>
          </w:p>
          <w:p w14:paraId="47C2EF0A" w14:textId="77777777" w:rsidR="00000000" w:rsidRPr="00BE00C7" w:rsidRDefault="00000000" w:rsidP="00BE00C7">
            <w:pPr>
              <w:pStyle w:val="OutcomeDescription"/>
              <w:spacing w:before="120" w:after="120"/>
              <w:rPr>
                <w:rFonts w:cs="Arial"/>
                <w:lang w:eastAsia="en-NZ"/>
              </w:rPr>
            </w:pPr>
            <w:r w:rsidRPr="00BE00C7">
              <w:rPr>
                <w:rFonts w:cs="Arial"/>
                <w:lang w:eastAsia="en-NZ"/>
              </w:rPr>
              <w:t>A Covid-19 infection outbreak has been reported since the previous audit in May 2024. This was managed in accordance with the pandemic plan, with appropriate notification completed.</w:t>
            </w:r>
          </w:p>
          <w:p w14:paraId="1C59292D" w14:textId="77777777" w:rsidR="00000000" w:rsidRPr="00BE00C7" w:rsidRDefault="00000000" w:rsidP="00BE00C7">
            <w:pPr>
              <w:pStyle w:val="OutcomeDescription"/>
              <w:spacing w:before="120" w:after="120"/>
              <w:rPr>
                <w:rFonts w:cs="Arial"/>
                <w:lang w:eastAsia="en-NZ"/>
              </w:rPr>
            </w:pPr>
          </w:p>
        </w:tc>
      </w:tr>
      <w:tr w:rsidR="00D10968" w14:paraId="4C721758" w14:textId="77777777">
        <w:tc>
          <w:tcPr>
            <w:tcW w:w="0" w:type="auto"/>
          </w:tcPr>
          <w:p w14:paraId="04DA99B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146D90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6014840" w14:textId="77777777" w:rsidR="00000000" w:rsidRPr="00BE00C7" w:rsidRDefault="00000000" w:rsidP="00BE00C7">
            <w:pPr>
              <w:pStyle w:val="OutcomeDescription"/>
              <w:spacing w:before="120" w:after="120"/>
              <w:rPr>
                <w:rFonts w:cs="Arial"/>
                <w:lang w:eastAsia="en-NZ"/>
              </w:rPr>
            </w:pPr>
          </w:p>
        </w:tc>
        <w:tc>
          <w:tcPr>
            <w:tcW w:w="0" w:type="auto"/>
          </w:tcPr>
          <w:p w14:paraId="1A3D7D2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F6A94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the use of restraint wherever possible. Restraint policy confirms that restraint consideration and application must be done in partnership with families/ whānau, and the choice of device must be the least restrictive possible. The restraint coordinator interviewed described the focus on restraint elimination. At all times when restraint is considered, the facility will work in partnership with Māori, to promote and ensure services are mana enhancing. </w:t>
            </w:r>
          </w:p>
          <w:p w14:paraId="68C871B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no residents using restraint. </w:t>
            </w:r>
          </w:p>
          <w:p w14:paraId="6CBF556A"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elimination is included as part of the mandatory training plan and orientation programme.</w:t>
            </w:r>
          </w:p>
          <w:p w14:paraId="033CBED8" w14:textId="77777777" w:rsidR="00000000" w:rsidRPr="00BE00C7" w:rsidRDefault="00000000" w:rsidP="00BE00C7">
            <w:pPr>
              <w:pStyle w:val="OutcomeDescription"/>
              <w:spacing w:before="120" w:after="120"/>
              <w:rPr>
                <w:rFonts w:cs="Arial"/>
                <w:lang w:eastAsia="en-NZ"/>
              </w:rPr>
            </w:pPr>
          </w:p>
        </w:tc>
      </w:tr>
    </w:tbl>
    <w:p w14:paraId="4FF6719F"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3C71CBC3" w14:textId="77777777" w:rsidR="00000000" w:rsidRDefault="00000000">
      <w:pPr>
        <w:pStyle w:val="Heading1"/>
        <w:rPr>
          <w:rFonts w:cs="Arial"/>
        </w:rPr>
      </w:pPr>
      <w:r>
        <w:rPr>
          <w:rFonts w:cs="Arial"/>
        </w:rPr>
        <w:lastRenderedPageBreak/>
        <w:t>Specific results for criterion where corrective actions are required</w:t>
      </w:r>
    </w:p>
    <w:p w14:paraId="74A2BA00"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1C67AC0"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565FEF31"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10968" w14:paraId="66617AEE" w14:textId="77777777">
        <w:tc>
          <w:tcPr>
            <w:tcW w:w="0" w:type="auto"/>
          </w:tcPr>
          <w:p w14:paraId="396803AB"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4B5E510"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1121602C" w14:textId="77777777" w:rsidR="00000000" w:rsidRDefault="00000000">
      <w:pPr>
        <w:pStyle w:val="Heading1"/>
        <w:rPr>
          <w:rFonts w:cs="Arial"/>
        </w:rPr>
      </w:pPr>
      <w:r>
        <w:rPr>
          <w:rFonts w:cs="Arial"/>
        </w:rPr>
        <w:lastRenderedPageBreak/>
        <w:t>Specific results for criterion where a continuous improvement has been recorded</w:t>
      </w:r>
    </w:p>
    <w:p w14:paraId="487324CB"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4574B0E"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3E6FA41"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10968" w14:paraId="08AC6432" w14:textId="77777777">
        <w:tc>
          <w:tcPr>
            <w:tcW w:w="0" w:type="auto"/>
          </w:tcPr>
          <w:p w14:paraId="6F1B62DB"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88C96B9"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247F18C4"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F899" w14:textId="77777777" w:rsidR="00567AD7" w:rsidRDefault="00567AD7">
      <w:r>
        <w:separator/>
      </w:r>
    </w:p>
  </w:endnote>
  <w:endnote w:type="continuationSeparator" w:id="0">
    <w:p w14:paraId="5E7F37A3" w14:textId="77777777" w:rsidR="00567AD7" w:rsidRDefault="0056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6EFD" w14:textId="77777777" w:rsidR="00000000" w:rsidRDefault="00000000">
    <w:pPr>
      <w:pStyle w:val="Footer"/>
    </w:pPr>
  </w:p>
  <w:p w14:paraId="5AC6CF54" w14:textId="77777777" w:rsidR="00000000" w:rsidRDefault="00000000"/>
  <w:p w14:paraId="180CA72E"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6C0"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CHT Glynavon</w:t>
    </w:r>
    <w:bookmarkEnd w:id="59"/>
    <w:r>
      <w:rPr>
        <w:rFonts w:cs="Arial"/>
        <w:sz w:val="16"/>
        <w:szCs w:val="20"/>
      </w:rPr>
      <w:tab/>
      <w:t xml:space="preserve">Date of Audit: </w:t>
    </w:r>
    <w:bookmarkStart w:id="60" w:name="AuditStartDate1"/>
    <w:r>
      <w:rPr>
        <w:rFonts w:cs="Arial"/>
        <w:sz w:val="16"/>
        <w:szCs w:val="20"/>
      </w:rPr>
      <w:t>16 December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E407EB8"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1BF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666D" w14:textId="77777777" w:rsidR="00567AD7" w:rsidRDefault="00567AD7">
      <w:r>
        <w:separator/>
      </w:r>
    </w:p>
  </w:footnote>
  <w:footnote w:type="continuationSeparator" w:id="0">
    <w:p w14:paraId="3A8D1449" w14:textId="77777777" w:rsidR="00567AD7" w:rsidRDefault="00567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5CB5" w14:textId="77777777" w:rsidR="00000000" w:rsidRDefault="00000000">
    <w:pPr>
      <w:pStyle w:val="Header"/>
    </w:pPr>
  </w:p>
  <w:p w14:paraId="715953C2"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173E" w14:textId="77777777" w:rsidR="00000000" w:rsidRDefault="00000000">
    <w:pPr>
      <w:pStyle w:val="Header"/>
    </w:pPr>
  </w:p>
  <w:p w14:paraId="2FA06750"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587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CA65190">
      <w:start w:val="1"/>
      <w:numFmt w:val="decimal"/>
      <w:lvlText w:val="%1."/>
      <w:lvlJc w:val="left"/>
      <w:pPr>
        <w:ind w:left="360" w:hanging="360"/>
      </w:pPr>
    </w:lvl>
    <w:lvl w:ilvl="1" w:tplc="8834CDB0" w:tentative="1">
      <w:start w:val="1"/>
      <w:numFmt w:val="lowerLetter"/>
      <w:lvlText w:val="%2."/>
      <w:lvlJc w:val="left"/>
      <w:pPr>
        <w:ind w:left="1080" w:hanging="360"/>
      </w:pPr>
    </w:lvl>
    <w:lvl w:ilvl="2" w:tplc="88407AF8" w:tentative="1">
      <w:start w:val="1"/>
      <w:numFmt w:val="lowerRoman"/>
      <w:lvlText w:val="%3."/>
      <w:lvlJc w:val="right"/>
      <w:pPr>
        <w:ind w:left="1800" w:hanging="180"/>
      </w:pPr>
    </w:lvl>
    <w:lvl w:ilvl="3" w:tplc="EA2640F8" w:tentative="1">
      <w:start w:val="1"/>
      <w:numFmt w:val="decimal"/>
      <w:lvlText w:val="%4."/>
      <w:lvlJc w:val="left"/>
      <w:pPr>
        <w:ind w:left="2520" w:hanging="360"/>
      </w:pPr>
    </w:lvl>
    <w:lvl w:ilvl="4" w:tplc="B9300A88" w:tentative="1">
      <w:start w:val="1"/>
      <w:numFmt w:val="lowerLetter"/>
      <w:lvlText w:val="%5."/>
      <w:lvlJc w:val="left"/>
      <w:pPr>
        <w:ind w:left="3240" w:hanging="360"/>
      </w:pPr>
    </w:lvl>
    <w:lvl w:ilvl="5" w:tplc="6DA25192" w:tentative="1">
      <w:start w:val="1"/>
      <w:numFmt w:val="lowerRoman"/>
      <w:lvlText w:val="%6."/>
      <w:lvlJc w:val="right"/>
      <w:pPr>
        <w:ind w:left="3960" w:hanging="180"/>
      </w:pPr>
    </w:lvl>
    <w:lvl w:ilvl="6" w:tplc="DEBC4BE0" w:tentative="1">
      <w:start w:val="1"/>
      <w:numFmt w:val="decimal"/>
      <w:lvlText w:val="%7."/>
      <w:lvlJc w:val="left"/>
      <w:pPr>
        <w:ind w:left="4680" w:hanging="360"/>
      </w:pPr>
    </w:lvl>
    <w:lvl w:ilvl="7" w:tplc="4F9A3096" w:tentative="1">
      <w:start w:val="1"/>
      <w:numFmt w:val="lowerLetter"/>
      <w:lvlText w:val="%8."/>
      <w:lvlJc w:val="left"/>
      <w:pPr>
        <w:ind w:left="5400" w:hanging="360"/>
      </w:pPr>
    </w:lvl>
    <w:lvl w:ilvl="8" w:tplc="77D6C6A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17CFFA4">
      <w:start w:val="1"/>
      <w:numFmt w:val="bullet"/>
      <w:lvlText w:val=""/>
      <w:lvlJc w:val="left"/>
      <w:pPr>
        <w:ind w:left="720" w:hanging="360"/>
      </w:pPr>
      <w:rPr>
        <w:rFonts w:ascii="Symbol" w:hAnsi="Symbol" w:hint="default"/>
      </w:rPr>
    </w:lvl>
    <w:lvl w:ilvl="1" w:tplc="FBC09BD6" w:tentative="1">
      <w:start w:val="1"/>
      <w:numFmt w:val="bullet"/>
      <w:lvlText w:val="o"/>
      <w:lvlJc w:val="left"/>
      <w:pPr>
        <w:ind w:left="1440" w:hanging="360"/>
      </w:pPr>
      <w:rPr>
        <w:rFonts w:ascii="Courier New" w:hAnsi="Courier New" w:cs="Courier New" w:hint="default"/>
      </w:rPr>
    </w:lvl>
    <w:lvl w:ilvl="2" w:tplc="E6F85EB0" w:tentative="1">
      <w:start w:val="1"/>
      <w:numFmt w:val="bullet"/>
      <w:lvlText w:val=""/>
      <w:lvlJc w:val="left"/>
      <w:pPr>
        <w:ind w:left="2160" w:hanging="360"/>
      </w:pPr>
      <w:rPr>
        <w:rFonts w:ascii="Wingdings" w:hAnsi="Wingdings" w:hint="default"/>
      </w:rPr>
    </w:lvl>
    <w:lvl w:ilvl="3" w:tplc="F76EF6D2" w:tentative="1">
      <w:start w:val="1"/>
      <w:numFmt w:val="bullet"/>
      <w:lvlText w:val=""/>
      <w:lvlJc w:val="left"/>
      <w:pPr>
        <w:ind w:left="2880" w:hanging="360"/>
      </w:pPr>
      <w:rPr>
        <w:rFonts w:ascii="Symbol" w:hAnsi="Symbol" w:hint="default"/>
      </w:rPr>
    </w:lvl>
    <w:lvl w:ilvl="4" w:tplc="7F44E43C" w:tentative="1">
      <w:start w:val="1"/>
      <w:numFmt w:val="bullet"/>
      <w:lvlText w:val="o"/>
      <w:lvlJc w:val="left"/>
      <w:pPr>
        <w:ind w:left="3600" w:hanging="360"/>
      </w:pPr>
      <w:rPr>
        <w:rFonts w:ascii="Courier New" w:hAnsi="Courier New" w:cs="Courier New" w:hint="default"/>
      </w:rPr>
    </w:lvl>
    <w:lvl w:ilvl="5" w:tplc="57F81B18" w:tentative="1">
      <w:start w:val="1"/>
      <w:numFmt w:val="bullet"/>
      <w:lvlText w:val=""/>
      <w:lvlJc w:val="left"/>
      <w:pPr>
        <w:ind w:left="4320" w:hanging="360"/>
      </w:pPr>
      <w:rPr>
        <w:rFonts w:ascii="Wingdings" w:hAnsi="Wingdings" w:hint="default"/>
      </w:rPr>
    </w:lvl>
    <w:lvl w:ilvl="6" w:tplc="DACA20BE" w:tentative="1">
      <w:start w:val="1"/>
      <w:numFmt w:val="bullet"/>
      <w:lvlText w:val=""/>
      <w:lvlJc w:val="left"/>
      <w:pPr>
        <w:ind w:left="5040" w:hanging="360"/>
      </w:pPr>
      <w:rPr>
        <w:rFonts w:ascii="Symbol" w:hAnsi="Symbol" w:hint="default"/>
      </w:rPr>
    </w:lvl>
    <w:lvl w:ilvl="7" w:tplc="73C27D4A" w:tentative="1">
      <w:start w:val="1"/>
      <w:numFmt w:val="bullet"/>
      <w:lvlText w:val="o"/>
      <w:lvlJc w:val="left"/>
      <w:pPr>
        <w:ind w:left="5760" w:hanging="360"/>
      </w:pPr>
      <w:rPr>
        <w:rFonts w:ascii="Courier New" w:hAnsi="Courier New" w:cs="Courier New" w:hint="default"/>
      </w:rPr>
    </w:lvl>
    <w:lvl w:ilvl="8" w:tplc="EBE43C6E" w:tentative="1">
      <w:start w:val="1"/>
      <w:numFmt w:val="bullet"/>
      <w:lvlText w:val=""/>
      <w:lvlJc w:val="left"/>
      <w:pPr>
        <w:ind w:left="6480" w:hanging="360"/>
      </w:pPr>
      <w:rPr>
        <w:rFonts w:ascii="Wingdings" w:hAnsi="Wingdings" w:hint="default"/>
      </w:rPr>
    </w:lvl>
  </w:abstractNum>
  <w:num w:numId="1" w16cid:durableId="1943609213">
    <w:abstractNumId w:val="1"/>
  </w:num>
  <w:num w:numId="2" w16cid:durableId="31792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968"/>
    <w:rsid w:val="002673CC"/>
    <w:rsid w:val="00434381"/>
    <w:rsid w:val="00567AD7"/>
    <w:rsid w:val="00912F81"/>
    <w:rsid w:val="00D109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4777"/>
  <w15:docId w15:val="{6525FF90-7243-4ED8-B1C7-3C13D80C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7236</Words>
  <Characters>41247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5</cp:revision>
  <dcterms:created xsi:type="dcterms:W3CDTF">2023-11-22T21:26:00Z</dcterms:created>
  <dcterms:modified xsi:type="dcterms:W3CDTF">2025-02-24T18:24:00Z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