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9A5B9" w14:textId="77777777" w:rsidR="00111B69" w:rsidRDefault="00111B69">
      <w:pPr>
        <w:pStyle w:val="Heading1"/>
        <w:rPr>
          <w:rFonts w:cs="Arial"/>
        </w:rPr>
      </w:pPr>
      <w:bookmarkStart w:id="0" w:name="PRMS_RIName"/>
      <w:r>
        <w:rPr>
          <w:rFonts w:cs="Arial"/>
        </w:rPr>
        <w:t>Copper Crest Living Well Limited - Copper Crest Living Well Limited</w:t>
      </w:r>
      <w:bookmarkEnd w:id="0"/>
    </w:p>
    <w:p w14:paraId="5D4776B5" w14:textId="77777777" w:rsidR="00111B69" w:rsidRDefault="00111B69">
      <w:pPr>
        <w:pStyle w:val="Heading2"/>
        <w:spacing w:after="0"/>
        <w:rPr>
          <w:rFonts w:cs="Arial"/>
        </w:rPr>
      </w:pPr>
      <w:r>
        <w:rPr>
          <w:rFonts w:cs="Arial"/>
        </w:rPr>
        <w:t>Introduction</w:t>
      </w:r>
    </w:p>
    <w:p w14:paraId="19A1E90E" w14:textId="77777777" w:rsidR="00111B69" w:rsidRDefault="00111B69">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37675C1" w14:textId="77777777" w:rsidR="00111B69" w:rsidRDefault="00111B69">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2906BBF" w14:textId="77777777" w:rsidR="00111B69" w:rsidRDefault="00111B69">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98230F7" w14:textId="77777777" w:rsidR="00111B69" w:rsidRDefault="00111B69"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29D3E83" w14:textId="77777777" w:rsidR="00111B69" w:rsidRDefault="00111B69">
      <w:pPr>
        <w:spacing w:before="240" w:after="240"/>
        <w:rPr>
          <w:rFonts w:cs="Arial"/>
          <w:lang w:eastAsia="en-NZ"/>
        </w:rPr>
      </w:pPr>
      <w:r>
        <w:rPr>
          <w:rFonts w:cs="Arial"/>
          <w:lang w:eastAsia="en-NZ"/>
        </w:rPr>
        <w:t>The specifics of this audit included:</w:t>
      </w:r>
    </w:p>
    <w:p w14:paraId="5573E5B4" w14:textId="77777777" w:rsidR="00111B69" w:rsidRPr="009D18F5" w:rsidRDefault="00111B69" w:rsidP="009D18F5">
      <w:pPr>
        <w:pBdr>
          <w:top w:val="single" w:sz="4" w:space="1" w:color="auto"/>
          <w:left w:val="single" w:sz="4" w:space="4" w:color="auto"/>
          <w:bottom w:val="single" w:sz="4" w:space="1" w:color="auto"/>
          <w:right w:val="single" w:sz="4" w:space="4" w:color="auto"/>
        </w:pBdr>
        <w:rPr>
          <w:rFonts w:cs="Arial"/>
        </w:rPr>
      </w:pPr>
    </w:p>
    <w:p w14:paraId="5A401A7B" w14:textId="77777777" w:rsidR="00111B69" w:rsidRPr="009418D4" w:rsidRDefault="00111B6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Copper Crest Living Well Limited</w:t>
      </w:r>
      <w:bookmarkEnd w:id="4"/>
    </w:p>
    <w:p w14:paraId="6844D6B2" w14:textId="77777777" w:rsidR="00111B69" w:rsidRPr="009418D4" w:rsidRDefault="00111B6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Copper Crest Living Well Limited</w:t>
      </w:r>
      <w:bookmarkEnd w:id="5"/>
    </w:p>
    <w:p w14:paraId="33ED47BA" w14:textId="77777777" w:rsidR="00111B69" w:rsidRPr="009418D4" w:rsidRDefault="00111B6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30E574FA" w14:textId="77777777" w:rsidR="00111B69" w:rsidRPr="009418D4" w:rsidRDefault="00111B6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 xml:space="preserve">Dates of </w:t>
      </w:r>
      <w:r w:rsidRPr="009D18F5">
        <w:rPr>
          <w:rFonts w:cs="Arial"/>
          <w:b/>
        </w:rPr>
        <w:t>audit:</w:t>
      </w:r>
      <w:r>
        <w:rPr>
          <w:rFonts w:cs="Arial"/>
        </w:rPr>
        <w:tab/>
      </w:r>
      <w:r w:rsidRPr="009418D4">
        <w:rPr>
          <w:rFonts w:cs="Arial"/>
        </w:rPr>
        <w:t xml:space="preserve">Start date: </w:t>
      </w:r>
      <w:bookmarkStart w:id="7" w:name="AuditStartDate"/>
      <w:r>
        <w:rPr>
          <w:rFonts w:cs="Arial"/>
        </w:rPr>
        <w:t>10 December 2024</w:t>
      </w:r>
      <w:bookmarkEnd w:id="7"/>
      <w:r w:rsidRPr="009418D4">
        <w:rPr>
          <w:rFonts w:cs="Arial"/>
        </w:rPr>
        <w:tab/>
        <w:t xml:space="preserve">End date: </w:t>
      </w:r>
      <w:bookmarkStart w:id="8" w:name="AuditEndDate"/>
      <w:r>
        <w:rPr>
          <w:rFonts w:cs="Arial"/>
        </w:rPr>
        <w:t>11 December 2024</w:t>
      </w:r>
      <w:bookmarkEnd w:id="8"/>
    </w:p>
    <w:p w14:paraId="6DC55C74" w14:textId="77777777" w:rsidR="00111B69" w:rsidRPr="009418D4" w:rsidRDefault="00111B6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778D2D7" w14:textId="77777777" w:rsidR="00A35885" w:rsidRPr="009418D4" w:rsidRDefault="00111B6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52</w:t>
      </w:r>
      <w:bookmarkEnd w:id="10"/>
    </w:p>
    <w:p w14:paraId="013D4FF6" w14:textId="77777777" w:rsidR="00111B69" w:rsidRDefault="00111B69" w:rsidP="009D18F5">
      <w:pPr>
        <w:pBdr>
          <w:top w:val="single" w:sz="4" w:space="1" w:color="auto"/>
          <w:left w:val="single" w:sz="4" w:space="4" w:color="auto"/>
          <w:bottom w:val="single" w:sz="4" w:space="1" w:color="auto"/>
          <w:right w:val="single" w:sz="4" w:space="4" w:color="auto"/>
        </w:pBdr>
        <w:rPr>
          <w:rFonts w:cs="Arial"/>
          <w:lang w:eastAsia="en-NZ"/>
        </w:rPr>
      </w:pPr>
    </w:p>
    <w:p w14:paraId="28313948" w14:textId="77777777" w:rsidR="00111B69" w:rsidRDefault="00111B69">
      <w:pPr>
        <w:pStyle w:val="Heading1"/>
        <w:rPr>
          <w:rFonts w:cs="Arial"/>
        </w:rPr>
      </w:pPr>
      <w:r>
        <w:rPr>
          <w:rFonts w:cs="Arial"/>
        </w:rPr>
        <w:lastRenderedPageBreak/>
        <w:t>Executive summary of the audit</w:t>
      </w:r>
    </w:p>
    <w:p w14:paraId="036F3961" w14:textId="77777777" w:rsidR="00111B69" w:rsidRDefault="00111B69">
      <w:pPr>
        <w:pStyle w:val="Heading2"/>
        <w:rPr>
          <w:rFonts w:cs="Arial"/>
        </w:rPr>
      </w:pPr>
      <w:r>
        <w:rPr>
          <w:rFonts w:cs="Arial"/>
        </w:rPr>
        <w:t>Introduction</w:t>
      </w:r>
    </w:p>
    <w:p w14:paraId="5CF90262" w14:textId="77777777" w:rsidR="00111B69" w:rsidRDefault="00111B69">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7DD5E60" w14:textId="77777777" w:rsidR="00111B69" w:rsidRDefault="00111B69"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27A7944" w14:textId="77777777" w:rsidR="00111B69" w:rsidRDefault="00111B69"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F8B113A" w14:textId="77777777" w:rsidR="00111B69" w:rsidRDefault="00111B69"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520AAA5" w14:textId="77777777" w:rsidR="00111B69" w:rsidRDefault="00111B69"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13F6E35" w14:textId="77777777" w:rsidR="00111B69" w:rsidRDefault="00111B69"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973C12A" w14:textId="77777777" w:rsidR="00111B69" w:rsidRDefault="00111B69"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8C66744" w14:textId="77777777" w:rsidR="00111B69" w:rsidRDefault="00111B69">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E744A9D" w14:textId="77777777" w:rsidR="00111B69" w:rsidRDefault="00111B69">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35885" w14:paraId="719123BE" w14:textId="77777777">
        <w:trPr>
          <w:cantSplit/>
          <w:tblHeader/>
        </w:trPr>
        <w:tc>
          <w:tcPr>
            <w:tcW w:w="1260" w:type="dxa"/>
            <w:tcBorders>
              <w:bottom w:val="single" w:sz="4" w:space="0" w:color="000000"/>
            </w:tcBorders>
            <w:vAlign w:val="center"/>
          </w:tcPr>
          <w:p w14:paraId="1E5F1146" w14:textId="77777777" w:rsidR="00111B69" w:rsidRDefault="00111B69">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02672A9" w14:textId="77777777" w:rsidR="00111B69" w:rsidRDefault="00111B69">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E099B22" w14:textId="77777777" w:rsidR="00111B69" w:rsidRDefault="00111B69">
            <w:pPr>
              <w:spacing w:before="60" w:after="60"/>
              <w:rPr>
                <w:rFonts w:eastAsia="Calibri"/>
                <w:b/>
                <w:szCs w:val="24"/>
              </w:rPr>
            </w:pPr>
            <w:r>
              <w:rPr>
                <w:rFonts w:eastAsia="Calibri"/>
                <w:b/>
                <w:szCs w:val="24"/>
              </w:rPr>
              <w:t>Definition</w:t>
            </w:r>
          </w:p>
        </w:tc>
      </w:tr>
      <w:tr w:rsidR="00A35885" w14:paraId="61210893" w14:textId="77777777">
        <w:trPr>
          <w:cantSplit/>
          <w:trHeight w:val="964"/>
        </w:trPr>
        <w:tc>
          <w:tcPr>
            <w:tcW w:w="1260" w:type="dxa"/>
            <w:tcBorders>
              <w:bottom w:val="single" w:sz="4" w:space="0" w:color="000000"/>
            </w:tcBorders>
            <w:shd w:val="clear" w:color="0066FF" w:fill="0000FF"/>
            <w:vAlign w:val="center"/>
          </w:tcPr>
          <w:p w14:paraId="6815194C" w14:textId="77777777" w:rsidR="00111B69" w:rsidRDefault="00111B69">
            <w:pPr>
              <w:spacing w:before="60" w:after="60"/>
              <w:rPr>
                <w:rFonts w:eastAsia="Calibri"/>
                <w:szCs w:val="24"/>
              </w:rPr>
            </w:pPr>
          </w:p>
        </w:tc>
        <w:tc>
          <w:tcPr>
            <w:tcW w:w="7095" w:type="dxa"/>
            <w:tcBorders>
              <w:bottom w:val="single" w:sz="4" w:space="0" w:color="000000"/>
            </w:tcBorders>
            <w:shd w:val="clear" w:color="auto" w:fill="auto"/>
            <w:vAlign w:val="center"/>
          </w:tcPr>
          <w:p w14:paraId="0C785A65" w14:textId="77777777" w:rsidR="00111B69" w:rsidRDefault="00111B69">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03089BF" w14:textId="632060ED" w:rsidR="00111B69" w:rsidRDefault="00111B69">
            <w:pPr>
              <w:spacing w:before="60" w:after="60"/>
              <w:ind w:left="50"/>
              <w:rPr>
                <w:rFonts w:eastAsia="Calibri"/>
                <w:szCs w:val="24"/>
              </w:rPr>
            </w:pPr>
            <w:r w:rsidRPr="00FB778F">
              <w:rPr>
                <w:rFonts w:eastAsia="Calibri"/>
                <w:szCs w:val="24"/>
              </w:rPr>
              <w:t xml:space="preserve">All subsections applicable to this service </w:t>
            </w:r>
            <w:r w:rsidR="003E037A">
              <w:rPr>
                <w:rFonts w:eastAsia="Calibri"/>
                <w:szCs w:val="24"/>
              </w:rPr>
              <w:t xml:space="preserve">are </w:t>
            </w:r>
            <w:r w:rsidRPr="00FB778F">
              <w:rPr>
                <w:rFonts w:eastAsia="Calibri"/>
                <w:szCs w:val="24"/>
              </w:rPr>
              <w:t xml:space="preserve">fully </w:t>
            </w:r>
            <w:r w:rsidRPr="00FB778F">
              <w:rPr>
                <w:rFonts w:eastAsia="Calibri"/>
                <w:szCs w:val="24"/>
              </w:rPr>
              <w:t>attained with some subsections exceeded</w:t>
            </w:r>
          </w:p>
        </w:tc>
      </w:tr>
      <w:tr w:rsidR="00A35885" w14:paraId="4BB680DB" w14:textId="77777777">
        <w:trPr>
          <w:cantSplit/>
          <w:trHeight w:val="964"/>
        </w:trPr>
        <w:tc>
          <w:tcPr>
            <w:tcW w:w="1260" w:type="dxa"/>
            <w:shd w:val="clear" w:color="33CC33" w:fill="00FF00"/>
            <w:vAlign w:val="center"/>
          </w:tcPr>
          <w:p w14:paraId="4B52E557" w14:textId="77777777" w:rsidR="00111B69" w:rsidRDefault="00111B69">
            <w:pPr>
              <w:spacing w:before="60" w:after="60"/>
              <w:rPr>
                <w:rFonts w:eastAsia="Calibri"/>
                <w:szCs w:val="24"/>
              </w:rPr>
            </w:pPr>
          </w:p>
        </w:tc>
        <w:tc>
          <w:tcPr>
            <w:tcW w:w="7095" w:type="dxa"/>
            <w:shd w:val="clear" w:color="auto" w:fill="auto"/>
            <w:vAlign w:val="center"/>
          </w:tcPr>
          <w:p w14:paraId="46351F16" w14:textId="77777777" w:rsidR="00111B69" w:rsidRDefault="00111B69">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EF658B8" w14:textId="3B0477D0" w:rsidR="00111B69" w:rsidRDefault="00111B69">
            <w:pPr>
              <w:spacing w:before="60" w:after="60"/>
              <w:ind w:left="50"/>
              <w:rPr>
                <w:rFonts w:eastAsia="Calibri"/>
                <w:szCs w:val="24"/>
              </w:rPr>
            </w:pPr>
            <w:r w:rsidRPr="00FB778F">
              <w:rPr>
                <w:rFonts w:eastAsia="Calibri"/>
                <w:szCs w:val="24"/>
              </w:rPr>
              <w:t xml:space="preserve">Subsections applicable to this service </w:t>
            </w:r>
            <w:r w:rsidR="003E037A">
              <w:rPr>
                <w:rFonts w:eastAsia="Calibri"/>
                <w:szCs w:val="24"/>
              </w:rPr>
              <w:t xml:space="preserve">are </w:t>
            </w:r>
            <w:r w:rsidRPr="00FB778F">
              <w:rPr>
                <w:rFonts w:eastAsia="Calibri"/>
                <w:szCs w:val="24"/>
              </w:rPr>
              <w:t>fully attained</w:t>
            </w:r>
          </w:p>
        </w:tc>
      </w:tr>
      <w:tr w:rsidR="00A35885" w14:paraId="67A78D96" w14:textId="77777777">
        <w:trPr>
          <w:cantSplit/>
          <w:trHeight w:val="964"/>
        </w:trPr>
        <w:tc>
          <w:tcPr>
            <w:tcW w:w="1260" w:type="dxa"/>
            <w:tcBorders>
              <w:bottom w:val="single" w:sz="4" w:space="0" w:color="000000"/>
            </w:tcBorders>
            <w:shd w:val="clear" w:color="auto" w:fill="FFFF00"/>
            <w:vAlign w:val="center"/>
          </w:tcPr>
          <w:p w14:paraId="337A2EB2" w14:textId="77777777" w:rsidR="00111B69" w:rsidRDefault="00111B69">
            <w:pPr>
              <w:spacing w:before="60" w:after="60"/>
              <w:rPr>
                <w:rFonts w:eastAsia="Calibri"/>
                <w:szCs w:val="24"/>
              </w:rPr>
            </w:pPr>
          </w:p>
        </w:tc>
        <w:tc>
          <w:tcPr>
            <w:tcW w:w="7095" w:type="dxa"/>
            <w:shd w:val="clear" w:color="auto" w:fill="auto"/>
            <w:vAlign w:val="center"/>
          </w:tcPr>
          <w:p w14:paraId="715E3409" w14:textId="77777777" w:rsidR="00111B69" w:rsidRDefault="00111B69">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5FF2126" w14:textId="27E3A98F" w:rsidR="00111B69" w:rsidRDefault="00111B69">
            <w:pPr>
              <w:spacing w:before="60" w:after="60"/>
              <w:ind w:left="50"/>
              <w:rPr>
                <w:rFonts w:eastAsia="Calibri"/>
                <w:szCs w:val="24"/>
              </w:rPr>
            </w:pPr>
            <w:r w:rsidRPr="00FB778F">
              <w:rPr>
                <w:rFonts w:eastAsia="Calibri"/>
                <w:szCs w:val="24"/>
              </w:rPr>
              <w:t xml:space="preserve">Some </w:t>
            </w:r>
            <w:r w:rsidRPr="00FB778F">
              <w:rPr>
                <w:rFonts w:eastAsia="Calibri"/>
                <w:szCs w:val="24"/>
              </w:rPr>
              <w:t xml:space="preserve">subsections applicable to this service </w:t>
            </w:r>
            <w:r w:rsidR="003E037A">
              <w:rPr>
                <w:rFonts w:eastAsia="Calibri"/>
                <w:szCs w:val="24"/>
              </w:rPr>
              <w:t xml:space="preserve">are </w:t>
            </w:r>
            <w:r w:rsidRPr="00FB778F">
              <w:rPr>
                <w:rFonts w:eastAsia="Calibri"/>
                <w:szCs w:val="24"/>
              </w:rPr>
              <w:t>partially attained and of low risk</w:t>
            </w:r>
          </w:p>
        </w:tc>
      </w:tr>
      <w:tr w:rsidR="00A35885" w14:paraId="3CACC6C3" w14:textId="77777777">
        <w:trPr>
          <w:cantSplit/>
          <w:trHeight w:val="964"/>
        </w:trPr>
        <w:tc>
          <w:tcPr>
            <w:tcW w:w="1260" w:type="dxa"/>
            <w:tcBorders>
              <w:bottom w:val="single" w:sz="4" w:space="0" w:color="000000"/>
            </w:tcBorders>
            <w:shd w:val="clear" w:color="auto" w:fill="FFC800"/>
            <w:vAlign w:val="center"/>
          </w:tcPr>
          <w:p w14:paraId="21EFAB14" w14:textId="77777777" w:rsidR="00111B69" w:rsidRDefault="00111B69">
            <w:pPr>
              <w:spacing w:before="60" w:after="60"/>
              <w:rPr>
                <w:rFonts w:eastAsia="Calibri"/>
                <w:szCs w:val="24"/>
              </w:rPr>
            </w:pPr>
          </w:p>
        </w:tc>
        <w:tc>
          <w:tcPr>
            <w:tcW w:w="7095" w:type="dxa"/>
            <w:tcBorders>
              <w:bottom w:val="single" w:sz="4" w:space="0" w:color="000000"/>
            </w:tcBorders>
            <w:shd w:val="clear" w:color="auto" w:fill="auto"/>
            <w:vAlign w:val="center"/>
          </w:tcPr>
          <w:p w14:paraId="0282F436" w14:textId="77777777" w:rsidR="00111B69" w:rsidRDefault="00111B69">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4DF7C34" w14:textId="608F48B0" w:rsidR="00111B69" w:rsidRDefault="00111B69">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w:t>
            </w:r>
            <w:r w:rsidR="003E037A">
              <w:rPr>
                <w:rFonts w:eastAsia="Calibri"/>
                <w:szCs w:val="24"/>
              </w:rPr>
              <w:t xml:space="preserve">are </w:t>
            </w:r>
            <w:r>
              <w:rPr>
                <w:rFonts w:eastAsia="Calibri"/>
                <w:szCs w:val="24"/>
              </w:rPr>
              <w:t>partially attained and of medium or high risk and/or unattained and of low risk</w:t>
            </w:r>
          </w:p>
        </w:tc>
      </w:tr>
      <w:tr w:rsidR="00A35885" w14:paraId="3287591A" w14:textId="77777777">
        <w:trPr>
          <w:cantSplit/>
          <w:trHeight w:val="964"/>
        </w:trPr>
        <w:tc>
          <w:tcPr>
            <w:tcW w:w="1260" w:type="dxa"/>
            <w:shd w:val="clear" w:color="auto" w:fill="FF0000"/>
            <w:vAlign w:val="center"/>
          </w:tcPr>
          <w:p w14:paraId="4B51F896" w14:textId="77777777" w:rsidR="00111B69" w:rsidRDefault="00111B69">
            <w:pPr>
              <w:spacing w:before="60" w:after="60"/>
              <w:rPr>
                <w:rFonts w:eastAsia="Calibri"/>
                <w:szCs w:val="24"/>
              </w:rPr>
            </w:pPr>
          </w:p>
        </w:tc>
        <w:tc>
          <w:tcPr>
            <w:tcW w:w="7095" w:type="dxa"/>
            <w:shd w:val="clear" w:color="auto" w:fill="auto"/>
            <w:vAlign w:val="center"/>
          </w:tcPr>
          <w:p w14:paraId="22BA72DA" w14:textId="77777777" w:rsidR="00111B69" w:rsidRDefault="00111B69">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5D4DF4C" w14:textId="0FFDBE00" w:rsidR="00111B69" w:rsidRDefault="00111B69">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sidR="003E037A">
              <w:rPr>
                <w:rFonts w:eastAsia="Calibri"/>
                <w:szCs w:val="24"/>
              </w:rPr>
              <w:t xml:space="preserve">are </w:t>
            </w:r>
            <w:r>
              <w:rPr>
                <w:rFonts w:eastAsia="Calibri"/>
                <w:szCs w:val="24"/>
              </w:rPr>
              <w:t>unattained and of moderate or high risk</w:t>
            </w:r>
          </w:p>
        </w:tc>
      </w:tr>
    </w:tbl>
    <w:p w14:paraId="0D7202E8" w14:textId="77777777" w:rsidR="00111B69" w:rsidRDefault="00111B69">
      <w:pPr>
        <w:pStyle w:val="Heading2"/>
        <w:spacing w:after="0"/>
        <w:rPr>
          <w:rFonts w:cs="Arial"/>
        </w:rPr>
      </w:pPr>
      <w:r>
        <w:rPr>
          <w:rFonts w:cs="Arial"/>
        </w:rPr>
        <w:t>General overview of the audit</w:t>
      </w:r>
    </w:p>
    <w:p w14:paraId="69E62431" w14:textId="77777777" w:rsidR="00111B69" w:rsidRDefault="00111B69">
      <w:pPr>
        <w:spacing w:before="240" w:line="276" w:lineRule="auto"/>
        <w:rPr>
          <w:rFonts w:eastAsia="Calibri"/>
        </w:rPr>
      </w:pPr>
      <w:bookmarkStart w:id="13" w:name="GeneralOverview"/>
      <w:r w:rsidRPr="00A4268A">
        <w:rPr>
          <w:rFonts w:eastAsia="Calibri"/>
        </w:rPr>
        <w:t xml:space="preserve">Copper Crest Living Well provides hospital (geriatric and medical), rest home, and dementia levels of care for up to 55 residents. At the time of the audit there were 52 </w:t>
      </w:r>
      <w:r w:rsidRPr="00A4268A">
        <w:rPr>
          <w:rFonts w:eastAsia="Calibri"/>
        </w:rPr>
        <w:t>residents.</w:t>
      </w:r>
    </w:p>
    <w:p w14:paraId="3D07688F" w14:textId="77777777" w:rsidR="00A35885" w:rsidRPr="00A4268A" w:rsidRDefault="00111B69">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a general practitioner.</w:t>
      </w:r>
    </w:p>
    <w:p w14:paraId="6042F9FC" w14:textId="77777777" w:rsidR="00A35885" w:rsidRPr="00A4268A" w:rsidRDefault="00111B69">
      <w:pPr>
        <w:spacing w:before="240" w:line="276" w:lineRule="auto"/>
        <w:rPr>
          <w:rFonts w:eastAsia="Calibri"/>
        </w:rPr>
      </w:pPr>
      <w:r w:rsidRPr="00A4268A">
        <w:rPr>
          <w:rFonts w:eastAsia="Calibri"/>
        </w:rPr>
        <w:t xml:space="preserve">The village manager is supported by a clinical manager, clinical coordinator, and a team of experienced staff. There are various groups in the Arvida support office who provide oversight and support to village managers. </w:t>
      </w:r>
    </w:p>
    <w:p w14:paraId="047D0FB1" w14:textId="77777777" w:rsidR="00A35885" w:rsidRPr="00A4268A" w:rsidRDefault="00111B69">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4CCFB64B" w14:textId="77777777" w:rsidR="00A35885" w:rsidRPr="00A4268A" w:rsidRDefault="00111B69">
      <w:pPr>
        <w:spacing w:before="240" w:line="276" w:lineRule="auto"/>
        <w:rPr>
          <w:rFonts w:eastAsia="Calibri"/>
        </w:rPr>
      </w:pPr>
      <w:r w:rsidRPr="00A4268A">
        <w:rPr>
          <w:rFonts w:eastAsia="Calibri"/>
        </w:rPr>
        <w:t>This certification audit identified the service meets the standard.</w:t>
      </w:r>
    </w:p>
    <w:bookmarkEnd w:id="13"/>
    <w:p w14:paraId="57912F8A" w14:textId="77777777" w:rsidR="00A35885" w:rsidRPr="00A4268A" w:rsidRDefault="00A35885">
      <w:pPr>
        <w:spacing w:before="240" w:line="276" w:lineRule="auto"/>
        <w:rPr>
          <w:rFonts w:eastAsia="Calibri"/>
        </w:rPr>
      </w:pPr>
    </w:p>
    <w:p w14:paraId="77D9A83B" w14:textId="77777777" w:rsidR="00111B69" w:rsidRDefault="00111B69"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5885" w14:paraId="2E24460F" w14:textId="77777777" w:rsidTr="00A4268A">
        <w:trPr>
          <w:cantSplit/>
        </w:trPr>
        <w:tc>
          <w:tcPr>
            <w:tcW w:w="10206" w:type="dxa"/>
            <w:vAlign w:val="center"/>
          </w:tcPr>
          <w:p w14:paraId="7417DD3C" w14:textId="77777777" w:rsidR="00111B69" w:rsidRPr="00FB778F" w:rsidRDefault="00111B69"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28F4619" w14:textId="77777777" w:rsidR="00111B69" w:rsidRPr="00621629" w:rsidRDefault="00111B69"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D811E4C" w14:textId="77777777" w:rsidR="00111B69" w:rsidRPr="00621629" w:rsidRDefault="00111B69"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D74350F" w14:textId="7AC82E34" w:rsidR="00111B69" w:rsidRPr="00621629" w:rsidRDefault="00111B69" w:rsidP="008F3634">
            <w:pPr>
              <w:spacing w:before="60" w:after="60" w:line="276" w:lineRule="auto"/>
              <w:rPr>
                <w:rFonts w:eastAsia="Calibri"/>
              </w:rPr>
            </w:pPr>
            <w:bookmarkStart w:id="15" w:name="IndicatorDescription1_1"/>
            <w:bookmarkEnd w:id="15"/>
            <w:r>
              <w:t xml:space="preserve">Subsections applicable to this service </w:t>
            </w:r>
            <w:r w:rsidR="003E037A">
              <w:t xml:space="preserve">are </w:t>
            </w:r>
            <w:r>
              <w:t>fully attained.</w:t>
            </w:r>
          </w:p>
        </w:tc>
      </w:tr>
    </w:tbl>
    <w:p w14:paraId="40A07D79" w14:textId="77777777" w:rsidR="00111B69" w:rsidRDefault="00111B69">
      <w:pPr>
        <w:spacing w:before="240" w:line="276" w:lineRule="auto"/>
        <w:rPr>
          <w:rFonts w:eastAsia="Calibri"/>
        </w:rPr>
      </w:pPr>
      <w:bookmarkStart w:id="16" w:name="ConsumerRights"/>
      <w:r w:rsidRPr="00A4268A">
        <w:rPr>
          <w:rFonts w:eastAsia="Calibri"/>
        </w:rPr>
        <w:t xml:space="preserve">Copper Crest Living Well provides an environment that supports resident rights and safe care. Staff demonstrate an understanding of residents' </w:t>
      </w:r>
      <w:r w:rsidRPr="00A4268A">
        <w:rPr>
          <w:rFonts w:eastAsia="Calibri"/>
        </w:rPr>
        <w:t>rights and obligations. A Māori health plan is documented for the service. The service works collaboratively to embrace, support, and encourage a Māori worldview of health and provide high-quality and effective services for residents. The service partners with Pacific communities to encourage connectiveness.</w:t>
      </w:r>
    </w:p>
    <w:p w14:paraId="67FA647F" w14:textId="77777777" w:rsidR="00A35885" w:rsidRPr="00A4268A" w:rsidRDefault="00111B69">
      <w:pPr>
        <w:spacing w:before="240" w:line="276" w:lineRule="auto"/>
        <w:rPr>
          <w:rFonts w:eastAsia="Calibri"/>
        </w:rPr>
      </w:pPr>
      <w:r w:rsidRPr="00A4268A">
        <w:rPr>
          <w:rFonts w:eastAsia="Calibri"/>
        </w:rPr>
        <w:t>Residents receive services in a manner that considers their dignity, privacy, and independence. Staff provide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w:t>
      </w:r>
      <w:r w:rsidRPr="00A4268A">
        <w:rPr>
          <w:rFonts w:eastAsia="Calibri"/>
        </w:rPr>
        <w:t xml:space="preserve"> and/or their family/whānau to make a complaint is understood, respected, and upheld by the service. Complaints processes are implemented, and complaints and concerns are actively managed and well-documented.</w:t>
      </w:r>
    </w:p>
    <w:bookmarkEnd w:id="16"/>
    <w:p w14:paraId="0BEE384D" w14:textId="77777777" w:rsidR="00A35885" w:rsidRPr="00A4268A" w:rsidRDefault="00A35885">
      <w:pPr>
        <w:spacing w:before="240" w:line="276" w:lineRule="auto"/>
        <w:rPr>
          <w:rFonts w:eastAsia="Calibri"/>
        </w:rPr>
      </w:pPr>
    </w:p>
    <w:p w14:paraId="4CF2A57C" w14:textId="77777777" w:rsidR="00111B69" w:rsidRDefault="00111B69"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5885" w14:paraId="46D59F8D" w14:textId="77777777" w:rsidTr="00A4268A">
        <w:trPr>
          <w:cantSplit/>
        </w:trPr>
        <w:tc>
          <w:tcPr>
            <w:tcW w:w="10206" w:type="dxa"/>
            <w:vAlign w:val="center"/>
          </w:tcPr>
          <w:p w14:paraId="13C352C7" w14:textId="77777777" w:rsidR="00111B69" w:rsidRPr="00621629" w:rsidRDefault="00111B69"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74B4FC5" w14:textId="77777777" w:rsidR="00111B69" w:rsidRPr="00621629" w:rsidRDefault="00111B69"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F400A3D" w14:textId="2089EE41" w:rsidR="00111B69" w:rsidRPr="00621629" w:rsidRDefault="00111B69" w:rsidP="00621629">
            <w:pPr>
              <w:spacing w:before="60" w:after="60" w:line="276" w:lineRule="auto"/>
              <w:rPr>
                <w:rFonts w:eastAsia="Calibri"/>
              </w:rPr>
            </w:pPr>
            <w:bookmarkStart w:id="18" w:name="IndicatorDescription1_2"/>
            <w:bookmarkEnd w:id="18"/>
            <w:r>
              <w:t xml:space="preserve">Subsections applicable to this service </w:t>
            </w:r>
            <w:r w:rsidR="003E037A">
              <w:t xml:space="preserve">are </w:t>
            </w:r>
            <w:r>
              <w:t>fully attained.</w:t>
            </w:r>
          </w:p>
        </w:tc>
      </w:tr>
    </w:tbl>
    <w:p w14:paraId="0C56B274" w14:textId="77777777" w:rsidR="00111B69" w:rsidRDefault="00111B69">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effective quality and risk management systems in place that take a risk-based approach, and these systems meet the needs of residents and their staff. Quality </w:t>
      </w:r>
      <w:r w:rsidRPr="00A4268A">
        <w:rPr>
          <w:rFonts w:eastAsia="Calibri"/>
        </w:rPr>
        <w:lastRenderedPageBreak/>
        <w:t xml:space="preserve">improvement projects are implemented. Internal audits and collation of data were all documented as taking place as scheduled, with corrective actions as indicated. A health and safety programme is implemented. Hazards are managed appropriately. </w:t>
      </w:r>
    </w:p>
    <w:p w14:paraId="7508B187" w14:textId="77777777" w:rsidR="00A35885" w:rsidRPr="00A4268A" w:rsidRDefault="00111B69">
      <w:pPr>
        <w:spacing w:before="240" w:line="276" w:lineRule="auto"/>
        <w:rPr>
          <w:rFonts w:eastAsia="Calibri"/>
        </w:rPr>
      </w:pPr>
      <w:r w:rsidRPr="00A4268A">
        <w:rPr>
          <w:rFonts w:eastAsia="Calibri"/>
        </w:rPr>
        <w:t>There are human resources policies including recruitment, selection, orientation and staff training and development. Human resources are managed in accordance with good employment practice. A role specific orientation programme and regular staff education and training are in place. The service has an induction programme in place that provides new staff with relevant information for safe work practice. There is an in-service education/training programme covering relevant aspects of care and support and exter</w:t>
      </w:r>
      <w:r w:rsidRPr="00A4268A">
        <w:rPr>
          <w:rFonts w:eastAsia="Calibri"/>
        </w:rPr>
        <w:t>nal training is supported. The organisational staffing policy aligned with contractual requirements and included skill mixes. Residents and family/whānau reported that staffing levels are adequate to meet the needs of the residents.</w:t>
      </w:r>
    </w:p>
    <w:p w14:paraId="698F7A62" w14:textId="77777777" w:rsidR="00A35885" w:rsidRPr="00A4268A" w:rsidRDefault="00111B69">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4056E2A2" w14:textId="77777777" w:rsidR="00A35885" w:rsidRPr="00A4268A" w:rsidRDefault="00A35885">
      <w:pPr>
        <w:spacing w:before="240" w:line="276" w:lineRule="auto"/>
        <w:rPr>
          <w:rFonts w:eastAsia="Calibri"/>
        </w:rPr>
      </w:pPr>
    </w:p>
    <w:p w14:paraId="6041434E" w14:textId="77777777" w:rsidR="00111B69" w:rsidRDefault="00111B69"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5885" w14:paraId="35132FA3" w14:textId="77777777" w:rsidTr="00A4268A">
        <w:trPr>
          <w:cantSplit/>
        </w:trPr>
        <w:tc>
          <w:tcPr>
            <w:tcW w:w="10206" w:type="dxa"/>
            <w:vAlign w:val="center"/>
          </w:tcPr>
          <w:p w14:paraId="42BFFB1A" w14:textId="77777777" w:rsidR="00111B69" w:rsidRPr="00621629" w:rsidRDefault="00111B69"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A10E045" w14:textId="77777777" w:rsidR="00111B69" w:rsidRPr="00621629" w:rsidRDefault="00111B69"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478B060" w14:textId="0476AEFB" w:rsidR="00111B69" w:rsidRPr="00621629" w:rsidRDefault="00111B69" w:rsidP="00621629">
            <w:pPr>
              <w:spacing w:before="60" w:after="60" w:line="276" w:lineRule="auto"/>
              <w:rPr>
                <w:rFonts w:eastAsia="Calibri"/>
              </w:rPr>
            </w:pPr>
            <w:bookmarkStart w:id="21" w:name="IndicatorDescription1_3"/>
            <w:bookmarkEnd w:id="21"/>
            <w:r>
              <w:t xml:space="preserve">Subsections applicable to this service </w:t>
            </w:r>
            <w:r w:rsidR="003E037A">
              <w:t xml:space="preserve">are </w:t>
            </w:r>
            <w:r>
              <w:t>fully attained.</w:t>
            </w:r>
          </w:p>
        </w:tc>
      </w:tr>
    </w:tbl>
    <w:p w14:paraId="3C17551C" w14:textId="77777777" w:rsidR="00111B69" w:rsidRPr="005E14A4" w:rsidRDefault="00111B69" w:rsidP="00621629">
      <w:pPr>
        <w:spacing w:before="240" w:line="276" w:lineRule="auto"/>
        <w:rPr>
          <w:rFonts w:eastAsia="Calibri"/>
        </w:rPr>
      </w:pPr>
      <w:bookmarkStart w:id="22" w:name="ContinuumOfServiceDelivery"/>
      <w:r w:rsidRPr="00A4268A">
        <w:rPr>
          <w:rFonts w:eastAsia="Calibri"/>
        </w:rPr>
        <w:t>Registered nurses are responsible for assessment, care planning and evaluations. These processes are completed within the required timeframes. There is a contracted general practitioner who visits once a week and is available on call after hours. Residents can choose to have their own general practitioner. Care plans are comprehensive and developed in collaboration with residents and their family/whānau.</w:t>
      </w:r>
    </w:p>
    <w:p w14:paraId="6628E54B" w14:textId="77777777" w:rsidR="00A35885" w:rsidRPr="00A4268A" w:rsidRDefault="00111B69" w:rsidP="00621629">
      <w:pPr>
        <w:spacing w:before="240" w:line="276" w:lineRule="auto"/>
        <w:rPr>
          <w:rFonts w:eastAsia="Calibri"/>
        </w:rPr>
      </w:pPr>
      <w:r w:rsidRPr="00A4268A">
        <w:rPr>
          <w:rFonts w:eastAsia="Calibri"/>
        </w:rPr>
        <w:t xml:space="preserve">Medication management is on accordance with best practice guidelines. Staff complete annual medication competency tests. </w:t>
      </w:r>
      <w:r w:rsidRPr="00A4268A">
        <w:rPr>
          <w:rFonts w:eastAsia="Calibri"/>
        </w:rPr>
        <w:t>Residents and their family/whānau are consulted when there are changes to medications.</w:t>
      </w:r>
    </w:p>
    <w:p w14:paraId="49F14B15" w14:textId="77777777" w:rsidR="00A35885" w:rsidRPr="00A4268A" w:rsidRDefault="00111B69" w:rsidP="00621629">
      <w:pPr>
        <w:spacing w:before="240" w:line="276" w:lineRule="auto"/>
        <w:rPr>
          <w:rFonts w:eastAsia="Calibri"/>
        </w:rPr>
      </w:pPr>
      <w:r w:rsidRPr="00A4268A">
        <w:rPr>
          <w:rFonts w:eastAsia="Calibri"/>
        </w:rPr>
        <w:lastRenderedPageBreak/>
        <w:t>Activities are planned and delivered by a wellness leader and wellness partners. A broad range of group and individual activities are provided. Cultural diversity is celebrated.</w:t>
      </w:r>
    </w:p>
    <w:p w14:paraId="48DA407E" w14:textId="77777777" w:rsidR="00A35885" w:rsidRPr="00A4268A" w:rsidRDefault="00111B69" w:rsidP="00621629">
      <w:pPr>
        <w:spacing w:before="240" w:line="276" w:lineRule="auto"/>
        <w:rPr>
          <w:rFonts w:eastAsia="Calibri"/>
        </w:rPr>
      </w:pPr>
      <w:r w:rsidRPr="00A4268A">
        <w:rPr>
          <w:rFonts w:eastAsia="Calibri"/>
        </w:rPr>
        <w:t>All meals and baking are prepared and cooked onsite by a trained chef and cook. Dietary preferences, allergies, intolerances, and specific needs are catered for.</w:t>
      </w:r>
    </w:p>
    <w:p w14:paraId="77E8EFC5" w14:textId="77777777" w:rsidR="00A35885" w:rsidRPr="00A4268A" w:rsidRDefault="00111B69" w:rsidP="00621629">
      <w:pPr>
        <w:spacing w:before="240" w:line="276" w:lineRule="auto"/>
        <w:rPr>
          <w:rFonts w:eastAsia="Calibri"/>
        </w:rPr>
      </w:pPr>
      <w:r w:rsidRPr="00A4268A">
        <w:rPr>
          <w:rFonts w:eastAsia="Calibri"/>
        </w:rPr>
        <w:t xml:space="preserve">There is a process in place for the safe transfer and discharge of </w:t>
      </w:r>
      <w:r w:rsidRPr="00A4268A">
        <w:rPr>
          <w:rFonts w:eastAsia="Calibri"/>
        </w:rPr>
        <w:t>residents.</w:t>
      </w:r>
    </w:p>
    <w:bookmarkEnd w:id="22"/>
    <w:p w14:paraId="3E435C24" w14:textId="77777777" w:rsidR="00A35885" w:rsidRPr="00A4268A" w:rsidRDefault="00A35885" w:rsidP="00621629">
      <w:pPr>
        <w:spacing w:before="240" w:line="276" w:lineRule="auto"/>
        <w:rPr>
          <w:rFonts w:eastAsia="Calibri"/>
        </w:rPr>
      </w:pPr>
    </w:p>
    <w:p w14:paraId="3932A96B" w14:textId="77777777" w:rsidR="00111B69" w:rsidRDefault="00111B69"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5885" w14:paraId="0BC5922D" w14:textId="77777777" w:rsidTr="00A4268A">
        <w:trPr>
          <w:cantSplit/>
        </w:trPr>
        <w:tc>
          <w:tcPr>
            <w:tcW w:w="10206" w:type="dxa"/>
            <w:vAlign w:val="center"/>
          </w:tcPr>
          <w:p w14:paraId="679A4DA1" w14:textId="77777777" w:rsidR="00111B69" w:rsidRPr="00621629" w:rsidRDefault="00111B69"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5A0F893" w14:textId="77777777" w:rsidR="00111B69" w:rsidRPr="00621629" w:rsidRDefault="00111B69"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B6CE623" w14:textId="68F5F037" w:rsidR="00111B69" w:rsidRPr="00621629" w:rsidRDefault="00111B69" w:rsidP="00621629">
            <w:pPr>
              <w:spacing w:before="60" w:after="60" w:line="276" w:lineRule="auto"/>
              <w:rPr>
                <w:rFonts w:eastAsia="Calibri"/>
              </w:rPr>
            </w:pPr>
            <w:bookmarkStart w:id="24" w:name="IndicatorDescription1_4"/>
            <w:bookmarkEnd w:id="24"/>
            <w:r>
              <w:t xml:space="preserve">Subsections applicable to this service </w:t>
            </w:r>
            <w:r w:rsidR="003E037A">
              <w:t xml:space="preserve">are </w:t>
            </w:r>
            <w:r>
              <w:t>fully attained.</w:t>
            </w:r>
          </w:p>
        </w:tc>
      </w:tr>
    </w:tbl>
    <w:p w14:paraId="35858A6F" w14:textId="77777777" w:rsidR="00111B69" w:rsidRDefault="00111B69">
      <w:pPr>
        <w:spacing w:before="240" w:line="276" w:lineRule="auto"/>
        <w:rPr>
          <w:rFonts w:eastAsia="Calibri"/>
        </w:rPr>
      </w:pPr>
      <w:bookmarkStart w:id="25" w:name="SafeAndAppropriateEnvironment"/>
      <w:r w:rsidRPr="00A4268A">
        <w:rPr>
          <w:rFonts w:eastAsia="Calibri"/>
        </w:rPr>
        <w:t>There is a current building warrant of fitness. There is a planned and reactive maintenance system implemented. The facility is clean, spacious, and safe for residents. Residents personalise their rooms to their taste. They have access to safe and pleasant outdoor areas. The dementia area is secure and has a well-appointed and secure outdoor area which residents can freely access.</w:t>
      </w:r>
    </w:p>
    <w:p w14:paraId="5F1CA61B" w14:textId="77777777" w:rsidR="00A35885" w:rsidRPr="00A4268A" w:rsidRDefault="00111B69">
      <w:pPr>
        <w:spacing w:before="240" w:line="276" w:lineRule="auto"/>
        <w:rPr>
          <w:rFonts w:eastAsia="Calibri"/>
        </w:rPr>
      </w:pPr>
      <w:r w:rsidRPr="00A4268A">
        <w:rPr>
          <w:rFonts w:eastAsia="Calibri"/>
        </w:rPr>
        <w:t>There is an approved fire evacuation plan and fire drills are held six-monthly. The facility and staff are prepared for emergencies and civil disasters through training and sufficient supplies. There is always at least one staff member on duty with a current first aid certificate. Call bells are readily available to residents at all times.</w:t>
      </w:r>
    </w:p>
    <w:bookmarkEnd w:id="25"/>
    <w:p w14:paraId="691D3538" w14:textId="77777777" w:rsidR="00A35885" w:rsidRPr="00A4268A" w:rsidRDefault="00A35885">
      <w:pPr>
        <w:spacing w:before="240" w:line="276" w:lineRule="auto"/>
        <w:rPr>
          <w:rFonts w:eastAsia="Calibri"/>
        </w:rPr>
      </w:pPr>
    </w:p>
    <w:p w14:paraId="208F9643" w14:textId="77777777" w:rsidR="00111B69" w:rsidRDefault="00111B69"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5885" w14:paraId="508A2AB8" w14:textId="77777777" w:rsidTr="00A4268A">
        <w:trPr>
          <w:cantSplit/>
        </w:trPr>
        <w:tc>
          <w:tcPr>
            <w:tcW w:w="10206" w:type="dxa"/>
            <w:vAlign w:val="center"/>
          </w:tcPr>
          <w:p w14:paraId="3F8457EA" w14:textId="77777777" w:rsidR="00111B69" w:rsidRPr="00621629" w:rsidRDefault="00111B69"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32D8219" w14:textId="77777777" w:rsidR="00111B69" w:rsidRPr="00621629" w:rsidRDefault="00111B69"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3E4EDF9" w14:textId="28721FF9" w:rsidR="00111B69" w:rsidRPr="00621629" w:rsidRDefault="00111B69" w:rsidP="00621629">
            <w:pPr>
              <w:spacing w:before="60" w:after="60" w:line="276" w:lineRule="auto"/>
              <w:rPr>
                <w:rFonts w:eastAsia="Calibri"/>
              </w:rPr>
            </w:pPr>
            <w:bookmarkStart w:id="27" w:name="IndicatorDescription2"/>
            <w:bookmarkEnd w:id="27"/>
            <w:r>
              <w:t xml:space="preserve">Subsections applicable to this </w:t>
            </w:r>
            <w:r>
              <w:t>service are</w:t>
            </w:r>
            <w:r>
              <w:t xml:space="preserve"> fully attained.</w:t>
            </w:r>
          </w:p>
        </w:tc>
      </w:tr>
    </w:tbl>
    <w:p w14:paraId="5F95B6B3" w14:textId="77777777" w:rsidR="00111B69" w:rsidRDefault="00111B69">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Documentation evidenced that relevant infection control education is provided to all staff as part of their orientation and as part of the ongoing in-service education programme. Antimicrobial usage is monitored. The type of surveillance undertaken is appropriate to the size and complexity of the organisation. Standardised definitions are used for the identification and classi</w:t>
      </w:r>
      <w:r w:rsidRPr="00A4268A">
        <w:rPr>
          <w:rFonts w:eastAsia="Calibri"/>
        </w:rPr>
        <w:t>fication of infection events. Results of surveillance are acted upon, evaluated, and reported to relevant personnel in a timely manner. Pandemic response plans are in place and the service has access to personal protective equipment supplies. There have been two outbreaks since the last audit, and these have been well documented.</w:t>
      </w:r>
    </w:p>
    <w:p w14:paraId="0D8ED369" w14:textId="77777777" w:rsidR="00A35885" w:rsidRPr="00A4268A" w:rsidRDefault="00111B69">
      <w:pPr>
        <w:spacing w:before="240" w:line="276" w:lineRule="auto"/>
        <w:rPr>
          <w:rFonts w:eastAsia="Calibri"/>
        </w:rPr>
      </w:pPr>
      <w:r w:rsidRPr="00A4268A">
        <w:rPr>
          <w:rFonts w:eastAsia="Calibri"/>
        </w:rPr>
        <w:t>There are documented processes for the management of waste and hazardous substances in place, and incidents are reported in a timely manner. Chemicals are stored safely throughout the facility. Documented policies and procedures for the cleaning and laundry services are implemented with appropriate monitoring systems in place to evaluate the effectiveness of these services.</w:t>
      </w:r>
    </w:p>
    <w:bookmarkEnd w:id="28"/>
    <w:p w14:paraId="3B512994" w14:textId="77777777" w:rsidR="00A35885" w:rsidRPr="00A4268A" w:rsidRDefault="00A35885">
      <w:pPr>
        <w:spacing w:before="240" w:line="276" w:lineRule="auto"/>
        <w:rPr>
          <w:rFonts w:eastAsia="Calibri"/>
        </w:rPr>
      </w:pPr>
    </w:p>
    <w:p w14:paraId="33B4E2B7" w14:textId="77777777" w:rsidR="00111B69" w:rsidRDefault="00111B69"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5885" w14:paraId="202CC989" w14:textId="77777777" w:rsidTr="00A4268A">
        <w:trPr>
          <w:cantSplit/>
        </w:trPr>
        <w:tc>
          <w:tcPr>
            <w:tcW w:w="10206" w:type="dxa"/>
            <w:vAlign w:val="center"/>
          </w:tcPr>
          <w:p w14:paraId="3D6A590D" w14:textId="77777777" w:rsidR="00111B69" w:rsidRPr="00621629" w:rsidRDefault="00111B69"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3E72802" w14:textId="77777777" w:rsidR="00111B69" w:rsidRPr="00621629" w:rsidRDefault="00111B69"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5F697DD" w14:textId="4F1E7F9D" w:rsidR="00111B69" w:rsidRPr="00621629" w:rsidRDefault="00111B69"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713C54D9" w14:textId="77777777" w:rsidR="00111B69" w:rsidRDefault="00111B69">
      <w:pPr>
        <w:spacing w:before="240" w:line="276" w:lineRule="auto"/>
        <w:rPr>
          <w:rFonts w:eastAsia="Calibri"/>
        </w:rPr>
      </w:pPr>
      <w:bookmarkStart w:id="31" w:name="InfectionPreventionAndControl"/>
      <w:r w:rsidRPr="00A4268A">
        <w:rPr>
          <w:rFonts w:eastAsia="Calibri"/>
        </w:rPr>
        <w:t>The policy and procedures for restraint minimisation and safe practice align with the standard. Staff have ongoing training in alternative strategies to restraint and the least restrictive practice. There is a designated restraint coordinator who reports to the clinical manager and village manager. There is no use of restraint.</w:t>
      </w:r>
    </w:p>
    <w:bookmarkEnd w:id="31"/>
    <w:p w14:paraId="328FFEFF" w14:textId="77777777" w:rsidR="00A35885" w:rsidRPr="00A4268A" w:rsidRDefault="00A35885">
      <w:pPr>
        <w:spacing w:before="240" w:line="276" w:lineRule="auto"/>
        <w:rPr>
          <w:rFonts w:eastAsia="Calibri"/>
        </w:rPr>
      </w:pPr>
    </w:p>
    <w:p w14:paraId="59364158" w14:textId="77777777" w:rsidR="00111B69" w:rsidRDefault="00111B69" w:rsidP="000E6E02">
      <w:pPr>
        <w:pStyle w:val="Heading2"/>
        <w:spacing w:before="0"/>
        <w:rPr>
          <w:rFonts w:cs="Arial"/>
        </w:rPr>
      </w:pPr>
      <w:r>
        <w:rPr>
          <w:rFonts w:cs="Arial"/>
        </w:rPr>
        <w:t>Summary of attainment</w:t>
      </w:r>
    </w:p>
    <w:p w14:paraId="1175BC77" w14:textId="77777777" w:rsidR="00111B69" w:rsidRDefault="00111B69">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35885" w14:paraId="6D2F597A" w14:textId="77777777">
        <w:tc>
          <w:tcPr>
            <w:tcW w:w="1384" w:type="dxa"/>
            <w:vAlign w:val="center"/>
          </w:tcPr>
          <w:p w14:paraId="6CCBDF7E" w14:textId="77777777" w:rsidR="00111B69" w:rsidRDefault="00111B69">
            <w:pPr>
              <w:keepNext/>
              <w:spacing w:before="60" w:after="60"/>
              <w:rPr>
                <w:rFonts w:cs="Arial"/>
                <w:b/>
                <w:sz w:val="20"/>
                <w:szCs w:val="20"/>
              </w:rPr>
            </w:pPr>
            <w:r>
              <w:rPr>
                <w:rFonts w:cs="Arial"/>
                <w:b/>
                <w:sz w:val="20"/>
                <w:szCs w:val="20"/>
              </w:rPr>
              <w:t>Attainment Rating</w:t>
            </w:r>
          </w:p>
        </w:tc>
        <w:tc>
          <w:tcPr>
            <w:tcW w:w="1701" w:type="dxa"/>
            <w:vAlign w:val="center"/>
          </w:tcPr>
          <w:p w14:paraId="6449E2CD" w14:textId="77777777" w:rsidR="00111B69" w:rsidRDefault="00111B69">
            <w:pPr>
              <w:keepNext/>
              <w:spacing w:before="60" w:after="60"/>
              <w:jc w:val="center"/>
              <w:rPr>
                <w:rFonts w:cs="Arial"/>
                <w:b/>
                <w:sz w:val="20"/>
                <w:szCs w:val="20"/>
              </w:rPr>
            </w:pPr>
            <w:r>
              <w:rPr>
                <w:rFonts w:cs="Arial"/>
                <w:b/>
                <w:sz w:val="20"/>
                <w:szCs w:val="20"/>
              </w:rPr>
              <w:t>Continuous Improvement</w:t>
            </w:r>
          </w:p>
          <w:p w14:paraId="018EC066" w14:textId="77777777" w:rsidR="00111B69" w:rsidRDefault="00111B69">
            <w:pPr>
              <w:keepNext/>
              <w:spacing w:before="60" w:after="60"/>
              <w:jc w:val="center"/>
              <w:rPr>
                <w:rFonts w:cs="Arial"/>
                <w:b/>
                <w:sz w:val="20"/>
                <w:szCs w:val="20"/>
              </w:rPr>
            </w:pPr>
            <w:r>
              <w:rPr>
                <w:rFonts w:cs="Arial"/>
                <w:b/>
                <w:sz w:val="20"/>
                <w:szCs w:val="20"/>
              </w:rPr>
              <w:t>(CI)</w:t>
            </w:r>
          </w:p>
        </w:tc>
        <w:tc>
          <w:tcPr>
            <w:tcW w:w="1843" w:type="dxa"/>
            <w:vAlign w:val="center"/>
          </w:tcPr>
          <w:p w14:paraId="5C77A813" w14:textId="77777777" w:rsidR="00111B69" w:rsidRDefault="00111B69">
            <w:pPr>
              <w:keepNext/>
              <w:spacing w:before="60" w:after="60"/>
              <w:jc w:val="center"/>
              <w:rPr>
                <w:rFonts w:cs="Arial"/>
                <w:b/>
                <w:sz w:val="20"/>
                <w:szCs w:val="20"/>
              </w:rPr>
            </w:pPr>
            <w:r>
              <w:rPr>
                <w:rFonts w:cs="Arial"/>
                <w:b/>
                <w:sz w:val="20"/>
                <w:szCs w:val="20"/>
              </w:rPr>
              <w:t xml:space="preserve">Fully </w:t>
            </w:r>
            <w:r>
              <w:rPr>
                <w:rFonts w:cs="Arial"/>
                <w:b/>
                <w:sz w:val="20"/>
                <w:szCs w:val="20"/>
              </w:rPr>
              <w:t>Attained</w:t>
            </w:r>
          </w:p>
          <w:p w14:paraId="7577C262" w14:textId="77777777" w:rsidR="00111B69" w:rsidRDefault="00111B69">
            <w:pPr>
              <w:keepNext/>
              <w:spacing w:before="60" w:after="60"/>
              <w:jc w:val="center"/>
              <w:rPr>
                <w:rFonts w:cs="Arial"/>
                <w:b/>
                <w:sz w:val="20"/>
                <w:szCs w:val="20"/>
              </w:rPr>
            </w:pPr>
            <w:r>
              <w:rPr>
                <w:rFonts w:cs="Arial"/>
                <w:b/>
                <w:sz w:val="20"/>
                <w:szCs w:val="20"/>
              </w:rPr>
              <w:t>(FA)</w:t>
            </w:r>
          </w:p>
        </w:tc>
        <w:tc>
          <w:tcPr>
            <w:tcW w:w="1843" w:type="dxa"/>
            <w:vAlign w:val="center"/>
          </w:tcPr>
          <w:p w14:paraId="0E691AF9" w14:textId="77777777" w:rsidR="00111B69" w:rsidRDefault="00111B69">
            <w:pPr>
              <w:keepNext/>
              <w:spacing w:before="60" w:after="60"/>
              <w:jc w:val="center"/>
              <w:rPr>
                <w:rFonts w:cs="Arial"/>
                <w:b/>
                <w:sz w:val="20"/>
                <w:szCs w:val="20"/>
              </w:rPr>
            </w:pPr>
            <w:r>
              <w:rPr>
                <w:rFonts w:cs="Arial"/>
                <w:b/>
                <w:sz w:val="20"/>
                <w:szCs w:val="20"/>
              </w:rPr>
              <w:t>Partially Attained Negligible Risk</w:t>
            </w:r>
          </w:p>
          <w:p w14:paraId="713C6F30" w14:textId="77777777" w:rsidR="00111B69" w:rsidRDefault="00111B69">
            <w:pPr>
              <w:keepNext/>
              <w:spacing w:before="60" w:after="60"/>
              <w:jc w:val="center"/>
              <w:rPr>
                <w:rFonts w:cs="Arial"/>
                <w:b/>
                <w:sz w:val="20"/>
                <w:szCs w:val="20"/>
              </w:rPr>
            </w:pPr>
            <w:r>
              <w:rPr>
                <w:rFonts w:cs="Arial"/>
                <w:b/>
                <w:sz w:val="20"/>
                <w:szCs w:val="20"/>
              </w:rPr>
              <w:t>(PA Negligible)</w:t>
            </w:r>
          </w:p>
        </w:tc>
        <w:tc>
          <w:tcPr>
            <w:tcW w:w="1842" w:type="dxa"/>
            <w:vAlign w:val="center"/>
          </w:tcPr>
          <w:p w14:paraId="36826F23" w14:textId="77777777" w:rsidR="00111B69" w:rsidRDefault="00111B69">
            <w:pPr>
              <w:keepNext/>
              <w:spacing w:before="60" w:after="60"/>
              <w:jc w:val="center"/>
              <w:rPr>
                <w:rFonts w:cs="Arial"/>
                <w:b/>
                <w:sz w:val="20"/>
                <w:szCs w:val="20"/>
              </w:rPr>
            </w:pPr>
            <w:r>
              <w:rPr>
                <w:rFonts w:cs="Arial"/>
                <w:b/>
                <w:sz w:val="20"/>
                <w:szCs w:val="20"/>
              </w:rPr>
              <w:t>Partially Attained Low Risk</w:t>
            </w:r>
          </w:p>
          <w:p w14:paraId="44EE5E5E" w14:textId="77777777" w:rsidR="00111B69" w:rsidRDefault="00111B69">
            <w:pPr>
              <w:keepNext/>
              <w:spacing w:before="60" w:after="60"/>
              <w:jc w:val="center"/>
              <w:rPr>
                <w:rFonts w:cs="Arial"/>
                <w:b/>
                <w:sz w:val="20"/>
                <w:szCs w:val="20"/>
              </w:rPr>
            </w:pPr>
            <w:r>
              <w:rPr>
                <w:rFonts w:cs="Arial"/>
                <w:b/>
                <w:sz w:val="20"/>
                <w:szCs w:val="20"/>
              </w:rPr>
              <w:t>(PA Low)</w:t>
            </w:r>
          </w:p>
        </w:tc>
        <w:tc>
          <w:tcPr>
            <w:tcW w:w="1843" w:type="dxa"/>
            <w:vAlign w:val="center"/>
          </w:tcPr>
          <w:p w14:paraId="07A70F06" w14:textId="77777777" w:rsidR="00111B69" w:rsidRDefault="00111B69">
            <w:pPr>
              <w:keepNext/>
              <w:spacing w:before="60" w:after="60"/>
              <w:jc w:val="center"/>
              <w:rPr>
                <w:rFonts w:cs="Arial"/>
                <w:b/>
                <w:sz w:val="20"/>
                <w:szCs w:val="20"/>
              </w:rPr>
            </w:pPr>
            <w:r>
              <w:rPr>
                <w:rFonts w:cs="Arial"/>
                <w:b/>
                <w:sz w:val="20"/>
                <w:szCs w:val="20"/>
              </w:rPr>
              <w:t>Partially Attained Moderate Risk</w:t>
            </w:r>
          </w:p>
          <w:p w14:paraId="2EF8089C" w14:textId="77777777" w:rsidR="00111B69" w:rsidRDefault="00111B69">
            <w:pPr>
              <w:keepNext/>
              <w:spacing w:before="60" w:after="60"/>
              <w:jc w:val="center"/>
              <w:rPr>
                <w:rFonts w:cs="Arial"/>
                <w:b/>
                <w:sz w:val="20"/>
                <w:szCs w:val="20"/>
              </w:rPr>
            </w:pPr>
            <w:r>
              <w:rPr>
                <w:rFonts w:cs="Arial"/>
                <w:b/>
                <w:sz w:val="20"/>
                <w:szCs w:val="20"/>
              </w:rPr>
              <w:t>(PA Moderate)</w:t>
            </w:r>
          </w:p>
        </w:tc>
        <w:tc>
          <w:tcPr>
            <w:tcW w:w="1843" w:type="dxa"/>
            <w:vAlign w:val="center"/>
          </w:tcPr>
          <w:p w14:paraId="7C6F21AF" w14:textId="77777777" w:rsidR="00111B69" w:rsidRDefault="00111B69">
            <w:pPr>
              <w:keepNext/>
              <w:spacing w:before="60" w:after="60"/>
              <w:jc w:val="center"/>
              <w:rPr>
                <w:rFonts w:cs="Arial"/>
                <w:b/>
                <w:sz w:val="20"/>
                <w:szCs w:val="20"/>
              </w:rPr>
            </w:pPr>
            <w:r>
              <w:rPr>
                <w:rFonts w:cs="Arial"/>
                <w:b/>
                <w:sz w:val="20"/>
                <w:szCs w:val="20"/>
              </w:rPr>
              <w:t>Partially Attained High Risk</w:t>
            </w:r>
          </w:p>
          <w:p w14:paraId="4E6C2EAF" w14:textId="77777777" w:rsidR="00111B69" w:rsidRDefault="00111B69">
            <w:pPr>
              <w:keepNext/>
              <w:spacing w:before="60" w:after="60"/>
              <w:jc w:val="center"/>
              <w:rPr>
                <w:rFonts w:cs="Arial"/>
                <w:b/>
                <w:sz w:val="20"/>
                <w:szCs w:val="20"/>
              </w:rPr>
            </w:pPr>
            <w:r>
              <w:rPr>
                <w:rFonts w:cs="Arial"/>
                <w:b/>
                <w:sz w:val="20"/>
                <w:szCs w:val="20"/>
              </w:rPr>
              <w:t>(PA High)</w:t>
            </w:r>
          </w:p>
        </w:tc>
        <w:tc>
          <w:tcPr>
            <w:tcW w:w="1843" w:type="dxa"/>
            <w:vAlign w:val="center"/>
          </w:tcPr>
          <w:p w14:paraId="2747D002" w14:textId="77777777" w:rsidR="00111B69" w:rsidRDefault="00111B69">
            <w:pPr>
              <w:keepNext/>
              <w:spacing w:before="60" w:after="60"/>
              <w:jc w:val="center"/>
              <w:rPr>
                <w:rFonts w:cs="Arial"/>
                <w:b/>
                <w:sz w:val="20"/>
                <w:szCs w:val="20"/>
              </w:rPr>
            </w:pPr>
            <w:r>
              <w:rPr>
                <w:rFonts w:cs="Arial"/>
                <w:b/>
                <w:sz w:val="20"/>
                <w:szCs w:val="20"/>
              </w:rPr>
              <w:t>Partially Attained Critical Risk</w:t>
            </w:r>
          </w:p>
          <w:p w14:paraId="0903ADCD" w14:textId="77777777" w:rsidR="00111B69" w:rsidRDefault="00111B69">
            <w:pPr>
              <w:keepNext/>
              <w:spacing w:before="60" w:after="60"/>
              <w:jc w:val="center"/>
              <w:rPr>
                <w:rFonts w:cs="Arial"/>
                <w:b/>
                <w:sz w:val="20"/>
                <w:szCs w:val="20"/>
              </w:rPr>
            </w:pPr>
            <w:r>
              <w:rPr>
                <w:rFonts w:cs="Arial"/>
                <w:b/>
                <w:sz w:val="20"/>
                <w:szCs w:val="20"/>
              </w:rPr>
              <w:t>(PA Critical)</w:t>
            </w:r>
          </w:p>
        </w:tc>
      </w:tr>
      <w:tr w:rsidR="00A35885" w14:paraId="381AE155" w14:textId="77777777">
        <w:tc>
          <w:tcPr>
            <w:tcW w:w="1384" w:type="dxa"/>
            <w:vAlign w:val="center"/>
          </w:tcPr>
          <w:p w14:paraId="4C888C83" w14:textId="77777777" w:rsidR="00111B69" w:rsidRDefault="00111B69">
            <w:pPr>
              <w:keepNext/>
              <w:spacing w:before="60" w:after="60"/>
              <w:rPr>
                <w:rFonts w:cs="Arial"/>
                <w:b/>
                <w:sz w:val="20"/>
                <w:szCs w:val="20"/>
              </w:rPr>
            </w:pPr>
            <w:r>
              <w:rPr>
                <w:rFonts w:cs="Arial"/>
                <w:b/>
                <w:sz w:val="20"/>
                <w:szCs w:val="20"/>
              </w:rPr>
              <w:t>Subsection</w:t>
            </w:r>
          </w:p>
        </w:tc>
        <w:tc>
          <w:tcPr>
            <w:tcW w:w="1701" w:type="dxa"/>
            <w:vAlign w:val="center"/>
          </w:tcPr>
          <w:p w14:paraId="2D836CB6" w14:textId="77777777" w:rsidR="00111B69" w:rsidRDefault="00111B69"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5EE43E8" w14:textId="77777777" w:rsidR="00111B69" w:rsidRDefault="00111B69"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40AFE131" w14:textId="77777777" w:rsidR="00111B69" w:rsidRDefault="00111B69">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65EDA56" w14:textId="77777777" w:rsidR="00111B69" w:rsidRDefault="00111B69"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FEADE4B" w14:textId="77777777" w:rsidR="00111B69" w:rsidRDefault="00111B69"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05EE746" w14:textId="77777777" w:rsidR="00111B69" w:rsidRDefault="00111B69">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3DB1E00" w14:textId="77777777" w:rsidR="00111B69" w:rsidRDefault="00111B69">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35885" w14:paraId="373FFD12" w14:textId="77777777">
        <w:tc>
          <w:tcPr>
            <w:tcW w:w="1384" w:type="dxa"/>
            <w:vAlign w:val="center"/>
          </w:tcPr>
          <w:p w14:paraId="7A43531E" w14:textId="77777777" w:rsidR="00111B69" w:rsidRDefault="00111B69">
            <w:pPr>
              <w:keepNext/>
              <w:spacing w:before="60" w:after="60"/>
              <w:rPr>
                <w:rFonts w:cs="Arial"/>
                <w:b/>
                <w:sz w:val="20"/>
                <w:szCs w:val="20"/>
              </w:rPr>
            </w:pPr>
            <w:r>
              <w:rPr>
                <w:rFonts w:cs="Arial"/>
                <w:b/>
                <w:sz w:val="20"/>
                <w:szCs w:val="20"/>
              </w:rPr>
              <w:t>Criteria</w:t>
            </w:r>
          </w:p>
        </w:tc>
        <w:tc>
          <w:tcPr>
            <w:tcW w:w="1701" w:type="dxa"/>
            <w:vAlign w:val="center"/>
          </w:tcPr>
          <w:p w14:paraId="03D88C8E" w14:textId="77777777" w:rsidR="00111B69" w:rsidRDefault="00111B69">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594D15E" w14:textId="77777777" w:rsidR="00111B69" w:rsidRDefault="00111B69"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5930DC50" w14:textId="77777777" w:rsidR="00111B69" w:rsidRDefault="00111B69">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280C8BF" w14:textId="77777777" w:rsidR="00111B69" w:rsidRDefault="00111B69"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1A21F80" w14:textId="77777777" w:rsidR="00111B69" w:rsidRDefault="00111B69"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39F62B8" w14:textId="77777777" w:rsidR="00111B69" w:rsidRDefault="00111B69">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49AF1EE" w14:textId="77777777" w:rsidR="00111B69" w:rsidRDefault="00111B69">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CDC6B90" w14:textId="77777777" w:rsidR="00111B69" w:rsidRDefault="00111B6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35885" w14:paraId="0609013E" w14:textId="77777777">
        <w:tc>
          <w:tcPr>
            <w:tcW w:w="1384" w:type="dxa"/>
            <w:vAlign w:val="center"/>
          </w:tcPr>
          <w:p w14:paraId="1F174CDB" w14:textId="77777777" w:rsidR="00111B69" w:rsidRDefault="00111B69">
            <w:pPr>
              <w:keepNext/>
              <w:spacing w:before="60" w:after="60"/>
              <w:rPr>
                <w:rFonts w:cs="Arial"/>
                <w:b/>
                <w:sz w:val="20"/>
                <w:szCs w:val="20"/>
              </w:rPr>
            </w:pPr>
            <w:r>
              <w:rPr>
                <w:rFonts w:cs="Arial"/>
                <w:b/>
                <w:sz w:val="20"/>
                <w:szCs w:val="20"/>
              </w:rPr>
              <w:t>Attainment Rating</w:t>
            </w:r>
          </w:p>
        </w:tc>
        <w:tc>
          <w:tcPr>
            <w:tcW w:w="1701" w:type="dxa"/>
            <w:vAlign w:val="center"/>
          </w:tcPr>
          <w:p w14:paraId="5BEC235B" w14:textId="77777777" w:rsidR="00111B69" w:rsidRDefault="00111B69">
            <w:pPr>
              <w:keepNext/>
              <w:spacing w:before="60" w:after="60"/>
              <w:jc w:val="center"/>
              <w:rPr>
                <w:rFonts w:cs="Arial"/>
                <w:b/>
                <w:sz w:val="20"/>
                <w:szCs w:val="20"/>
              </w:rPr>
            </w:pPr>
            <w:r>
              <w:rPr>
                <w:rFonts w:cs="Arial"/>
                <w:b/>
                <w:sz w:val="20"/>
                <w:szCs w:val="20"/>
              </w:rPr>
              <w:t>Unattained Negligible Risk</w:t>
            </w:r>
          </w:p>
          <w:p w14:paraId="0D1543F0" w14:textId="77777777" w:rsidR="00111B69" w:rsidRDefault="00111B69">
            <w:pPr>
              <w:keepNext/>
              <w:spacing w:before="60" w:after="60"/>
              <w:jc w:val="center"/>
              <w:rPr>
                <w:rFonts w:cs="Arial"/>
                <w:b/>
                <w:sz w:val="20"/>
                <w:szCs w:val="20"/>
              </w:rPr>
            </w:pPr>
            <w:r>
              <w:rPr>
                <w:rFonts w:cs="Arial"/>
                <w:b/>
                <w:sz w:val="20"/>
                <w:szCs w:val="20"/>
              </w:rPr>
              <w:t>(UA Negligible)</w:t>
            </w:r>
          </w:p>
        </w:tc>
        <w:tc>
          <w:tcPr>
            <w:tcW w:w="1843" w:type="dxa"/>
            <w:vAlign w:val="center"/>
          </w:tcPr>
          <w:p w14:paraId="03DBF48E" w14:textId="77777777" w:rsidR="00111B69" w:rsidRDefault="00111B69">
            <w:pPr>
              <w:keepNext/>
              <w:spacing w:before="60" w:after="60"/>
              <w:jc w:val="center"/>
              <w:rPr>
                <w:rFonts w:cs="Arial"/>
                <w:b/>
                <w:sz w:val="20"/>
                <w:szCs w:val="20"/>
              </w:rPr>
            </w:pPr>
            <w:r>
              <w:rPr>
                <w:rFonts w:cs="Arial"/>
                <w:b/>
                <w:sz w:val="20"/>
                <w:szCs w:val="20"/>
              </w:rPr>
              <w:t>Unattained Low Risk</w:t>
            </w:r>
          </w:p>
          <w:p w14:paraId="28419F10" w14:textId="77777777" w:rsidR="00111B69" w:rsidRDefault="00111B69">
            <w:pPr>
              <w:keepNext/>
              <w:spacing w:before="60" w:after="60"/>
              <w:jc w:val="center"/>
              <w:rPr>
                <w:rFonts w:cs="Arial"/>
                <w:b/>
                <w:sz w:val="20"/>
                <w:szCs w:val="20"/>
              </w:rPr>
            </w:pPr>
            <w:r>
              <w:rPr>
                <w:rFonts w:cs="Arial"/>
                <w:b/>
                <w:sz w:val="20"/>
                <w:szCs w:val="20"/>
              </w:rPr>
              <w:t>(UA Low)</w:t>
            </w:r>
          </w:p>
        </w:tc>
        <w:tc>
          <w:tcPr>
            <w:tcW w:w="1843" w:type="dxa"/>
            <w:vAlign w:val="center"/>
          </w:tcPr>
          <w:p w14:paraId="787FFA7B" w14:textId="77777777" w:rsidR="00111B69" w:rsidRDefault="00111B69">
            <w:pPr>
              <w:keepNext/>
              <w:spacing w:before="60" w:after="60"/>
              <w:jc w:val="center"/>
              <w:rPr>
                <w:rFonts w:cs="Arial"/>
                <w:b/>
                <w:sz w:val="20"/>
                <w:szCs w:val="20"/>
              </w:rPr>
            </w:pPr>
            <w:r>
              <w:rPr>
                <w:rFonts w:cs="Arial"/>
                <w:b/>
                <w:sz w:val="20"/>
                <w:szCs w:val="20"/>
              </w:rPr>
              <w:t>Unattained Moderate Risk</w:t>
            </w:r>
          </w:p>
          <w:p w14:paraId="60B9406F" w14:textId="77777777" w:rsidR="00111B69" w:rsidRDefault="00111B69">
            <w:pPr>
              <w:keepNext/>
              <w:spacing w:before="60" w:after="60"/>
              <w:jc w:val="center"/>
              <w:rPr>
                <w:rFonts w:cs="Arial"/>
                <w:b/>
                <w:sz w:val="20"/>
                <w:szCs w:val="20"/>
              </w:rPr>
            </w:pPr>
            <w:r>
              <w:rPr>
                <w:rFonts w:cs="Arial"/>
                <w:b/>
                <w:sz w:val="20"/>
                <w:szCs w:val="20"/>
              </w:rPr>
              <w:t>(UA Moderate)</w:t>
            </w:r>
          </w:p>
        </w:tc>
        <w:tc>
          <w:tcPr>
            <w:tcW w:w="1842" w:type="dxa"/>
            <w:vAlign w:val="center"/>
          </w:tcPr>
          <w:p w14:paraId="3DE9D6FD" w14:textId="77777777" w:rsidR="00111B69" w:rsidRDefault="00111B69">
            <w:pPr>
              <w:keepNext/>
              <w:spacing w:before="60" w:after="60"/>
              <w:jc w:val="center"/>
              <w:rPr>
                <w:rFonts w:cs="Arial"/>
                <w:b/>
                <w:sz w:val="20"/>
                <w:szCs w:val="20"/>
              </w:rPr>
            </w:pPr>
            <w:r>
              <w:rPr>
                <w:rFonts w:cs="Arial"/>
                <w:b/>
                <w:sz w:val="20"/>
                <w:szCs w:val="20"/>
              </w:rPr>
              <w:t>Unattained High Risk</w:t>
            </w:r>
          </w:p>
          <w:p w14:paraId="4EE97AA1" w14:textId="77777777" w:rsidR="00111B69" w:rsidRDefault="00111B69">
            <w:pPr>
              <w:keepNext/>
              <w:spacing w:before="60" w:after="60"/>
              <w:jc w:val="center"/>
              <w:rPr>
                <w:rFonts w:cs="Arial"/>
                <w:b/>
                <w:sz w:val="20"/>
                <w:szCs w:val="20"/>
              </w:rPr>
            </w:pPr>
            <w:r>
              <w:rPr>
                <w:rFonts w:cs="Arial"/>
                <w:b/>
                <w:sz w:val="20"/>
                <w:szCs w:val="20"/>
              </w:rPr>
              <w:t>(UA High)</w:t>
            </w:r>
          </w:p>
        </w:tc>
        <w:tc>
          <w:tcPr>
            <w:tcW w:w="1843" w:type="dxa"/>
            <w:vAlign w:val="center"/>
          </w:tcPr>
          <w:p w14:paraId="6E1260B5" w14:textId="77777777" w:rsidR="00111B69" w:rsidRDefault="00111B69">
            <w:pPr>
              <w:keepNext/>
              <w:spacing w:before="60" w:after="60"/>
              <w:jc w:val="center"/>
              <w:rPr>
                <w:rFonts w:cs="Arial"/>
                <w:b/>
                <w:sz w:val="20"/>
                <w:szCs w:val="20"/>
              </w:rPr>
            </w:pPr>
            <w:r>
              <w:rPr>
                <w:rFonts w:cs="Arial"/>
                <w:b/>
                <w:sz w:val="20"/>
                <w:szCs w:val="20"/>
              </w:rPr>
              <w:t>Unattained Critical Risk</w:t>
            </w:r>
          </w:p>
          <w:p w14:paraId="5214E103" w14:textId="77777777" w:rsidR="00111B69" w:rsidRDefault="00111B69">
            <w:pPr>
              <w:keepNext/>
              <w:spacing w:before="60" w:after="60"/>
              <w:jc w:val="center"/>
              <w:rPr>
                <w:rFonts w:cs="Arial"/>
                <w:b/>
                <w:sz w:val="20"/>
                <w:szCs w:val="20"/>
              </w:rPr>
            </w:pPr>
            <w:r>
              <w:rPr>
                <w:rFonts w:cs="Arial"/>
                <w:b/>
                <w:sz w:val="20"/>
                <w:szCs w:val="20"/>
              </w:rPr>
              <w:t>(UA Critical)</w:t>
            </w:r>
          </w:p>
        </w:tc>
      </w:tr>
      <w:tr w:rsidR="00A35885" w14:paraId="34A414ED" w14:textId="77777777">
        <w:tc>
          <w:tcPr>
            <w:tcW w:w="1384" w:type="dxa"/>
            <w:vAlign w:val="center"/>
          </w:tcPr>
          <w:p w14:paraId="22815023" w14:textId="77777777" w:rsidR="00111B69" w:rsidRDefault="00111B69">
            <w:pPr>
              <w:keepNext/>
              <w:spacing w:before="60" w:after="60"/>
              <w:rPr>
                <w:rFonts w:cs="Arial"/>
                <w:b/>
                <w:sz w:val="20"/>
                <w:szCs w:val="20"/>
              </w:rPr>
            </w:pPr>
            <w:r>
              <w:rPr>
                <w:rFonts w:cs="Arial"/>
                <w:b/>
                <w:sz w:val="20"/>
                <w:szCs w:val="20"/>
              </w:rPr>
              <w:t>Subsection</w:t>
            </w:r>
          </w:p>
        </w:tc>
        <w:tc>
          <w:tcPr>
            <w:tcW w:w="1701" w:type="dxa"/>
            <w:vAlign w:val="center"/>
          </w:tcPr>
          <w:p w14:paraId="55EC136C" w14:textId="77777777" w:rsidR="00111B69" w:rsidRDefault="00111B69">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CB205BA" w14:textId="77777777" w:rsidR="00111B69" w:rsidRDefault="00111B69">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4929533" w14:textId="77777777" w:rsidR="00111B69" w:rsidRDefault="00111B69">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6729D31" w14:textId="77777777" w:rsidR="00111B69" w:rsidRDefault="00111B69">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6054E93" w14:textId="77777777" w:rsidR="00111B69" w:rsidRDefault="00111B69">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35885" w14:paraId="1B6978CA" w14:textId="77777777">
        <w:tc>
          <w:tcPr>
            <w:tcW w:w="1384" w:type="dxa"/>
            <w:vAlign w:val="center"/>
          </w:tcPr>
          <w:p w14:paraId="15C3926E" w14:textId="77777777" w:rsidR="00111B69" w:rsidRDefault="00111B69">
            <w:pPr>
              <w:spacing w:before="60" w:after="60"/>
              <w:rPr>
                <w:rFonts w:cs="Arial"/>
                <w:b/>
                <w:sz w:val="20"/>
                <w:szCs w:val="20"/>
              </w:rPr>
            </w:pPr>
            <w:r>
              <w:rPr>
                <w:rFonts w:cs="Arial"/>
                <w:b/>
                <w:sz w:val="20"/>
                <w:szCs w:val="20"/>
              </w:rPr>
              <w:t>Criteria</w:t>
            </w:r>
          </w:p>
        </w:tc>
        <w:tc>
          <w:tcPr>
            <w:tcW w:w="1701" w:type="dxa"/>
            <w:vAlign w:val="center"/>
          </w:tcPr>
          <w:p w14:paraId="0AD540A2" w14:textId="77777777" w:rsidR="00111B69" w:rsidRDefault="00111B69">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21D42F2" w14:textId="77777777" w:rsidR="00111B69" w:rsidRDefault="00111B69">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79E0B51" w14:textId="77777777" w:rsidR="00111B69" w:rsidRDefault="00111B69">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524EE40" w14:textId="77777777" w:rsidR="00111B69" w:rsidRDefault="00111B69">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4D50690" w14:textId="77777777" w:rsidR="00111B69" w:rsidRDefault="00111B69">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84B92E2" w14:textId="77777777" w:rsidR="00111B69" w:rsidRDefault="00111B69">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64EB61A" w14:textId="77777777" w:rsidR="00111B69" w:rsidRDefault="00111B69">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4ACE0A8" w14:textId="77777777" w:rsidR="00111B69" w:rsidRDefault="00111B69">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7336560" w14:textId="77777777" w:rsidR="00111B69" w:rsidRDefault="00111B69">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A35885" w14:paraId="5E7E3060" w14:textId="77777777">
        <w:tc>
          <w:tcPr>
            <w:tcW w:w="0" w:type="auto"/>
          </w:tcPr>
          <w:p w14:paraId="59C4CD45" w14:textId="77777777" w:rsidR="00111B69" w:rsidRPr="00BE00C7" w:rsidRDefault="00111B69"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E03AF26" w14:textId="77777777" w:rsidR="00111B69" w:rsidRPr="00BE00C7" w:rsidRDefault="00111B6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E6331E7" w14:textId="77777777" w:rsidR="00111B69" w:rsidRPr="00BE00C7" w:rsidRDefault="00111B69" w:rsidP="00BE00C7">
            <w:pPr>
              <w:pStyle w:val="OutcomeDescription"/>
              <w:spacing w:before="120" w:after="120"/>
              <w:rPr>
                <w:rFonts w:cs="Arial"/>
                <w:b/>
                <w:lang w:eastAsia="en-NZ"/>
              </w:rPr>
            </w:pPr>
            <w:r w:rsidRPr="00BE00C7">
              <w:rPr>
                <w:rFonts w:cs="Arial"/>
                <w:b/>
                <w:lang w:eastAsia="en-NZ"/>
              </w:rPr>
              <w:t>Audit Evidence</w:t>
            </w:r>
          </w:p>
        </w:tc>
      </w:tr>
      <w:tr w:rsidR="00A35885" w14:paraId="0A379FAC" w14:textId="77777777">
        <w:tc>
          <w:tcPr>
            <w:tcW w:w="0" w:type="auto"/>
          </w:tcPr>
          <w:p w14:paraId="2A12BB54" w14:textId="77777777" w:rsidR="00111B69" w:rsidRPr="00BE00C7" w:rsidRDefault="00111B69" w:rsidP="00BE00C7">
            <w:pPr>
              <w:pStyle w:val="OutcomeDescription"/>
              <w:spacing w:before="120" w:after="120"/>
              <w:rPr>
                <w:rFonts w:cs="Arial"/>
                <w:lang w:eastAsia="en-NZ"/>
              </w:rPr>
            </w:pPr>
            <w:r w:rsidRPr="00BE00C7">
              <w:rPr>
                <w:rFonts w:cs="Arial"/>
                <w:lang w:eastAsia="en-NZ"/>
              </w:rPr>
              <w:t>Subsection 1.1: Pae ora healthy futures</w:t>
            </w:r>
          </w:p>
          <w:p w14:paraId="2BA940EF"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72CEC3D" w14:textId="77777777" w:rsidR="00111B69" w:rsidRPr="00BE00C7" w:rsidRDefault="00111B69" w:rsidP="00BE00C7">
            <w:pPr>
              <w:pStyle w:val="OutcomeDescription"/>
              <w:spacing w:before="120" w:after="120"/>
              <w:rPr>
                <w:rFonts w:cs="Arial"/>
                <w:lang w:eastAsia="en-NZ"/>
              </w:rPr>
            </w:pPr>
          </w:p>
        </w:tc>
        <w:tc>
          <w:tcPr>
            <w:tcW w:w="0" w:type="auto"/>
          </w:tcPr>
          <w:p w14:paraId="316FAAB7"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23F4FE0E" w14:textId="77777777" w:rsidR="00111B69" w:rsidRPr="00BE00C7" w:rsidRDefault="00111B69" w:rsidP="00BE00C7">
            <w:pPr>
              <w:pStyle w:val="OutcomeDescription"/>
              <w:spacing w:before="120" w:after="120"/>
              <w:rPr>
                <w:rFonts w:cs="Arial"/>
                <w:lang w:eastAsia="en-NZ"/>
              </w:rPr>
            </w:pPr>
            <w:r w:rsidRPr="00BE00C7">
              <w:rPr>
                <w:rFonts w:cs="Arial"/>
                <w:lang w:eastAsia="en-NZ"/>
              </w:rPr>
              <w:t>A Māori health plan is documented for the organisation. The Māori health plan is guided by the requirements of Ngā Paerewa Health and Disability Services Standard NZS 8134:2021. The plan acknowledges Te Tiriti o Waitangi as a founding document for New Zealand. The aim of this plan is to provide equitable health outcomes for Māori residents and their family/whānau with overall improved health and wellbeing. Areas of focus have been identified in the Māori health plan using Te Whare Tapa Whā as the tool to as</w:t>
            </w:r>
            <w:r w:rsidRPr="00BE00C7">
              <w:rPr>
                <w:rFonts w:cs="Arial"/>
                <w:lang w:eastAsia="en-NZ"/>
              </w:rPr>
              <w:t xml:space="preserve">sist in their delivery of services for Māori, which reflects the four cornerstones of Māori health. </w:t>
            </w:r>
          </w:p>
          <w:p w14:paraId="08C3352F" w14:textId="77777777" w:rsidR="00111B69" w:rsidRPr="00BE00C7" w:rsidRDefault="00111B69" w:rsidP="00BE00C7">
            <w:pPr>
              <w:pStyle w:val="OutcomeDescription"/>
              <w:spacing w:before="120" w:after="120"/>
              <w:rPr>
                <w:rFonts w:cs="Arial"/>
                <w:lang w:eastAsia="en-NZ"/>
              </w:rPr>
            </w:pPr>
            <w:r w:rsidRPr="00BE00C7">
              <w:rPr>
                <w:rFonts w:cs="Arial"/>
                <w:lang w:eastAsia="en-NZ"/>
              </w:rPr>
              <w:t>Copper Crest Living Well is committed to respecting the self-determination, cultural values, and beliefs of Māori residents, family/whānau, as evidenced in interviews with Māori staff members, and documentation.</w:t>
            </w:r>
          </w:p>
          <w:p w14:paraId="43DBF43C"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village manager interviews all suitably qualified Māori applicants when they apply for employment opportunities at Copper Crest Living Well. At the time of the audit there were staff members who identified as Māori. The business plan documentation confirms the service is embedding and enacting Te Tiriti o Waitangi within the service, welcoming, recognising and supporting Māori employees and </w:t>
            </w:r>
            <w:r w:rsidRPr="00BE00C7">
              <w:rPr>
                <w:rFonts w:cs="Arial"/>
                <w:lang w:eastAsia="en-NZ"/>
              </w:rPr>
              <w:lastRenderedPageBreak/>
              <w:t xml:space="preserve">residents. Ten staff interviewed; three wellness partners (caregivers), two registered nurses (RNs), one wellness leader, one kitchen manager, one maintenance manager, one housekeeper, and one laundry assistant confirmed all cultures were treated equally and welcomed to the workplace. </w:t>
            </w:r>
          </w:p>
          <w:p w14:paraId="6835896C" w14:textId="77777777" w:rsidR="00111B69" w:rsidRPr="00BE00C7" w:rsidRDefault="00111B69" w:rsidP="00BE00C7">
            <w:pPr>
              <w:pStyle w:val="OutcomeDescription"/>
              <w:spacing w:before="120" w:after="120"/>
              <w:rPr>
                <w:rFonts w:cs="Arial"/>
                <w:lang w:eastAsia="en-NZ"/>
              </w:rPr>
            </w:pPr>
            <w:r w:rsidRPr="00BE00C7">
              <w:rPr>
                <w:rFonts w:cs="Arial"/>
                <w:lang w:eastAsia="en-NZ"/>
              </w:rPr>
              <w:t>Arvida Group is dedicated to partnering with Māori, government, and other businesses to align their work with and for the benefit of Māori. Arvida has a Māori Advisory Group which confers on and provides support for any cultural issues arising from Villages. The advisory group also consults with the Clinical Governance Group on matters where policy or practice change may be required.</w:t>
            </w:r>
          </w:p>
          <w:p w14:paraId="68E5D617"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service currently has no residents that identify as Māori. All staff have access to relevant tikanga guidelines. Te reo Māori is encouraged to be used in general conversations, orally and written in email greetings. Management have participated in te reo Māori training and education. </w:t>
            </w:r>
          </w:p>
          <w:p w14:paraId="545312BC" w14:textId="77777777" w:rsidR="00111B69" w:rsidRPr="00BE00C7" w:rsidRDefault="00111B69" w:rsidP="00BE00C7">
            <w:pPr>
              <w:pStyle w:val="OutcomeDescription"/>
              <w:spacing w:before="120" w:after="120"/>
              <w:rPr>
                <w:rFonts w:cs="Arial"/>
                <w:lang w:eastAsia="en-NZ"/>
              </w:rPr>
            </w:pPr>
            <w:r w:rsidRPr="00BE00C7">
              <w:rPr>
                <w:rFonts w:cs="Arial"/>
                <w:lang w:eastAsia="en-NZ"/>
              </w:rPr>
              <w:t>Residents and family/whānau are involved in providing input into the resident’s care planning, their activities, and their dietary needs. The registered nurses, wellness partners and the wellness leader were able to describe how care is based on the resident’s individual values, preferences, and beliefs.</w:t>
            </w:r>
          </w:p>
          <w:p w14:paraId="1202A319" w14:textId="77777777" w:rsidR="00111B69" w:rsidRPr="00BE00C7" w:rsidRDefault="00111B69" w:rsidP="00BE00C7">
            <w:pPr>
              <w:pStyle w:val="OutcomeDescription"/>
              <w:spacing w:before="120" w:after="120"/>
              <w:rPr>
                <w:rFonts w:cs="Arial"/>
                <w:lang w:eastAsia="en-NZ"/>
              </w:rPr>
            </w:pPr>
          </w:p>
        </w:tc>
      </w:tr>
      <w:tr w:rsidR="00A35885" w14:paraId="046B68C7" w14:textId="77777777">
        <w:tc>
          <w:tcPr>
            <w:tcW w:w="0" w:type="auto"/>
          </w:tcPr>
          <w:p w14:paraId="12F535B2"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419A795" w14:textId="77777777" w:rsidR="00111B69" w:rsidRPr="00BE00C7" w:rsidRDefault="00111B69"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73EE8A1" w14:textId="77777777" w:rsidR="00111B69" w:rsidRPr="00BE00C7" w:rsidRDefault="00111B69" w:rsidP="00BE00C7">
            <w:pPr>
              <w:pStyle w:val="OutcomeDescription"/>
              <w:spacing w:before="120" w:after="120"/>
              <w:rPr>
                <w:rFonts w:cs="Arial"/>
                <w:lang w:eastAsia="en-NZ"/>
              </w:rPr>
            </w:pPr>
          </w:p>
        </w:tc>
        <w:tc>
          <w:tcPr>
            <w:tcW w:w="0" w:type="auto"/>
          </w:tcPr>
          <w:p w14:paraId="536F38BC"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6CE072BD"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On admission all residents state their ethnicity. There were no residents that identified as Pasifika. Management interviewed advised that family/whānau of Pasifika residents would be encouraged to be present during the admission process, including completion of the initial care plan. Individual cultural beliefs are documented for all residents in their care plan and activities plan. Resident’s family/whānau are encouraged to be involved in all aspects of care particularly in nursing and medical decisions, </w:t>
            </w:r>
            <w:r w:rsidRPr="00BE00C7">
              <w:rPr>
                <w:rFonts w:cs="Arial"/>
                <w:lang w:eastAsia="en-NZ"/>
              </w:rPr>
              <w:t xml:space="preserve">satisfaction of the service and recognition of cultural needs. </w:t>
            </w:r>
          </w:p>
          <w:p w14:paraId="799EB2D2"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Pacific Way Framework (PWC) is the chosen model for the Pacific health plan and Mana Tiriti Framework. The organisation has developed a meaningful and collaborative working relationship with Pasifika communities to produce their Pacific health plan. Copper </w:t>
            </w:r>
            <w:r w:rsidRPr="00BE00C7">
              <w:rPr>
                <w:rFonts w:cs="Arial"/>
                <w:lang w:eastAsia="en-NZ"/>
              </w:rPr>
              <w:lastRenderedPageBreak/>
              <w:t xml:space="preserve">Crest Living Well has links with the local Pasifika community through current staff members who identify as Pasifika. </w:t>
            </w:r>
          </w:p>
          <w:p w14:paraId="583F0D5C"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management team (village manager, clinical manager [in attendance], and head of clinical quality) were able to confirm how Copper Crest Living Well is increasing the capacity and capability of the Pacific workforce through equitable employment processes. The service was not actively recruiting wellness partners at the time of the audit and on review of employment documentation, there was evidence of equitable employment processes. </w:t>
            </w:r>
          </w:p>
          <w:p w14:paraId="05F071FE" w14:textId="77777777" w:rsidR="00111B69" w:rsidRPr="00BE00C7" w:rsidRDefault="00111B69" w:rsidP="00BE00C7">
            <w:pPr>
              <w:pStyle w:val="OutcomeDescription"/>
              <w:spacing w:before="120" w:after="120"/>
              <w:rPr>
                <w:rFonts w:cs="Arial"/>
                <w:lang w:eastAsia="en-NZ"/>
              </w:rPr>
            </w:pPr>
            <w:r w:rsidRPr="00BE00C7">
              <w:rPr>
                <w:rFonts w:cs="Arial"/>
                <w:lang w:eastAsia="en-NZ"/>
              </w:rPr>
              <w:t>Interviews with four residents (three rest home, one hospital) and four family/whānau (one rest home, three dementia) identified that staff put residents, family/whānau and the community at the centre of their services.</w:t>
            </w:r>
          </w:p>
          <w:p w14:paraId="7451E281" w14:textId="77777777" w:rsidR="00111B69" w:rsidRPr="00BE00C7" w:rsidRDefault="00111B69" w:rsidP="00BE00C7">
            <w:pPr>
              <w:pStyle w:val="OutcomeDescription"/>
              <w:spacing w:before="120" w:after="120"/>
              <w:rPr>
                <w:rFonts w:cs="Arial"/>
                <w:lang w:eastAsia="en-NZ"/>
              </w:rPr>
            </w:pPr>
          </w:p>
        </w:tc>
      </w:tr>
      <w:tr w:rsidR="00A35885" w14:paraId="2CCB49C6" w14:textId="77777777">
        <w:tc>
          <w:tcPr>
            <w:tcW w:w="0" w:type="auto"/>
          </w:tcPr>
          <w:p w14:paraId="279F3BCA"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2C56F47" w14:textId="77777777" w:rsidR="00111B69" w:rsidRPr="00BE00C7" w:rsidRDefault="00111B69"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B4AC7CB" w14:textId="77777777" w:rsidR="00111B69" w:rsidRPr="00BE00C7" w:rsidRDefault="00111B69" w:rsidP="00BE00C7">
            <w:pPr>
              <w:pStyle w:val="OutcomeDescription"/>
              <w:spacing w:before="120" w:after="120"/>
              <w:rPr>
                <w:rFonts w:cs="Arial"/>
                <w:lang w:eastAsia="en-NZ"/>
              </w:rPr>
            </w:pPr>
          </w:p>
        </w:tc>
        <w:tc>
          <w:tcPr>
            <w:tcW w:w="0" w:type="auto"/>
          </w:tcPr>
          <w:p w14:paraId="4EDF77C9"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6E0326F8"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multiple </w:t>
            </w:r>
            <w:r w:rsidRPr="00BE00C7">
              <w:rPr>
                <w:rFonts w:cs="Arial"/>
                <w:lang w:eastAsia="en-NZ"/>
              </w:rPr>
              <w:t>locations in English and te reo Māori. Details relating to the Code are included in the information that is provided to new residents and their family/whānau. The clinical coordinator or clinical manager discuss aspects of the Code with residents and their family/whānau on admission. Discussions relating to the Code are also held during the bi-monthly resident/family meetings. All residents and family/whānau interviewed reported that the residents’ rights are being upheld by the service. Interactions observ</w:t>
            </w:r>
            <w:r w:rsidRPr="00BE00C7">
              <w:rPr>
                <w:rFonts w:cs="Arial"/>
                <w:lang w:eastAsia="en-NZ"/>
              </w:rPr>
              <w:t>ed between staff and residents during the audit were respectful.</w:t>
            </w:r>
          </w:p>
          <w:p w14:paraId="09FAE6D7" w14:textId="77777777" w:rsidR="00111B69" w:rsidRPr="00BE00C7" w:rsidRDefault="00111B69" w:rsidP="00BE00C7">
            <w:pPr>
              <w:pStyle w:val="OutcomeDescription"/>
              <w:spacing w:before="120" w:after="120"/>
              <w:rPr>
                <w:rFonts w:cs="Arial"/>
                <w:lang w:eastAsia="en-NZ"/>
              </w:rPr>
            </w:pPr>
            <w:r w:rsidRPr="00BE00C7">
              <w:rPr>
                <w:rFonts w:cs="Arial"/>
                <w:lang w:eastAsia="en-NZ"/>
              </w:rPr>
              <w:t>There are links to spiritual supports. Church services are held weekly, shared between the various denominations. All residents are invited and supported to attend if they so wish. Information about the Nationwide Health and Disability Advocacy Service is available to residents. Staff receive education in relation to the Code at orientation and through the education and training programme which includes (but is not limited to) understanding the role of advocacy services, maintaining dignity, respect, and au</w:t>
            </w:r>
            <w:r w:rsidRPr="00BE00C7">
              <w:rPr>
                <w:rFonts w:cs="Arial"/>
                <w:lang w:eastAsia="en-NZ"/>
              </w:rPr>
              <w:t>tonomy. Advocacy services are linked to the complaints process.</w:t>
            </w:r>
          </w:p>
          <w:p w14:paraId="79768B90"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service recognises Māori mana motuhake: self-determination, </w:t>
            </w:r>
            <w:r w:rsidRPr="00BE00C7">
              <w:rPr>
                <w:rFonts w:cs="Arial"/>
                <w:lang w:eastAsia="en-NZ"/>
              </w:rPr>
              <w:lastRenderedPageBreak/>
              <w:t>independence, sovereignty, authority, as evidenced in their Māori health plan and through interviews with management and staff.</w:t>
            </w:r>
          </w:p>
          <w:p w14:paraId="53D4FBC3" w14:textId="77777777" w:rsidR="00111B69" w:rsidRPr="00BE00C7" w:rsidRDefault="00111B69" w:rsidP="00BE00C7">
            <w:pPr>
              <w:pStyle w:val="OutcomeDescription"/>
              <w:spacing w:before="120" w:after="120"/>
              <w:rPr>
                <w:rFonts w:cs="Arial"/>
                <w:lang w:eastAsia="en-NZ"/>
              </w:rPr>
            </w:pPr>
          </w:p>
        </w:tc>
      </w:tr>
      <w:tr w:rsidR="00A35885" w14:paraId="199F4213" w14:textId="77777777">
        <w:tc>
          <w:tcPr>
            <w:tcW w:w="0" w:type="auto"/>
          </w:tcPr>
          <w:p w14:paraId="0DD9F3EB"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D6F40AE" w14:textId="77777777" w:rsidR="00111B69" w:rsidRPr="00BE00C7" w:rsidRDefault="00111B69"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01149E6" w14:textId="77777777" w:rsidR="00111B69" w:rsidRPr="00BE00C7" w:rsidRDefault="00111B69" w:rsidP="00BE00C7">
            <w:pPr>
              <w:pStyle w:val="OutcomeDescription"/>
              <w:spacing w:before="120" w:after="120"/>
              <w:rPr>
                <w:rFonts w:cs="Arial"/>
                <w:lang w:eastAsia="en-NZ"/>
              </w:rPr>
            </w:pPr>
          </w:p>
        </w:tc>
        <w:tc>
          <w:tcPr>
            <w:tcW w:w="0" w:type="auto"/>
          </w:tcPr>
          <w:p w14:paraId="224CCB9B"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772BC4FC"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Clinical staff members interviewed described how they support residents to choose what they want to do. Residents interviewed stated they had choice and examples were provided. Residents are supported to make decisions about whether they would like family/whānau members to be involved in their care or other forms of support. </w:t>
            </w:r>
          </w:p>
          <w:p w14:paraId="6530E2EB" w14:textId="77777777" w:rsidR="00111B69" w:rsidRPr="00BE00C7" w:rsidRDefault="00111B69" w:rsidP="00BE00C7">
            <w:pPr>
              <w:pStyle w:val="OutcomeDescription"/>
              <w:spacing w:before="120" w:after="120"/>
              <w:rPr>
                <w:rFonts w:cs="Arial"/>
                <w:lang w:eastAsia="en-NZ"/>
              </w:rPr>
            </w:pPr>
            <w:r w:rsidRPr="00BE00C7">
              <w:rPr>
                <w:rFonts w:cs="Arial"/>
                <w:lang w:eastAsia="en-NZ"/>
              </w:rPr>
              <w:t>The service’s annual training plan demonstrates training that is responsive to the diverse needs of people across the service. It was observed that residents are treated with dignity and respect. Satisfaction survey results published in February 2024 confirmed that residents and family/whānau are highly satisfied, with a net promoter score (NPS) of 50 (organisation target 45). This was also confirmed during interviews with residents and family/whānau.</w:t>
            </w:r>
          </w:p>
          <w:p w14:paraId="1F7E3674"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A sexuality and intimacy policy is in place and is supported through staff training. Staff interviewed stated they respect each resident’s right to have space for intimate relationships. 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w:t>
            </w:r>
            <w:r w:rsidRPr="00BE00C7">
              <w:rPr>
                <w:rFonts w:cs="Arial"/>
                <w:lang w:eastAsia="en-NZ"/>
              </w:rPr>
              <w:t xml:space="preserve">preferred names. Values and beliefs information is gathered on admission with relative’s involvement and is integrated into the residents' care plans. </w:t>
            </w:r>
          </w:p>
          <w:p w14:paraId="47FBB4E4"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Arvida Attitude of Living Well encourages a resident-led culture of care that ensures each resident’s values and beliefs underpin all decision-making. This holistic approach, using five pillars of wellness, requires the care team to understand each resident’s individual preferences, habits, and routines. The organisation is actively encouraging the use of te reo Māori, implementing the kia ora challenge, implementation of signage that reflect the use of te reo Māori and are sharing knowledge around the </w:t>
            </w:r>
            <w:r w:rsidRPr="00BE00C7">
              <w:rPr>
                <w:rFonts w:cs="Arial"/>
                <w:lang w:eastAsia="en-NZ"/>
              </w:rPr>
              <w:t xml:space="preserve">values underpinning tikanga principles. Culturally inclusive care training includes modules </w:t>
            </w:r>
            <w:r w:rsidRPr="00BE00C7">
              <w:rPr>
                <w:rFonts w:cs="Arial"/>
                <w:lang w:eastAsia="en-NZ"/>
              </w:rPr>
              <w:lastRenderedPageBreak/>
              <w:t>on Te Tiriti o Waitangi, normalising te reo, tikanga Māori, cultural safety and bias in healthcare and equity training is covered in the staff education and training plan. The Māori health plan acknowledges te ao Māori, referencing the interconnectedness and interrelationship of all living and non-living things. Staff respond to tāngata whaikaha needs and enable their participation in te ao Māori, evidenced through t</w:t>
            </w:r>
            <w:r w:rsidRPr="00BE00C7">
              <w:rPr>
                <w:rFonts w:cs="Arial"/>
                <w:lang w:eastAsia="en-NZ"/>
              </w:rPr>
              <w:t>he Māori health plan and interviews with staff and residents</w:t>
            </w:r>
          </w:p>
          <w:p w14:paraId="1E5763E0" w14:textId="77777777" w:rsidR="00111B69" w:rsidRPr="00BE00C7" w:rsidRDefault="00111B69" w:rsidP="00BE00C7">
            <w:pPr>
              <w:pStyle w:val="OutcomeDescription"/>
              <w:spacing w:before="120" w:after="120"/>
              <w:rPr>
                <w:rFonts w:cs="Arial"/>
                <w:lang w:eastAsia="en-NZ"/>
              </w:rPr>
            </w:pPr>
          </w:p>
        </w:tc>
      </w:tr>
      <w:tr w:rsidR="00A35885" w14:paraId="269C30A8" w14:textId="77777777">
        <w:tc>
          <w:tcPr>
            <w:tcW w:w="0" w:type="auto"/>
          </w:tcPr>
          <w:p w14:paraId="0DB68123"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D84D1F7" w14:textId="77777777" w:rsidR="00111B69" w:rsidRPr="00BE00C7" w:rsidRDefault="00111B69"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w:t>
            </w:r>
            <w:r w:rsidRPr="00BE00C7">
              <w:rPr>
                <w:rFonts w:cs="Arial"/>
                <w:lang w:eastAsia="en-NZ"/>
              </w:rPr>
              <w:t>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B77B7B0" w14:textId="77777777" w:rsidR="00111B69" w:rsidRPr="00BE00C7" w:rsidRDefault="00111B69" w:rsidP="00BE00C7">
            <w:pPr>
              <w:pStyle w:val="OutcomeDescription"/>
              <w:spacing w:before="120" w:after="120"/>
              <w:rPr>
                <w:rFonts w:cs="Arial"/>
                <w:lang w:eastAsia="en-NZ"/>
              </w:rPr>
            </w:pPr>
          </w:p>
        </w:tc>
        <w:tc>
          <w:tcPr>
            <w:tcW w:w="0" w:type="auto"/>
          </w:tcPr>
          <w:p w14:paraId="1ACEB54E"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070E2710" w14:textId="77777777" w:rsidR="00111B69" w:rsidRPr="00BE00C7" w:rsidRDefault="00111B69" w:rsidP="00BE00C7">
            <w:pPr>
              <w:pStyle w:val="OutcomeDescription"/>
              <w:spacing w:before="120" w:after="120"/>
              <w:rPr>
                <w:rFonts w:cs="Arial"/>
                <w:lang w:eastAsia="en-NZ"/>
              </w:rPr>
            </w:pPr>
            <w:r w:rsidRPr="00BE00C7">
              <w:rPr>
                <w:rFonts w:cs="Arial"/>
                <w:lang w:eastAsia="en-NZ"/>
              </w:rPr>
              <w:t>The abuse, neglect and discrimination policy is implemented. The staff handbook provided at orientation describes guidelines to prevent any form of discrimination, coercion, harassment, or any other exploitation. Cultural days are held to celebrate diversity. House rules are discussed with staff during their induction to the service that address harassment, racism, and bullying. Staff sign to acknowledge their understanding of these house rules. Training on workplace conduct, bullying and harassment is cont</w:t>
            </w:r>
            <w:r w:rsidRPr="00BE00C7">
              <w:rPr>
                <w:rFonts w:cs="Arial"/>
                <w:lang w:eastAsia="en-NZ"/>
              </w:rPr>
              <w:t xml:space="preserve">ained in the online training platform, accessible to all staff. </w:t>
            </w:r>
          </w:p>
          <w:p w14:paraId="44FD4D5B"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organisation is also raising awareness and educating staff on institutional racism and equity through in-services with the cultural consultant. They encourage an individualised approach to care to ensure each person’s values, routines and habits reflect any cultural considerations (ethnicity, sexual orientation, gender, and socio-economic status). </w:t>
            </w:r>
          </w:p>
          <w:p w14:paraId="448D6CE8" w14:textId="77777777" w:rsidR="00111B69" w:rsidRPr="00BE00C7" w:rsidRDefault="00111B69" w:rsidP="00BE00C7">
            <w:pPr>
              <w:pStyle w:val="OutcomeDescription"/>
              <w:spacing w:before="120" w:after="120"/>
              <w:rPr>
                <w:rFonts w:cs="Arial"/>
                <w:lang w:eastAsia="en-NZ"/>
              </w:rPr>
            </w:pPr>
            <w:r w:rsidRPr="00BE00C7">
              <w:rPr>
                <w:rFonts w:cs="Arial"/>
                <w:lang w:eastAsia="en-NZ"/>
              </w:rPr>
              <w:t>The Arvida values actively encourage an attitude to care which include fairness, acting with integrity and authenticity, innovation, a can-do attitude, being nimble and flexible and passionate. These values align closely with Te Tiriti o Waitangi principles, equity, and help to challenge discrimination.</w:t>
            </w:r>
          </w:p>
          <w:p w14:paraId="0097D9C0"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Staff complete education during orientation and annually as per the training plan on how to identify abuse and neglect. Staff are educated on how to value residents, showing them respect and dignity. All residents and family/whānau interviewed confirmed that staff are very caring, supportive, and respectful. </w:t>
            </w:r>
          </w:p>
          <w:p w14:paraId="5C894994"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w:t>
            </w:r>
            <w:r w:rsidRPr="00BE00C7">
              <w:rPr>
                <w:rFonts w:cs="Arial"/>
                <w:lang w:eastAsia="en-NZ"/>
              </w:rPr>
              <w:lastRenderedPageBreak/>
              <w:t xml:space="preserve">such as sundry expenses. Professional boundaries are defined in job descriptions. All staff members interviewed confirmed their understanding of professional boundaries, including the boundaries of their role and responsibilities. Professional boundaries are covered as part of orientation. The Attitude of Living Well model of care with the five pillars of wellness is based around promoting residents’ strengths and encouraging autonomy and independence for all residents. </w:t>
            </w:r>
          </w:p>
          <w:p w14:paraId="19D8A0C4" w14:textId="77777777" w:rsidR="00111B69" w:rsidRPr="00BE00C7" w:rsidRDefault="00111B69" w:rsidP="00BE00C7">
            <w:pPr>
              <w:pStyle w:val="OutcomeDescription"/>
              <w:spacing w:before="120" w:after="120"/>
              <w:rPr>
                <w:rFonts w:cs="Arial"/>
                <w:lang w:eastAsia="en-NZ"/>
              </w:rPr>
            </w:pPr>
          </w:p>
        </w:tc>
      </w:tr>
      <w:tr w:rsidR="00A35885" w14:paraId="31B6554E" w14:textId="77777777">
        <w:tc>
          <w:tcPr>
            <w:tcW w:w="0" w:type="auto"/>
          </w:tcPr>
          <w:p w14:paraId="51037260"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0C47A272" w14:textId="77777777" w:rsidR="00111B69" w:rsidRPr="00BE00C7" w:rsidRDefault="00111B69"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32FB386" w14:textId="77777777" w:rsidR="00111B69" w:rsidRPr="00BE00C7" w:rsidRDefault="00111B69" w:rsidP="00BE00C7">
            <w:pPr>
              <w:pStyle w:val="OutcomeDescription"/>
              <w:spacing w:before="120" w:after="120"/>
              <w:rPr>
                <w:rFonts w:cs="Arial"/>
                <w:lang w:eastAsia="en-NZ"/>
              </w:rPr>
            </w:pPr>
          </w:p>
        </w:tc>
        <w:tc>
          <w:tcPr>
            <w:tcW w:w="0" w:type="auto"/>
          </w:tcPr>
          <w:p w14:paraId="4806F9CA"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4EA9999E"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Bi-monthly resident meetings identify feedback from residents and consequent follow up by the service. </w:t>
            </w:r>
          </w:p>
          <w:p w14:paraId="5B771711" w14:textId="77777777" w:rsidR="00111B69" w:rsidRPr="00BE00C7" w:rsidRDefault="00111B69"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alert staff to their responsibility to notify family/whānau of any accident/incident that occurs. Electronic accident/incident forms have a section to indicate if family/whānau have been informed (or not) of an accident/incident. This is also documented in the resident’s progress notes. The accident/incident forms reviewed identified family/whānau are kept informed. Family/whānau interviewed stated that they are kept inf</w:t>
            </w:r>
            <w:r w:rsidRPr="00BE00C7">
              <w:rPr>
                <w:rFonts w:cs="Arial"/>
                <w:lang w:eastAsia="en-NZ"/>
              </w:rPr>
              <w:t xml:space="preserve">ormed when their family member’s health status changes or if there has been an adverse event. </w:t>
            </w:r>
          </w:p>
          <w:p w14:paraId="02BCCAC2" w14:textId="77777777" w:rsidR="00111B69" w:rsidRPr="00BE00C7" w:rsidRDefault="00111B69" w:rsidP="00BE00C7">
            <w:pPr>
              <w:pStyle w:val="OutcomeDescription"/>
              <w:spacing w:before="120" w:after="120"/>
              <w:rPr>
                <w:rFonts w:cs="Arial"/>
                <w:lang w:eastAsia="en-NZ"/>
              </w:rPr>
            </w:pPr>
            <w:r w:rsidRPr="00BE00C7">
              <w:rPr>
                <w:rFonts w:cs="Arial"/>
                <w:lang w:eastAsia="en-NZ"/>
              </w:rPr>
              <w:t>An interpreter policy and contact details of interpreters are available. Interpreter services are used where indicated. At the time of the audit, there were no residents who did not speak English; however, Copper Crest Living Well has appropriate communication strategies in place for staff members should any resident require support.</w:t>
            </w:r>
          </w:p>
          <w:p w14:paraId="1FBB3751"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The residents and </w:t>
            </w:r>
            <w:r w:rsidRPr="00BE00C7">
              <w:rPr>
                <w:rFonts w:cs="Arial"/>
                <w:lang w:eastAsia="en-NZ"/>
              </w:rPr>
              <w:t>family/whānau are informed prior to entry of the scope of services and any items that are not covered by the agreement.</w:t>
            </w:r>
          </w:p>
          <w:p w14:paraId="6C45D2CD"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hospice, and specialist services. The delivery of care includes a multidisciplinary team and residents and family/whānau provide consent and are communicated with in regard </w:t>
            </w:r>
            <w:r w:rsidRPr="00BE00C7">
              <w:rPr>
                <w:rFonts w:cs="Arial"/>
                <w:lang w:eastAsia="en-NZ"/>
              </w:rPr>
              <w:lastRenderedPageBreak/>
              <w:t>to services involved. Clinical review meetings are held weekly. The management team described an implemented process around providing residents with time for discussion around care, time to consider decisions, and opportunity for further discussion, if required. Families/whanau are invited to attend</w:t>
            </w:r>
          </w:p>
          <w:p w14:paraId="4DB4F20A" w14:textId="77777777" w:rsidR="00111B69" w:rsidRPr="00BE00C7" w:rsidRDefault="00111B69" w:rsidP="00BE00C7">
            <w:pPr>
              <w:pStyle w:val="OutcomeDescription"/>
              <w:spacing w:before="120" w:after="120"/>
              <w:rPr>
                <w:rFonts w:cs="Arial"/>
                <w:lang w:eastAsia="en-NZ"/>
              </w:rPr>
            </w:pPr>
          </w:p>
        </w:tc>
      </w:tr>
      <w:tr w:rsidR="00A35885" w14:paraId="430591ED" w14:textId="77777777">
        <w:tc>
          <w:tcPr>
            <w:tcW w:w="0" w:type="auto"/>
          </w:tcPr>
          <w:p w14:paraId="3AF36BDA"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77D4DDB" w14:textId="77777777" w:rsidR="00111B69" w:rsidRPr="00BE00C7" w:rsidRDefault="00111B69"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D20A53A" w14:textId="77777777" w:rsidR="00111B69" w:rsidRPr="00BE00C7" w:rsidRDefault="00111B69" w:rsidP="00BE00C7">
            <w:pPr>
              <w:pStyle w:val="OutcomeDescription"/>
              <w:spacing w:before="120" w:after="120"/>
              <w:rPr>
                <w:rFonts w:cs="Arial"/>
                <w:lang w:eastAsia="en-NZ"/>
              </w:rPr>
            </w:pPr>
          </w:p>
        </w:tc>
        <w:tc>
          <w:tcPr>
            <w:tcW w:w="0" w:type="auto"/>
          </w:tcPr>
          <w:p w14:paraId="386F4D4E"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20F57BC2" w14:textId="77777777" w:rsidR="00111B69" w:rsidRPr="00BE00C7" w:rsidRDefault="00111B69" w:rsidP="00BE00C7">
            <w:pPr>
              <w:pStyle w:val="OutcomeDescription"/>
              <w:spacing w:before="120" w:after="120"/>
              <w:rPr>
                <w:rFonts w:cs="Arial"/>
                <w:lang w:eastAsia="en-NZ"/>
              </w:rPr>
            </w:pPr>
            <w:r w:rsidRPr="00BE00C7">
              <w:rPr>
                <w:rFonts w:cs="Arial"/>
                <w:lang w:eastAsia="en-NZ"/>
              </w:rPr>
              <w:t>There are policies around informed consent. Informed consent processes were discussed with residents and family/whānau on admission. The electronic resident files were reviewed and written general consents sighted for outings, photographs, release of medical information, medication management and medical cares were included and signed as part of the admission process. Specific consent had been signed by the resident or activated enduring power of attorneys (EPOA) for procedures such as vaccines. Discussions</w:t>
            </w:r>
            <w:r w:rsidRPr="00BE00C7">
              <w:rPr>
                <w:rFonts w:cs="Arial"/>
                <w:lang w:eastAsia="en-NZ"/>
              </w:rPr>
              <w:t xml:space="preserve"> with all staff interviewed confirmed that they are familiar with the requirements to obtain informed consent for entering rooms and personal care. </w:t>
            </w:r>
          </w:p>
          <w:p w14:paraId="049993D4"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enduring power of attorney (EPOA). The service welcomes the involvement of family/whānau in decision making where the person receiving services wants them to be involved. Enduring power of attorney documentation is filed in the residents’ electronic charts and activated as applicable for residents assessed as incompetent to make an informed decision. </w:t>
            </w:r>
          </w:p>
          <w:p w14:paraId="12C8D109" w14:textId="77777777" w:rsidR="00111B69" w:rsidRPr="00BE00C7" w:rsidRDefault="00111B69" w:rsidP="00BE00C7">
            <w:pPr>
              <w:pStyle w:val="OutcomeDescription"/>
              <w:spacing w:before="120" w:after="120"/>
              <w:rPr>
                <w:rFonts w:cs="Arial"/>
                <w:lang w:eastAsia="en-NZ"/>
              </w:rPr>
            </w:pPr>
            <w:r w:rsidRPr="00BE00C7">
              <w:rPr>
                <w:rFonts w:cs="Arial"/>
                <w:lang w:eastAsia="en-NZ"/>
              </w:rPr>
              <w:t>An advance directive policy is in place. Advance directives for health care including resuscitation status had been completed by residents deemed to be competent. Where residents were deemed incompetent to make a resuscitation decision, the GP had made a medically indicated resuscitation decision. There was documented evidence of discussion with the EPOA. Discussion with family /whānau identified that the service actively involves them in decisions that affect their relative’s lives. Discussions with clinic</w:t>
            </w:r>
            <w:r w:rsidRPr="00BE00C7">
              <w:rPr>
                <w:rFonts w:cs="Arial"/>
                <w:lang w:eastAsia="en-NZ"/>
              </w:rPr>
              <w:t xml:space="preserve">al staff confirmed their understanding of the importance of obtaining informed consent for providing personal care and accessing residents’ rooms. Training around the Code of Rights, informed consent and EPOAs is a mandatory topic delivered and completed as per schedule via the </w:t>
            </w:r>
            <w:r w:rsidRPr="00BE00C7">
              <w:rPr>
                <w:rFonts w:cs="Arial"/>
                <w:lang w:eastAsia="en-NZ"/>
              </w:rPr>
              <w:lastRenderedPageBreak/>
              <w:t xml:space="preserve">electronic learning system (Altura). </w:t>
            </w:r>
          </w:p>
          <w:p w14:paraId="3D07EF68" w14:textId="77777777" w:rsidR="00111B69" w:rsidRPr="00BE00C7" w:rsidRDefault="00111B69" w:rsidP="00BE00C7">
            <w:pPr>
              <w:pStyle w:val="OutcomeDescription"/>
              <w:spacing w:before="120" w:after="120"/>
              <w:rPr>
                <w:rFonts w:cs="Arial"/>
                <w:lang w:eastAsia="en-NZ"/>
              </w:rPr>
            </w:pPr>
            <w:r w:rsidRPr="00BE00C7">
              <w:rPr>
                <w:rFonts w:cs="Arial"/>
                <w:lang w:eastAsia="en-NZ"/>
              </w:rPr>
              <w:t>The service follows relevant best practice tikanga guidelines. Staff interviewed and documentation reviewed evidence staff consider the residents’ cultural identity and acknowledge the importance of family/whānau input during decision making processes and planning care.</w:t>
            </w:r>
          </w:p>
          <w:p w14:paraId="747837E7" w14:textId="77777777" w:rsidR="00111B69" w:rsidRPr="00BE00C7" w:rsidRDefault="00111B69" w:rsidP="00BE00C7">
            <w:pPr>
              <w:pStyle w:val="OutcomeDescription"/>
              <w:spacing w:before="120" w:after="120"/>
              <w:rPr>
                <w:rFonts w:cs="Arial"/>
                <w:lang w:eastAsia="en-NZ"/>
              </w:rPr>
            </w:pPr>
          </w:p>
        </w:tc>
      </w:tr>
      <w:tr w:rsidR="00A35885" w14:paraId="2E49F183" w14:textId="77777777">
        <w:tc>
          <w:tcPr>
            <w:tcW w:w="0" w:type="auto"/>
          </w:tcPr>
          <w:p w14:paraId="47BC186C"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601D395" w14:textId="77777777" w:rsidR="00111B69" w:rsidRPr="00BE00C7" w:rsidRDefault="00111B69"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F1EC7A1" w14:textId="77777777" w:rsidR="00111B69" w:rsidRPr="00BE00C7" w:rsidRDefault="00111B69" w:rsidP="00BE00C7">
            <w:pPr>
              <w:pStyle w:val="OutcomeDescription"/>
              <w:spacing w:before="120" w:after="120"/>
              <w:rPr>
                <w:rFonts w:cs="Arial"/>
                <w:lang w:eastAsia="en-NZ"/>
              </w:rPr>
            </w:pPr>
          </w:p>
        </w:tc>
        <w:tc>
          <w:tcPr>
            <w:tcW w:w="0" w:type="auto"/>
          </w:tcPr>
          <w:p w14:paraId="3ADD56C9"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58573B0E"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clinical manager maintains a record of all complaints, both verbal and written, using a complaint register. This register is stored electronically, and in hard copy. </w:t>
            </w:r>
          </w:p>
          <w:p w14:paraId="2581605A" w14:textId="77777777" w:rsidR="00111B69" w:rsidRPr="00BE00C7" w:rsidRDefault="00111B69" w:rsidP="00BE00C7">
            <w:pPr>
              <w:pStyle w:val="OutcomeDescription"/>
              <w:spacing w:before="120" w:after="120"/>
              <w:rPr>
                <w:rFonts w:cs="Arial"/>
                <w:lang w:eastAsia="en-NZ"/>
              </w:rPr>
            </w:pPr>
            <w:r w:rsidRPr="00BE00C7">
              <w:rPr>
                <w:rFonts w:cs="Arial"/>
                <w:lang w:eastAsia="en-NZ"/>
              </w:rPr>
              <w:t>There have been two complaints made in 2023, and five in 2024 following the surveillance audit in June 2023. All were of a minor nature and have been resolved. There have been no complaints from external parties including the Health and Disability Commissioner (HDC). Documentation including follow-up letters and resolution demonstrates that complaints are being managed in accordance with guidelines set by the Health and Disability Commissioner (HDC). Staff are informed of complaints (and any subsequent corr</w:t>
            </w:r>
            <w:r w:rsidRPr="00BE00C7">
              <w:rPr>
                <w:rFonts w:cs="Arial"/>
                <w:lang w:eastAsia="en-NZ"/>
              </w:rPr>
              <w:t xml:space="preserve">ective actions) in the quality and staff meetings (meeting minutes sighted). </w:t>
            </w:r>
          </w:p>
          <w:p w14:paraId="6F5A357C"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were provided with information on complaints and complaints forms are available at the entrance to the facility. Residents have a variety of avenues they can choose from to make a complaint or express a concern. Resident meetings are held bi-monthly, chaired by the wellness leaders. The village manager, and/or clinical manager are present during a portion of the meeting. Family/whānau confirmed during interview the management team are available to </w:t>
            </w:r>
            <w:r w:rsidRPr="00BE00C7">
              <w:rPr>
                <w:rFonts w:cs="Arial"/>
                <w:lang w:eastAsia="en-NZ"/>
              </w:rPr>
              <w:t xml:space="preserve">listen to concerns and acts promptly on issues raised. </w:t>
            </w:r>
          </w:p>
          <w:p w14:paraId="72C2B940"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Residents and family/whānau making a complaint can involve an independent support person in the process if they choose. Information about the support resources for Māori is available to staff to assist Māori in the complaints process. Interpreter contact details are available. </w:t>
            </w:r>
          </w:p>
          <w:p w14:paraId="3349B8F9" w14:textId="77777777" w:rsidR="00111B69" w:rsidRPr="00BE00C7" w:rsidRDefault="00111B69" w:rsidP="00BE00C7">
            <w:pPr>
              <w:pStyle w:val="OutcomeDescription"/>
              <w:spacing w:before="120" w:after="120"/>
              <w:rPr>
                <w:rFonts w:cs="Arial"/>
                <w:lang w:eastAsia="en-NZ"/>
              </w:rPr>
            </w:pPr>
          </w:p>
        </w:tc>
      </w:tr>
      <w:tr w:rsidR="00A35885" w14:paraId="141968EC" w14:textId="77777777">
        <w:tc>
          <w:tcPr>
            <w:tcW w:w="0" w:type="auto"/>
          </w:tcPr>
          <w:p w14:paraId="65C30C40"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Subsection 2.1: Governance</w:t>
            </w:r>
          </w:p>
          <w:p w14:paraId="06B9CF0A" w14:textId="77777777" w:rsidR="00111B69" w:rsidRPr="00BE00C7" w:rsidRDefault="00111B69"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14879AB" w14:textId="77777777" w:rsidR="00111B69" w:rsidRPr="00BE00C7" w:rsidRDefault="00111B69" w:rsidP="00BE00C7">
            <w:pPr>
              <w:pStyle w:val="OutcomeDescription"/>
              <w:spacing w:before="120" w:after="120"/>
              <w:rPr>
                <w:rFonts w:cs="Arial"/>
                <w:lang w:eastAsia="en-NZ"/>
              </w:rPr>
            </w:pPr>
          </w:p>
        </w:tc>
        <w:tc>
          <w:tcPr>
            <w:tcW w:w="0" w:type="auto"/>
          </w:tcPr>
          <w:p w14:paraId="74705016"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13BD5A53" w14:textId="77777777" w:rsidR="00111B69" w:rsidRPr="00BE00C7" w:rsidRDefault="00111B69" w:rsidP="00BE00C7">
            <w:pPr>
              <w:pStyle w:val="OutcomeDescription"/>
              <w:spacing w:before="120" w:after="120"/>
              <w:rPr>
                <w:rFonts w:cs="Arial"/>
                <w:lang w:eastAsia="en-NZ"/>
              </w:rPr>
            </w:pPr>
            <w:r w:rsidRPr="00BE00C7">
              <w:rPr>
                <w:rFonts w:cs="Arial"/>
                <w:lang w:eastAsia="en-NZ"/>
              </w:rPr>
              <w:t>Copper Crest Living Well is part of the Arvida Group. The service is certified to provide rest home, hospital (medical and geriatric), and dementia level care for up to 55 residents. There is a 11-bed secure dementia unit, and 44 dual purpose beds in care suites. On the day of the audit there were 52 residents: 21 rest home residents, 20 hospital level residents (including one funded by ACC), and 11 residents at dementia level of care. All residents other than the ACC funded resident were under the age-rela</w:t>
            </w:r>
            <w:r w:rsidRPr="00BE00C7">
              <w:rPr>
                <w:rFonts w:cs="Arial"/>
                <w:lang w:eastAsia="en-NZ"/>
              </w:rPr>
              <w:t xml:space="preserve">ted residential care contract (ARRC). </w:t>
            </w:r>
          </w:p>
          <w:p w14:paraId="623EDF38" w14:textId="77777777" w:rsidR="00111B69" w:rsidRPr="00BE00C7" w:rsidRDefault="00111B69" w:rsidP="00BE00C7">
            <w:pPr>
              <w:pStyle w:val="OutcomeDescription"/>
              <w:spacing w:before="120" w:after="120"/>
              <w:rPr>
                <w:rFonts w:cs="Arial"/>
                <w:lang w:eastAsia="en-NZ"/>
              </w:rPr>
            </w:pPr>
            <w:r w:rsidRPr="00BE00C7">
              <w:rPr>
                <w:rFonts w:cs="Arial"/>
                <w:lang w:eastAsia="en-NZ"/>
              </w:rPr>
              <w:t>Arvida group has a well-established organisational structure. There is an overall Arvida Group Living Well Community Business Plan for each Village which links to the Arvida vision, mission, values, and strategic direction. The overall goal is to engage the resident as a partner in care – this puts the resident at the centre of care, directing care where they are able and being supported by and with whanau as much as practicable. This is reviewed each year and villages are encouraged to develop their own vi</w:t>
            </w:r>
            <w:r w:rsidRPr="00BE00C7">
              <w:rPr>
                <w:rFonts w:cs="Arial"/>
                <w:lang w:eastAsia="en-NZ"/>
              </w:rPr>
              <w:t>llage specific goals in response to their village community voice. Each village manager is responsible to ensure the goals are achieved and record progress towards the achievement of these goals.</w:t>
            </w:r>
          </w:p>
          <w:p w14:paraId="2106429C" w14:textId="77777777" w:rsidR="00111B69" w:rsidRPr="00BE00C7" w:rsidRDefault="00111B69" w:rsidP="00BE00C7">
            <w:pPr>
              <w:pStyle w:val="OutcomeDescription"/>
              <w:spacing w:before="120" w:after="120"/>
              <w:rPr>
                <w:rFonts w:cs="Arial"/>
                <w:lang w:eastAsia="en-NZ"/>
              </w:rPr>
            </w:pPr>
            <w:r w:rsidRPr="00BE00C7">
              <w:rPr>
                <w:rFonts w:cs="Arial"/>
                <w:lang w:eastAsia="en-NZ"/>
              </w:rPr>
              <w:t>Arvida’s group board of directors are experienced and provide strategic guidance and effective oversight of the executive team. Term of reference for roles and responsibilities are documented in the Business Charter. The Arvida executive team oversees the implementation of the business strategy and the day-to-day management of the Arvida Group Business. The Arvida Group comprises of eight experienced executives. The chief executive officer (CEO), chief financial officer (CFO) and chief operational officer (</w:t>
            </w:r>
            <w:r w:rsidRPr="00BE00C7">
              <w:rPr>
                <w:rFonts w:cs="Arial"/>
                <w:lang w:eastAsia="en-NZ"/>
              </w:rPr>
              <w:t xml:space="preserve">COO) have all been inducted in their role. There are various groups in the support office who provide oversight and support to village managers, including the wellness and care team, operations Team, finance team, village services team, and regional managers. </w:t>
            </w:r>
          </w:p>
          <w:p w14:paraId="0836174B"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Village managers have overall responsibility, authority, and accountability for service provision at the village, with support from three regional managers providing mentoring and reporting through to the senior leadership, executive team, and the Board. Arvida Group </w:t>
            </w:r>
            <w:r w:rsidRPr="00BE00C7">
              <w:rPr>
                <w:rFonts w:cs="Arial"/>
                <w:lang w:eastAsia="en-NZ"/>
              </w:rPr>
              <w:lastRenderedPageBreak/>
              <w:t>ensure the necessary resources, systems and processes are in place that support effective governance. The Board receives progress updates on various topics including benchmarking, escalated complaints, human resource matters and occupancy. Residents and family/ whānau feedback are used to plan, implement, monitor, and evaluate the service delivery at Copper Crest Living Well</w:t>
            </w:r>
          </w:p>
          <w:p w14:paraId="1E2849B3" w14:textId="77777777" w:rsidR="00111B69" w:rsidRPr="00BE00C7" w:rsidRDefault="00111B69" w:rsidP="00BE00C7">
            <w:pPr>
              <w:pStyle w:val="OutcomeDescription"/>
              <w:spacing w:before="120" w:after="120"/>
              <w:rPr>
                <w:rFonts w:cs="Arial"/>
                <w:lang w:eastAsia="en-NZ"/>
              </w:rPr>
            </w:pPr>
            <w:r w:rsidRPr="00BE00C7">
              <w:rPr>
                <w:rFonts w:cs="Arial"/>
                <w:lang w:eastAsia="en-NZ"/>
              </w:rPr>
              <w:t>The Executive team have completed cultural training to ensure they are able to demonstrate expertise in Te Tiriti, health equity and cultural safety. There is a clinical governance group that is responsible for the Arvida Group’s overall clinical governance. Arvida has a contracted Māori consultant who has been integral in development of the Māori Health plan, updating policies to ensure these are culturally relevant and education with staff at all levels, to ensure an increased awareness in cultural safety</w:t>
            </w:r>
            <w:r w:rsidRPr="00BE00C7">
              <w:rPr>
                <w:rFonts w:cs="Arial"/>
                <w:lang w:eastAsia="en-NZ"/>
              </w:rPr>
              <w:t>.</w:t>
            </w:r>
          </w:p>
          <w:p w14:paraId="0AA02D60"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clinical governance group consists of the head of clinical governance (chair), GM wellness and care (responsible for strategic direction), head of clinical quality, clinical manager representative, expert resident, and wellness leader/manager representative. Clinical governance ensures a co-ordinated approach to defining and engaging with quality and ensuring the standards are met. Reports from the Clinical Governance Group are incorporated into regular reports to the chief executive officer (CEO). </w:t>
            </w:r>
          </w:p>
          <w:p w14:paraId="3DF96B15"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overarching strategic plan has clear business goals to support their philosophy of ‘to create a great place to work where our people can thrive’. The strategic plan reflects a leadership commitment to collaborate with Māori, aligns with the Ministry of Health strategies and addresses barriers to equitable service delivery. The overall strategic goal is to deliver a high-quality service, which is responsive, inclusive, and sensitive to the cultural diversity of the communities that they serve. Strategic </w:t>
            </w:r>
            <w:r w:rsidRPr="00BE00C7">
              <w:rPr>
                <w:rFonts w:cs="Arial"/>
                <w:lang w:eastAsia="en-NZ"/>
              </w:rPr>
              <w:t>direction and goals are regularly reviewed. The working practices at Copper Crest Living Well are holistic in nature, inclusive of cultural identity, spirituality and respect the connection to family/whānau and the wider community as an intrinsic aspect of wellbeing. There is a Health Equity Group and a Māori Advisory Group, both of which have confirmed terms of references available and support any cultural issues arising from the villages and consult on matters where policy or practice change may be requir</w:t>
            </w:r>
            <w:r w:rsidRPr="00BE00C7">
              <w:rPr>
                <w:rFonts w:cs="Arial"/>
                <w:lang w:eastAsia="en-NZ"/>
              </w:rPr>
              <w:t>ed.</w:t>
            </w:r>
          </w:p>
          <w:p w14:paraId="248DC8BE"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 xml:space="preserve">The Arvida Living Well Community FY2025 business plan is specific to Copper Crest Living Well and describes specific and measurable goals that are regularly reviewed and updated. Site specific goals relate to team engagement, resident satisfaction, and financial performance. Quality improvements are documented around environmental improvements, communication pathways, and delivering a food experience. The business plan describes annual goals and objectives that support outcomes to achieve equity for Māori, </w:t>
            </w:r>
            <w:r w:rsidRPr="00BE00C7">
              <w:rPr>
                <w:rFonts w:cs="Arial"/>
                <w:lang w:eastAsia="en-NZ"/>
              </w:rPr>
              <w:t xml:space="preserve">addressing barriers for Māori and improved health outcomes for Māori and tāngata whaikaha. Cultural safety is embedded within the documented quality programme and staff training. </w:t>
            </w:r>
          </w:p>
          <w:p w14:paraId="6E5AD8C5" w14:textId="77777777" w:rsidR="00111B69" w:rsidRPr="00BE00C7" w:rsidRDefault="00111B69" w:rsidP="00BE00C7">
            <w:pPr>
              <w:pStyle w:val="OutcomeDescription"/>
              <w:spacing w:before="120" w:after="120"/>
              <w:rPr>
                <w:rFonts w:cs="Arial"/>
                <w:lang w:eastAsia="en-NZ"/>
              </w:rPr>
            </w:pPr>
            <w:r w:rsidRPr="00BE00C7">
              <w:rPr>
                <w:rFonts w:cs="Arial"/>
                <w:lang w:eastAsia="en-NZ"/>
              </w:rPr>
              <w:t>Through implementation of the Attitude of Living Well framework, and quality management framework, the goal is to ensure a resident led culture, where the resident engages in all aspects of their life and staff are respectful of the resident’s preferences, expectations, and choices, recognising that the resident and family/whānau must be at the heart of all decision making. Every staff member is expected to be active in implementing the Attitude of Living Well model and to participate in the quality program</w:t>
            </w:r>
            <w:r w:rsidRPr="00BE00C7">
              <w:rPr>
                <w:rFonts w:cs="Arial"/>
                <w:lang w:eastAsia="en-NZ"/>
              </w:rPr>
              <w:t>me to support a resident centric environment.</w:t>
            </w:r>
          </w:p>
          <w:p w14:paraId="2E3ADCCD"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clinical manager (registered nurse) is covering on a short-term variation for the regular clinical manager who is on parental leave. They have been in the role since July 2024 and was the clinical coordinator for two years prior. </w:t>
            </w:r>
          </w:p>
          <w:p w14:paraId="23357938" w14:textId="77777777" w:rsidR="00111B69" w:rsidRPr="00BE00C7" w:rsidRDefault="00111B69" w:rsidP="00BE00C7">
            <w:pPr>
              <w:pStyle w:val="OutcomeDescription"/>
              <w:spacing w:before="120" w:after="120"/>
              <w:rPr>
                <w:rFonts w:cs="Arial"/>
                <w:lang w:eastAsia="en-NZ"/>
              </w:rPr>
            </w:pPr>
            <w:r w:rsidRPr="00BE00C7">
              <w:rPr>
                <w:rFonts w:cs="Arial"/>
                <w:lang w:eastAsia="en-NZ"/>
              </w:rPr>
              <w:t>The village manager (registered nurse) oversees the implementation of the quality plan. The clinical manager role is responsible for regular reporting to the village manager that includes infection control and analysis of adverse events and summaries of clinical risk. The village manager and clinical manager are supported by a clinical coordinator, and an experienced care team.</w:t>
            </w:r>
          </w:p>
          <w:p w14:paraId="55781D87"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head of clinical quality was actively present on site and involved in the management of Copper Crest Living Well to ensure the service delivery and clinical effectiveness at Copper Crest Living Well improve to maintain a high standard as expected from the Arvida Group. </w:t>
            </w:r>
          </w:p>
          <w:p w14:paraId="7C11A91E"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village manager and clinical manager have completed </w:t>
            </w:r>
            <w:r w:rsidRPr="00BE00C7">
              <w:rPr>
                <w:rFonts w:cs="Arial"/>
                <w:lang w:eastAsia="en-NZ"/>
              </w:rPr>
              <w:lastRenderedPageBreak/>
              <w:t>professional development activities in excess of eight hours annually, related to managing an aged care facility.</w:t>
            </w:r>
          </w:p>
          <w:p w14:paraId="4C91E560" w14:textId="77777777" w:rsidR="00111B69" w:rsidRPr="00BE00C7" w:rsidRDefault="00111B69" w:rsidP="00BE00C7">
            <w:pPr>
              <w:pStyle w:val="OutcomeDescription"/>
              <w:spacing w:before="120" w:after="120"/>
              <w:rPr>
                <w:rFonts w:cs="Arial"/>
                <w:lang w:eastAsia="en-NZ"/>
              </w:rPr>
            </w:pPr>
          </w:p>
        </w:tc>
      </w:tr>
      <w:tr w:rsidR="00A35885" w14:paraId="116853C6" w14:textId="77777777">
        <w:tc>
          <w:tcPr>
            <w:tcW w:w="0" w:type="auto"/>
          </w:tcPr>
          <w:p w14:paraId="2DDADF6E"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0BA538E" w14:textId="77777777" w:rsidR="00111B69" w:rsidRPr="00BE00C7" w:rsidRDefault="00111B69"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7244B32" w14:textId="77777777" w:rsidR="00111B69" w:rsidRPr="00BE00C7" w:rsidRDefault="00111B69" w:rsidP="00BE00C7">
            <w:pPr>
              <w:pStyle w:val="OutcomeDescription"/>
              <w:spacing w:before="120" w:after="120"/>
              <w:rPr>
                <w:rFonts w:cs="Arial"/>
                <w:lang w:eastAsia="en-NZ"/>
              </w:rPr>
            </w:pPr>
          </w:p>
        </w:tc>
        <w:tc>
          <w:tcPr>
            <w:tcW w:w="0" w:type="auto"/>
          </w:tcPr>
          <w:p w14:paraId="5665AA7C"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154A316A" w14:textId="77777777" w:rsidR="00111B69" w:rsidRPr="00BE00C7" w:rsidRDefault="00111B69" w:rsidP="00BE00C7">
            <w:pPr>
              <w:pStyle w:val="OutcomeDescription"/>
              <w:spacing w:before="120" w:after="120"/>
              <w:rPr>
                <w:rFonts w:cs="Arial"/>
                <w:lang w:eastAsia="en-NZ"/>
              </w:rPr>
            </w:pPr>
            <w:r w:rsidRPr="00BE00C7">
              <w:rPr>
                <w:rFonts w:cs="Arial"/>
                <w:lang w:eastAsia="en-NZ"/>
              </w:rPr>
              <w:t>Copper Crest Living Well has effective quality and risk management programmes in place and links to the business plan. Quality monitoring systems include performance monitoring through internal audits and through the collection of clinical indicator data and health and safety data using electronic systems. Policies and procedures and associated implementation systems provide a good level of assurance that the facility is meeting accepted good practice and adhering to relevant standards. A document control s</w:t>
            </w:r>
            <w:r w:rsidRPr="00BE00C7">
              <w:rPr>
                <w:rFonts w:cs="Arial"/>
                <w:lang w:eastAsia="en-NZ"/>
              </w:rPr>
              <w:t>ystem is in place. New policies or changes to policy are communicated to staff.</w:t>
            </w:r>
          </w:p>
          <w:p w14:paraId="5A56653B"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Regular quality (improvement) meetings, clinical, and staff meetings provide an avenue for discussions in relation to (but not limited to): quality data; health and safety; infection control/pandemic strategies; complaints received (if any); cultural compliance; staffing; and education. Internal audits and collation of data were documented as taking place with corrective actions documented where indicated to address service improvements with evidence of progress and sign off when achieved. Quality data and </w:t>
            </w:r>
            <w:r w:rsidRPr="00BE00C7">
              <w:rPr>
                <w:rFonts w:cs="Arial"/>
                <w:lang w:eastAsia="en-NZ"/>
              </w:rPr>
              <w:t xml:space="preserve">trends in data are posted on the staff noticeboard. Corrective actions are discussed at quality meetings to ensure any outstanding matters are addressed with sign-off when completed. </w:t>
            </w:r>
          </w:p>
          <w:p w14:paraId="3F766B57"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Results from the resident and family/whānau satisfaction surveys (sighted) were positive. Results were communicated to staff, residents and family /whānau evidenced in meeting minutes. The results evidence residents are satisfied with the care they receive. </w:t>
            </w:r>
          </w:p>
          <w:p w14:paraId="3D00B974" w14:textId="77777777" w:rsidR="00111B69" w:rsidRPr="00BE00C7" w:rsidRDefault="00111B69" w:rsidP="00BE00C7">
            <w:pPr>
              <w:pStyle w:val="OutcomeDescription"/>
              <w:spacing w:before="120" w:after="120"/>
              <w:rPr>
                <w:rFonts w:cs="Arial"/>
                <w:lang w:eastAsia="en-NZ"/>
              </w:rPr>
            </w:pPr>
            <w:r w:rsidRPr="00BE00C7">
              <w:rPr>
                <w:rFonts w:cs="Arial"/>
                <w:lang w:eastAsia="en-NZ"/>
              </w:rPr>
              <w:t>The Arvida health and safety programme is ACC accredited through Wellness NZ. All staff are made aware of how to report an accident/incident as part of their induction online learning modules. There is a dedicated health and safety electronic system, and all staff are provided with a login into the electronic system during their orientation. The village manager attends the monthly health and safety national group meeting and feeds back data, trends and learning to the other health and safety representatives</w:t>
            </w:r>
            <w:r w:rsidRPr="00BE00C7">
              <w:rPr>
                <w:rFonts w:cs="Arial"/>
                <w:lang w:eastAsia="en-NZ"/>
              </w:rPr>
              <w:t xml:space="preserve">. The health </w:t>
            </w:r>
            <w:r w:rsidRPr="00BE00C7">
              <w:rPr>
                <w:rFonts w:cs="Arial"/>
                <w:lang w:eastAsia="en-NZ"/>
              </w:rPr>
              <w:lastRenderedPageBreak/>
              <w:t xml:space="preserve">and safety committee is representative of all departments in the facility. Hazard identification forms and an up-to-date hazard register were sighted. Staff and external contractors are orientated to the health and safety programme. Health and safety is discussed in staff and quality meetings. </w:t>
            </w:r>
          </w:p>
          <w:p w14:paraId="5FD7709A"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Electronic reports are completed for each incident/accident, with immediate action noted and any follow-up action(s) required, evidenced in the electronic accident/incident forms reviewed. Incident and accident data is collated monthly and analysed using the electronic resident management system and performance dashboard. </w:t>
            </w:r>
          </w:p>
          <w:p w14:paraId="6707BF80"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Discussions with the management team evidenced awareness of their requirement to notify relevant authorities in relation to essential notifications, including new SAC reporting requirements. There have been three notifications to HealthCERT under section 31(5) of the Health and Disability Services (Safety) Act 2001 There have been three SAC reports submitted. </w:t>
            </w:r>
          </w:p>
          <w:p w14:paraId="2F4A7F7F" w14:textId="77777777" w:rsidR="00111B69" w:rsidRPr="00BE00C7" w:rsidRDefault="00111B69" w:rsidP="00BE00C7">
            <w:pPr>
              <w:pStyle w:val="OutcomeDescription"/>
              <w:spacing w:before="120" w:after="120"/>
              <w:rPr>
                <w:rFonts w:cs="Arial"/>
                <w:lang w:eastAsia="en-NZ"/>
              </w:rPr>
            </w:pPr>
            <w:r w:rsidRPr="00BE00C7">
              <w:rPr>
                <w:rFonts w:cs="Arial"/>
                <w:lang w:eastAsia="en-NZ"/>
              </w:rPr>
              <w:t>Culturally inclusive care training including modules on Te Tiriti o Waitangi, normalising te reo, tikanga Māori, cultural safety and bias in healthcare and equity training is covered in the staff education and training plan to ensure a high-quality service is provided for Māori. An electronic dashboard is available where all quality data and benchmarking are visualised in real time to support critical analysis of organisational practices and identify areas for improvement. Quality goals are documented and r</w:t>
            </w:r>
            <w:r w:rsidRPr="00BE00C7">
              <w:rPr>
                <w:rFonts w:cs="Arial"/>
                <w:lang w:eastAsia="en-NZ"/>
              </w:rPr>
              <w:t xml:space="preserve">eviewed quarterly. </w:t>
            </w:r>
          </w:p>
          <w:p w14:paraId="5809F77D" w14:textId="77777777" w:rsidR="00111B69" w:rsidRPr="00BE00C7" w:rsidRDefault="00111B69" w:rsidP="00BE00C7">
            <w:pPr>
              <w:pStyle w:val="OutcomeDescription"/>
              <w:spacing w:before="120" w:after="120"/>
              <w:rPr>
                <w:rFonts w:cs="Arial"/>
                <w:lang w:eastAsia="en-NZ"/>
              </w:rPr>
            </w:pPr>
          </w:p>
        </w:tc>
      </w:tr>
      <w:tr w:rsidR="00A35885" w14:paraId="15908CFF" w14:textId="77777777">
        <w:tc>
          <w:tcPr>
            <w:tcW w:w="0" w:type="auto"/>
          </w:tcPr>
          <w:p w14:paraId="6A6292D7"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2A83FFC" w14:textId="77777777" w:rsidR="00111B69" w:rsidRPr="00BE00C7" w:rsidRDefault="00111B69"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BAB8661" w14:textId="77777777" w:rsidR="00111B69" w:rsidRPr="00BE00C7" w:rsidRDefault="00111B69" w:rsidP="00BE00C7">
            <w:pPr>
              <w:pStyle w:val="OutcomeDescription"/>
              <w:spacing w:before="120" w:after="120"/>
              <w:rPr>
                <w:rFonts w:cs="Arial"/>
                <w:lang w:eastAsia="en-NZ"/>
              </w:rPr>
            </w:pPr>
          </w:p>
        </w:tc>
        <w:tc>
          <w:tcPr>
            <w:tcW w:w="0" w:type="auto"/>
          </w:tcPr>
          <w:p w14:paraId="2E4F1D4B"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238902"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sufficient and appropriate cover for the effective delivery of care </w:t>
            </w:r>
            <w:r w:rsidRPr="00BE00C7">
              <w:rPr>
                <w:rFonts w:cs="Arial"/>
                <w:lang w:eastAsia="en-NZ"/>
              </w:rPr>
              <w:t>and support. Staffing rosters were sighted and there is staff on duty to match needs of different shifts. The management team confirmed there are sufficient staff to cover unplanned leave to provide sufficient cover. Separate cleaning staff and laundry staff are employed seven days a week. The village manager and the clinical manager work 40 hours per week from Monday to Friday. In the temporary absence of the village manager, the clinical manager will who perform the manager’s role.</w:t>
            </w:r>
          </w:p>
          <w:p w14:paraId="6A4BE57E"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 xml:space="preserve">The clinical manager, and clinical coordinator are rostered to provide on call after hours. There is at least one RN on shift at all times. Extra staff can be called on for increased resident requirements. Interviews with staff, residents and family/whānau members confirmed there are sufficient staff to meet the needs of residents. </w:t>
            </w:r>
          </w:p>
          <w:p w14:paraId="7CB015D2"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Staff and residents interviewed confirm they are informed when there are changes to staffing levels. Residents and family/whānau interviewed stated that any care requirements are attended to in a timely manner. </w:t>
            </w:r>
          </w:p>
          <w:p w14:paraId="0A420D95" w14:textId="77777777" w:rsidR="00111B69" w:rsidRPr="00BE00C7" w:rsidRDefault="00111B69" w:rsidP="00BE00C7">
            <w:pPr>
              <w:pStyle w:val="OutcomeDescription"/>
              <w:spacing w:before="120" w:after="120"/>
              <w:rPr>
                <w:rFonts w:cs="Arial"/>
                <w:lang w:eastAsia="en-NZ"/>
              </w:rPr>
            </w:pPr>
            <w:r w:rsidRPr="00BE00C7">
              <w:rPr>
                <w:rFonts w:cs="Arial"/>
                <w:lang w:eastAsia="en-NZ"/>
              </w:rPr>
              <w:t>There is an education and training schedule being implemented. Topics are offered electronically (Altura). Each topic includes a competency questionnaire. All staff are required to complete competency assessments as part of their orientation. Registered nurses’ complete competencies including (but not limited to): medication administration, controlled drug administration, syringe driver, and the interRAI assessment competency. All clinical staff are required to complete annual competencies for restraint, mo</w:t>
            </w:r>
            <w:r w:rsidRPr="00BE00C7">
              <w:rPr>
                <w:rFonts w:cs="Arial"/>
                <w:lang w:eastAsia="en-NZ"/>
              </w:rPr>
              <w:t>ving and handling, and cultural competencies. A record of completion is maintained on an electronic register. The education and training schedule lists all annual/mandatory topics for the calendar year and is specific to the role and responsibilities of the position. The education and training includes cultural training. Cultural awareness training is part of orientation and provided annually to all staff. Staff and quality meetings provide a forum to encourage collecting and sharing of high-quality Māori h</w:t>
            </w:r>
            <w:r w:rsidRPr="00BE00C7">
              <w:rPr>
                <w:rFonts w:cs="Arial"/>
                <w:lang w:eastAsia="en-NZ"/>
              </w:rPr>
              <w:t xml:space="preserve">ealth information. </w:t>
            </w:r>
          </w:p>
          <w:p w14:paraId="230FBD03" w14:textId="77777777" w:rsidR="00111B69" w:rsidRPr="00BE00C7" w:rsidRDefault="00111B69" w:rsidP="00BE00C7">
            <w:pPr>
              <w:pStyle w:val="OutcomeDescription"/>
              <w:spacing w:before="120" w:after="120"/>
              <w:rPr>
                <w:rFonts w:cs="Arial"/>
                <w:lang w:eastAsia="en-NZ"/>
              </w:rPr>
            </w:pPr>
            <w:r w:rsidRPr="00BE00C7">
              <w:rPr>
                <w:rFonts w:cs="Arial"/>
                <w:lang w:eastAsia="en-NZ"/>
              </w:rPr>
              <w:t>The service has a total of 69 staff in various roles There are 48 wellness partners employed in total. Copper Crest Living Well supports all employees to transition through the New Zealand Qualification Authority (NZQA) Careerforce certificate for health and wellbeing. Forty-three wellness partners have achieved either a level three or level four NZQA qualification.</w:t>
            </w:r>
          </w:p>
          <w:p w14:paraId="2DD2D231" w14:textId="77777777" w:rsidR="00111B69" w:rsidRPr="00BE00C7" w:rsidRDefault="00111B69" w:rsidP="00BE00C7">
            <w:pPr>
              <w:pStyle w:val="OutcomeDescription"/>
              <w:spacing w:before="120" w:after="120"/>
              <w:rPr>
                <w:rFonts w:cs="Arial"/>
                <w:lang w:eastAsia="en-NZ"/>
              </w:rPr>
            </w:pPr>
            <w:r w:rsidRPr="00BE00C7">
              <w:rPr>
                <w:rFonts w:cs="Arial"/>
                <w:lang w:eastAsia="en-NZ"/>
              </w:rPr>
              <w:t>Eight wellness partners work in the dementia unit; of whom, four have attained their dementia standards, and four are in progress.</w:t>
            </w:r>
          </w:p>
          <w:p w14:paraId="0BD65AD3" w14:textId="77777777" w:rsidR="00111B69" w:rsidRPr="00BE00C7" w:rsidRDefault="00111B69" w:rsidP="00BE00C7">
            <w:pPr>
              <w:pStyle w:val="OutcomeDescription"/>
              <w:spacing w:before="120" w:after="120"/>
              <w:rPr>
                <w:rFonts w:cs="Arial"/>
                <w:lang w:eastAsia="en-NZ"/>
              </w:rPr>
            </w:pPr>
            <w:r w:rsidRPr="00BE00C7">
              <w:rPr>
                <w:rFonts w:cs="Arial"/>
                <w:lang w:eastAsia="en-NZ"/>
              </w:rPr>
              <w:t>There are 16 RNs (including clinical manager), one on parental leave, and a clinical coordinator; four of whom have completed their interRAI training.</w:t>
            </w:r>
          </w:p>
          <w:p w14:paraId="39670CE5"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 xml:space="preserve">In the event of a staff accident or incident, a debrief process is documented on the accident/incident form. Staff wellbeing programmes include a confidential counselling service for staff to access for advice and support facilitated by Wellness New Zealand and EAP. Staff could explain workplace initiatives that support staff wellbeing and a positive workplace culture. </w:t>
            </w:r>
          </w:p>
          <w:p w14:paraId="41668887" w14:textId="77777777" w:rsidR="00111B69" w:rsidRPr="00BE00C7" w:rsidRDefault="00111B69" w:rsidP="00BE00C7">
            <w:pPr>
              <w:pStyle w:val="OutcomeDescription"/>
              <w:spacing w:before="120" w:after="120"/>
              <w:rPr>
                <w:rFonts w:cs="Arial"/>
                <w:lang w:eastAsia="en-NZ"/>
              </w:rPr>
            </w:pPr>
          </w:p>
        </w:tc>
      </w:tr>
      <w:tr w:rsidR="00A35885" w14:paraId="1B5A891E" w14:textId="77777777">
        <w:tc>
          <w:tcPr>
            <w:tcW w:w="0" w:type="auto"/>
          </w:tcPr>
          <w:p w14:paraId="657DBFF7"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43A62D0" w14:textId="77777777" w:rsidR="00111B69" w:rsidRPr="00BE00C7" w:rsidRDefault="00111B69"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EED979B" w14:textId="77777777" w:rsidR="00111B69" w:rsidRPr="00BE00C7" w:rsidRDefault="00111B69" w:rsidP="00BE00C7">
            <w:pPr>
              <w:pStyle w:val="OutcomeDescription"/>
              <w:spacing w:before="120" w:after="120"/>
              <w:rPr>
                <w:rFonts w:cs="Arial"/>
                <w:lang w:eastAsia="en-NZ"/>
              </w:rPr>
            </w:pPr>
          </w:p>
        </w:tc>
        <w:tc>
          <w:tcPr>
            <w:tcW w:w="0" w:type="auto"/>
          </w:tcPr>
          <w:p w14:paraId="2BDE118B"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0153BB45"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Nine staff files evidenced implementation of the recruitment process, employment contracts, police checking and completed orientation programmes. </w:t>
            </w:r>
          </w:p>
          <w:p w14:paraId="0443FB45" w14:textId="77777777" w:rsidR="00111B69" w:rsidRPr="00BE00C7" w:rsidRDefault="00111B69"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authority, and functions to be achieved in each position.</w:t>
            </w:r>
          </w:p>
          <w:p w14:paraId="3F0B3832" w14:textId="77777777" w:rsidR="00111B69" w:rsidRPr="00BE00C7" w:rsidRDefault="00111B69"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All staff who have been employed for more than a year have current appraisals on file.</w:t>
            </w:r>
          </w:p>
          <w:p w14:paraId="2C77A8FE"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All staff complete a comprehensive induction which includes a training in the Attitude of Living Well (which focuses on resident led care). Competencies are completed at orientation. The service demonstrates that the orientation programmes support RNs, and wellness partners to provide a culturally safe environment for Māori. </w:t>
            </w:r>
          </w:p>
          <w:p w14:paraId="059AF62A"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Volunteers are utilised, and an orientation programme and policy for volunteers is in place. </w:t>
            </w:r>
          </w:p>
          <w:p w14:paraId="24E24D3A"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Ethnicity data is identified, and the service maintains an employee ethnicity database. Following any staff incident/accident, evidence of debriefing, support and follow-up action taken are documented. Wellbeing support is provided to staff. Currently Arvida supports an employee assistance programme across all its sites which is available </w:t>
            </w:r>
            <w:r w:rsidRPr="00BE00C7">
              <w:rPr>
                <w:rFonts w:cs="Arial"/>
                <w:lang w:eastAsia="en-NZ"/>
              </w:rPr>
              <w:lastRenderedPageBreak/>
              <w:t xml:space="preserve">to all staff. </w:t>
            </w:r>
          </w:p>
          <w:p w14:paraId="18B964BE" w14:textId="77777777" w:rsidR="00111B69" w:rsidRPr="00BE00C7" w:rsidRDefault="00111B69" w:rsidP="00BE00C7">
            <w:pPr>
              <w:pStyle w:val="OutcomeDescription"/>
              <w:spacing w:before="120" w:after="120"/>
              <w:rPr>
                <w:rFonts w:cs="Arial"/>
                <w:lang w:eastAsia="en-NZ"/>
              </w:rPr>
            </w:pPr>
          </w:p>
        </w:tc>
      </w:tr>
      <w:tr w:rsidR="00A35885" w14:paraId="23357028" w14:textId="77777777">
        <w:tc>
          <w:tcPr>
            <w:tcW w:w="0" w:type="auto"/>
          </w:tcPr>
          <w:p w14:paraId="7B4B114C"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Subsection 2.5: Information</w:t>
            </w:r>
          </w:p>
          <w:p w14:paraId="09E382CE" w14:textId="77777777" w:rsidR="00111B69" w:rsidRPr="00BE00C7" w:rsidRDefault="00111B69"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w:t>
            </w:r>
            <w:r w:rsidRPr="00BE00C7">
              <w:rPr>
                <w:rFonts w:cs="Arial"/>
                <w:lang w:eastAsia="en-NZ"/>
              </w:rPr>
              <w:t>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81DC56A" w14:textId="77777777" w:rsidR="00111B69" w:rsidRPr="00BE00C7" w:rsidRDefault="00111B69" w:rsidP="00BE00C7">
            <w:pPr>
              <w:pStyle w:val="OutcomeDescription"/>
              <w:spacing w:before="120" w:after="120"/>
              <w:rPr>
                <w:rFonts w:cs="Arial"/>
                <w:lang w:eastAsia="en-NZ"/>
              </w:rPr>
            </w:pPr>
          </w:p>
        </w:tc>
        <w:tc>
          <w:tcPr>
            <w:tcW w:w="0" w:type="auto"/>
          </w:tcPr>
          <w:p w14:paraId="292B76A2"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0372F9E6"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electronically. Electronic information is backed up and individually password protected. Hard copy resident files are stored securely in locked offices and cupboards. There is a process for older files are sent off site for archiving as per policy when this becomes relevant. Documents can be scanned and uploaded on the electronic resident management system for reference. </w:t>
            </w:r>
          </w:p>
          <w:p w14:paraId="6CE9A63F" w14:textId="77777777" w:rsidR="00111B69" w:rsidRPr="00BE00C7" w:rsidRDefault="00111B69"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(electronically) include links to the name and designation of the service provider. Residents entering the service have all relevant initial information recorded within 24 hours of entry into the resident’s individual record. An initial care plan is also developed in this time. Personal resident information is kept confidential an</w:t>
            </w:r>
            <w:r w:rsidRPr="00BE00C7">
              <w:rPr>
                <w:rFonts w:cs="Arial"/>
                <w:lang w:eastAsia="en-NZ"/>
              </w:rPr>
              <w:t>d cannot be viewed by other residents or members of the public. The service is not responsible for National Health Index registration</w:t>
            </w:r>
          </w:p>
          <w:p w14:paraId="5A9BB9D8" w14:textId="77777777" w:rsidR="00111B69" w:rsidRPr="00BE00C7" w:rsidRDefault="00111B69" w:rsidP="00BE00C7">
            <w:pPr>
              <w:pStyle w:val="OutcomeDescription"/>
              <w:spacing w:before="120" w:after="120"/>
              <w:rPr>
                <w:rFonts w:cs="Arial"/>
                <w:lang w:eastAsia="en-NZ"/>
              </w:rPr>
            </w:pPr>
          </w:p>
        </w:tc>
      </w:tr>
      <w:tr w:rsidR="00A35885" w14:paraId="2F60F651" w14:textId="77777777">
        <w:tc>
          <w:tcPr>
            <w:tcW w:w="0" w:type="auto"/>
          </w:tcPr>
          <w:p w14:paraId="541C7C75" w14:textId="77777777" w:rsidR="00111B69" w:rsidRPr="00BE00C7" w:rsidRDefault="00111B69" w:rsidP="00BE00C7">
            <w:pPr>
              <w:pStyle w:val="OutcomeDescription"/>
              <w:spacing w:before="120" w:after="120"/>
              <w:rPr>
                <w:rFonts w:cs="Arial"/>
                <w:lang w:eastAsia="en-NZ"/>
              </w:rPr>
            </w:pPr>
            <w:r w:rsidRPr="00BE00C7">
              <w:rPr>
                <w:rFonts w:cs="Arial"/>
                <w:lang w:eastAsia="en-NZ"/>
              </w:rPr>
              <w:t>Subsection 3.1: Entry and declining entry</w:t>
            </w:r>
          </w:p>
          <w:p w14:paraId="63DF6ABF" w14:textId="77777777" w:rsidR="00111B69" w:rsidRPr="00BE00C7" w:rsidRDefault="00111B69"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D0EFDDA" w14:textId="77777777" w:rsidR="00111B69" w:rsidRPr="00BE00C7" w:rsidRDefault="00111B69" w:rsidP="00BE00C7">
            <w:pPr>
              <w:pStyle w:val="OutcomeDescription"/>
              <w:spacing w:before="120" w:after="120"/>
              <w:rPr>
                <w:rFonts w:cs="Arial"/>
                <w:lang w:eastAsia="en-NZ"/>
              </w:rPr>
            </w:pPr>
          </w:p>
        </w:tc>
        <w:tc>
          <w:tcPr>
            <w:tcW w:w="0" w:type="auto"/>
          </w:tcPr>
          <w:p w14:paraId="132D4D38"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4BF81996" w14:textId="77777777" w:rsidR="00111B69" w:rsidRPr="00BE00C7" w:rsidRDefault="00111B69" w:rsidP="00BE00C7">
            <w:pPr>
              <w:pStyle w:val="OutcomeDescription"/>
              <w:spacing w:before="120" w:after="120"/>
              <w:rPr>
                <w:rFonts w:cs="Arial"/>
                <w:lang w:eastAsia="en-NZ"/>
              </w:rPr>
            </w:pPr>
            <w:r w:rsidRPr="00BE00C7">
              <w:rPr>
                <w:rFonts w:cs="Arial"/>
                <w:lang w:eastAsia="en-NZ"/>
              </w:rPr>
              <w:t>There is a policy for managing inquiries and entry into the service. Entry criteria includes a requirement to be needs assessed for rest home, hospital, or secure dementia level care. Authority from the needs assessment and service coordination (NASC) team were sighted in residents’ files. There is accurate information about the facility and services available on the Arvida website and in an information pack. Entry criteria is communicated to referrers, prospective residents and their family/whānau and to l</w:t>
            </w:r>
            <w:r w:rsidRPr="00BE00C7">
              <w:rPr>
                <w:rFonts w:cs="Arial"/>
                <w:lang w:eastAsia="en-NZ"/>
              </w:rPr>
              <w:t xml:space="preserve">ocal communities and health care providers. </w:t>
            </w:r>
          </w:p>
          <w:p w14:paraId="07FA6AD5"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Prospective residents and their family/whānau can visit or call any time and the staff will complete an enquiry form and discuss their needs. Prospective residents and their family/whānau are given a tour of the facility and meet the staff on duty. Residents and families/whānau interviewed confirmed the entry process was well </w:t>
            </w:r>
            <w:r w:rsidRPr="00BE00C7">
              <w:rPr>
                <w:rFonts w:cs="Arial"/>
                <w:lang w:eastAsia="en-NZ"/>
              </w:rPr>
              <w:lastRenderedPageBreak/>
              <w:t>explained, went smoothly and feel they are treated with respect and dignity at all times. Where there are delays to entry such as waiting for an available bed, they are kept updated. If the prospective resident does not meet the entry criteria, they are informed of the reason, advised of other options, and referred back to the referrer.</w:t>
            </w:r>
          </w:p>
          <w:p w14:paraId="2CE130F7" w14:textId="77777777" w:rsidR="00111B69" w:rsidRPr="00BE00C7" w:rsidRDefault="00111B69" w:rsidP="00BE00C7">
            <w:pPr>
              <w:pStyle w:val="OutcomeDescription"/>
              <w:spacing w:before="120" w:after="120"/>
              <w:rPr>
                <w:rFonts w:cs="Arial"/>
                <w:lang w:eastAsia="en-NZ"/>
              </w:rPr>
            </w:pPr>
            <w:r w:rsidRPr="00BE00C7">
              <w:rPr>
                <w:rFonts w:cs="Arial"/>
                <w:lang w:eastAsia="en-NZ"/>
              </w:rPr>
              <w:t>Arvida monitor entry and decline rates. This data includes ethnicity. The service has existing engagements with local Māori communities, Māori leaders, health practitioners, and organisations to support Māori individuals and whānau. The clinical manager stated Māori health practitioners and traditional Māori healers for residents and family/whānau who may benefit from these interventions, are consulted when required.</w:t>
            </w:r>
          </w:p>
          <w:p w14:paraId="5620476D" w14:textId="77777777" w:rsidR="00111B69" w:rsidRPr="00BE00C7" w:rsidRDefault="00111B69" w:rsidP="00BE00C7">
            <w:pPr>
              <w:pStyle w:val="OutcomeDescription"/>
              <w:spacing w:before="120" w:after="120"/>
              <w:rPr>
                <w:rFonts w:cs="Arial"/>
                <w:lang w:eastAsia="en-NZ"/>
              </w:rPr>
            </w:pPr>
          </w:p>
        </w:tc>
      </w:tr>
      <w:tr w:rsidR="00A35885" w14:paraId="47A6E309" w14:textId="77777777">
        <w:tc>
          <w:tcPr>
            <w:tcW w:w="0" w:type="auto"/>
          </w:tcPr>
          <w:p w14:paraId="35D65379"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A4D1ED2"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people: I work together with my </w:t>
            </w:r>
            <w:r w:rsidRPr="00BE00C7">
              <w:rPr>
                <w:rFonts w:cs="Arial"/>
                <w:lang w:eastAsia="en-NZ"/>
              </w:rPr>
              <w:t>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BA464A2" w14:textId="77777777" w:rsidR="00111B69" w:rsidRPr="00BE00C7" w:rsidRDefault="00111B69" w:rsidP="00BE00C7">
            <w:pPr>
              <w:pStyle w:val="OutcomeDescription"/>
              <w:spacing w:before="120" w:after="120"/>
              <w:rPr>
                <w:rFonts w:cs="Arial"/>
                <w:lang w:eastAsia="en-NZ"/>
              </w:rPr>
            </w:pPr>
          </w:p>
        </w:tc>
        <w:tc>
          <w:tcPr>
            <w:tcW w:w="0" w:type="auto"/>
          </w:tcPr>
          <w:p w14:paraId="6CB58EEA"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0C388EC9"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Eight resident files were reviewed including three dementia level, three hospital level (one on ACC funding) and two rest home level. Registered nurses are responsible for all assessments including interRAI assessments and care planning. The physiotherapist has input into mobility and falls prevention, and the wellness leader has input into the activities plan. Resident files have evidence of resident and family/whānau input in assessments and care planning and those interviewed confirmed they are involved </w:t>
            </w:r>
            <w:r w:rsidRPr="00BE00C7">
              <w:rPr>
                <w:rFonts w:cs="Arial"/>
                <w:lang w:eastAsia="en-NZ"/>
              </w:rPr>
              <w:t>at each stage from assessment to care planning to evaluation. Initial assessments, interim care plans, interRAI assessments and long-term care planning are completed within the timeframes required by the age-related residential care contract. InterRAI assessments are completed for the resident under ACC funding.</w:t>
            </w:r>
          </w:p>
          <w:p w14:paraId="70CA7E86"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Medical assessments are completed by either the contracted general practitioner or the residents own general practitioner within the required timeframes. Residents then have a three-monthly review by the general practitioner as a routine, or if their needs change they are seen when needed. The general practice provides 24-hour and seven day per week on call services. The general practitioner confirmed staff work collaboratively and inform them in a timely manner when there are changes. The registered nurse </w:t>
            </w:r>
            <w:r w:rsidRPr="00BE00C7">
              <w:rPr>
                <w:rFonts w:cs="Arial"/>
                <w:lang w:eastAsia="en-NZ"/>
              </w:rPr>
              <w:t xml:space="preserve">and wellness leader complete a form titled “all about me” to identify residents’ interests, preferences, previous occupation and significant people and events </w:t>
            </w:r>
            <w:r w:rsidRPr="00BE00C7">
              <w:rPr>
                <w:rFonts w:cs="Arial"/>
                <w:lang w:eastAsia="en-NZ"/>
              </w:rPr>
              <w:lastRenderedPageBreak/>
              <w:t>and this is used to develop a plan for meaningful activities. Residents who have a diagnosis of dementia have a 24-hour activity plan. All about me includes cultural assessment and residents and family/whānau interviewed confirmed their input into this. The service facilitates access to traditional Māori health practitioners as needed. There is a cont</w:t>
            </w:r>
            <w:r w:rsidRPr="00BE00C7">
              <w:rPr>
                <w:rFonts w:cs="Arial"/>
                <w:lang w:eastAsia="en-NZ"/>
              </w:rPr>
              <w:t>racted physiotherapist onsite for two hours per week to undertake assessments for mobility. Their recommendations contribute to the plan for exercise and falls prevention. Residents have access to a visiting podiatrist.</w:t>
            </w:r>
          </w:p>
          <w:p w14:paraId="2364BBCA" w14:textId="77777777" w:rsidR="00111B69" w:rsidRPr="00BE00C7" w:rsidRDefault="00111B69" w:rsidP="00BE00C7">
            <w:pPr>
              <w:pStyle w:val="OutcomeDescription"/>
              <w:spacing w:before="120" w:after="120"/>
              <w:rPr>
                <w:rFonts w:cs="Arial"/>
                <w:lang w:eastAsia="en-NZ"/>
              </w:rPr>
            </w:pPr>
            <w:r w:rsidRPr="00BE00C7">
              <w:rPr>
                <w:rFonts w:cs="Arial"/>
                <w:lang w:eastAsia="en-NZ"/>
              </w:rPr>
              <w:t>Review of resident files shows assessment is comprehensive and utilises the tools embedded in the interRAI system. Where interRAI shows a trigger for a specific need, this is included in care plans. Care plans are comprehensive and cover all assessed needs. Residents with dementia have a behavioural support plan in place. Care plans include the goals and aspirations of residents and describe the interventions required to achieve these. Where there is a potential for a risk for a resident, such as a change i</w:t>
            </w:r>
            <w:r w:rsidRPr="00BE00C7">
              <w:rPr>
                <w:rFonts w:cs="Arial"/>
                <w:lang w:eastAsia="en-NZ"/>
              </w:rPr>
              <w:t>n mood, challenging behaviour or hypoglycaemia, the early warning signs are documented and communicated to staff. Care plans are recorded on the e-case electronic system.</w:t>
            </w:r>
          </w:p>
          <w:p w14:paraId="6A84F771" w14:textId="77777777" w:rsidR="00111B69" w:rsidRPr="00BE00C7" w:rsidRDefault="00111B69" w:rsidP="00BE00C7">
            <w:pPr>
              <w:pStyle w:val="OutcomeDescription"/>
              <w:spacing w:before="120" w:after="120"/>
              <w:rPr>
                <w:rFonts w:cs="Arial"/>
                <w:lang w:eastAsia="en-NZ"/>
              </w:rPr>
            </w:pPr>
            <w:r w:rsidRPr="00BE00C7">
              <w:rPr>
                <w:rFonts w:cs="Arial"/>
                <w:lang w:eastAsia="en-NZ"/>
              </w:rPr>
              <w:t>Registered nurses and wellness partners described how they involve residents and families/whānau in implementing care plans. Residents and families/whānau interviewed confirmed they feel staff involve them and communicate well with them and are supported to achieve their own pae ora outcomes. They stated staff are respectful, genuinely caring and respond to their needs in a timely manner.</w:t>
            </w:r>
          </w:p>
          <w:p w14:paraId="0A1599B3" w14:textId="77777777" w:rsidR="00111B69" w:rsidRPr="00BE00C7" w:rsidRDefault="00111B69" w:rsidP="00BE00C7">
            <w:pPr>
              <w:pStyle w:val="OutcomeDescription"/>
              <w:spacing w:before="120" w:after="120"/>
              <w:rPr>
                <w:rFonts w:cs="Arial"/>
                <w:lang w:eastAsia="en-NZ"/>
              </w:rPr>
            </w:pPr>
            <w:r w:rsidRPr="00BE00C7">
              <w:rPr>
                <w:rFonts w:cs="Arial"/>
                <w:lang w:eastAsia="en-NZ"/>
              </w:rPr>
              <w:t>Care plans are reviewed routinely every six months or more frequently if the needs of residents change. InterRAI assessments are completed before the care plan review so that outcome measurements are utilised to evaluate progress or identify new needs. Families and whānau are invited to either attend care plan reviews or to email any suggestions if they are unable to attend. Care plan reviews include a review of the residents’ goals and aspirations and if the supports given are helping to achieve these. Whe</w:t>
            </w:r>
            <w:r w:rsidRPr="00BE00C7">
              <w:rPr>
                <w:rFonts w:cs="Arial"/>
                <w:lang w:eastAsia="en-NZ"/>
              </w:rPr>
              <w:t xml:space="preserve">n care plans are updated, they are communicated to wellness partners. Where a resident’s progress is different from expected, the family/whānau is informed and the care plan is updated. Long term </w:t>
            </w:r>
            <w:r w:rsidRPr="00BE00C7">
              <w:rPr>
                <w:rFonts w:cs="Arial"/>
                <w:lang w:eastAsia="en-NZ"/>
              </w:rPr>
              <w:lastRenderedPageBreak/>
              <w:t xml:space="preserve">care plans are living documents and acute changes such as wounds and infections are added to the long term care plan and resolved when the issue resolves. </w:t>
            </w:r>
          </w:p>
          <w:p w14:paraId="79B60DDD"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At the time of the audit there were nine wounds being treated including two pressure injuries. The service maintains an electronic wound register. A comprehensive wound assessment is completed and the wound plan is reviewed at each dressing change. Photos are taken to evidence progression or deterioration of the wound. Wound evaluations are documented. Advice can be sought from the wound care specialist where required. </w:t>
            </w:r>
          </w:p>
          <w:p w14:paraId="583ECD12" w14:textId="77777777" w:rsidR="00111B69" w:rsidRPr="00BE00C7" w:rsidRDefault="00111B69" w:rsidP="00BE00C7">
            <w:pPr>
              <w:pStyle w:val="OutcomeDescription"/>
              <w:spacing w:before="120" w:after="120"/>
              <w:rPr>
                <w:rFonts w:cs="Arial"/>
                <w:lang w:eastAsia="en-NZ"/>
              </w:rPr>
            </w:pPr>
            <w:r w:rsidRPr="00BE00C7">
              <w:rPr>
                <w:rFonts w:cs="Arial"/>
                <w:lang w:eastAsia="en-NZ"/>
              </w:rPr>
              <w:t>Staff reported that sufficient and appropriate information is shared between the staff at each handover. Interviewed staff stated that they are updated daily regarding each resident’s condition. Progress notes are completed each shift by the wellness partners, each shift by the registered nurse for hospital level residents and weekly by the registered nurse for rest home and dementia level residents but more frequently if there are issues or concerns. If there is a change in the condition of a resident, the</w:t>
            </w:r>
            <w:r w:rsidRPr="00BE00C7">
              <w:rPr>
                <w:rFonts w:cs="Arial"/>
                <w:lang w:eastAsia="en-NZ"/>
              </w:rPr>
              <w:t xml:space="preserve"> registered nurse is informed, undertakes an assessment, and updates the care plan if needed. A multidisciplinary approach promotes continuity in service delivery, including the general practitioner, registered nurses, physiotherapist, wellness partners, kitchen staff, and other allied health team members, residents, and family/whānau.</w:t>
            </w:r>
          </w:p>
          <w:p w14:paraId="7C4E1A0E" w14:textId="77777777" w:rsidR="00111B69" w:rsidRPr="00BE00C7" w:rsidRDefault="00111B69" w:rsidP="00BE00C7">
            <w:pPr>
              <w:pStyle w:val="OutcomeDescription"/>
              <w:spacing w:before="120" w:after="120"/>
              <w:rPr>
                <w:rFonts w:cs="Arial"/>
                <w:lang w:eastAsia="en-NZ"/>
              </w:rPr>
            </w:pPr>
            <w:r w:rsidRPr="00BE00C7">
              <w:rPr>
                <w:rFonts w:cs="Arial"/>
                <w:lang w:eastAsia="en-NZ"/>
              </w:rPr>
              <w:t>In assessing and monitoring residents, the following monitoring charts are completed: weight, monthly as a routine or more often if indicated; blood glucose; behaviour; positioning; bowels; food and fluids; falls risk; and pain if applicable. For residents with dementia behaviour monitoring charts are also completed. Neurological observations are completed at accepted timeframes and duration for unwitnessed falls or head injuries. All incident reports reviewed evidenced timely nursing follow up.</w:t>
            </w:r>
          </w:p>
          <w:p w14:paraId="00F4BA97" w14:textId="6A562F66" w:rsidR="00111B69" w:rsidRPr="00BE00C7" w:rsidRDefault="00111B69" w:rsidP="00111B69">
            <w:pPr>
              <w:pStyle w:val="OutcomeDescription"/>
              <w:spacing w:before="120" w:after="120"/>
              <w:rPr>
                <w:rFonts w:cs="Arial"/>
                <w:lang w:eastAsia="en-NZ"/>
              </w:rPr>
            </w:pPr>
            <w:r w:rsidRPr="00BE00C7">
              <w:rPr>
                <w:rFonts w:cs="Arial"/>
                <w:lang w:eastAsia="en-NZ"/>
              </w:rPr>
              <w:t xml:space="preserve">The Māori health care plan supports residents and family/whānau, as applicable, to identify their own pae ora outcomes in their care and support wellbeing. Tikanga principles are included within the Māori health care plan. The clinical manager reported any barriers that prevent tāngata whaikaha and whānau from independently accessing information or services would be identified, and strategies to manage </w:t>
            </w:r>
            <w:r w:rsidRPr="00BE00C7">
              <w:rPr>
                <w:rFonts w:cs="Arial"/>
                <w:lang w:eastAsia="en-NZ"/>
              </w:rPr>
              <w:lastRenderedPageBreak/>
              <w:t xml:space="preserve">these would be documented. Staff confirmed they understood the process to support residents and family/whānau. The cultural safety assessment process validates Māori healing methodologies, such as karakia, rongoā and spiritual assistance. Cultural assessments are completed. </w:t>
            </w:r>
          </w:p>
        </w:tc>
      </w:tr>
      <w:tr w:rsidR="00A35885" w14:paraId="2464E32F" w14:textId="77777777">
        <w:tc>
          <w:tcPr>
            <w:tcW w:w="0" w:type="auto"/>
          </w:tcPr>
          <w:p w14:paraId="6860A23D"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E3CFEE3" w14:textId="77777777" w:rsidR="00111B69" w:rsidRPr="00BE00C7" w:rsidRDefault="00111B69"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50B268D" w14:textId="77777777" w:rsidR="00111B69" w:rsidRPr="00BE00C7" w:rsidRDefault="00111B69" w:rsidP="00BE00C7">
            <w:pPr>
              <w:pStyle w:val="OutcomeDescription"/>
              <w:spacing w:before="120" w:after="120"/>
              <w:rPr>
                <w:rFonts w:cs="Arial"/>
                <w:lang w:eastAsia="en-NZ"/>
              </w:rPr>
            </w:pPr>
          </w:p>
        </w:tc>
        <w:tc>
          <w:tcPr>
            <w:tcW w:w="0" w:type="auto"/>
          </w:tcPr>
          <w:p w14:paraId="77D2D220"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6DD40CD5" w14:textId="77777777" w:rsidR="00111B69" w:rsidRPr="00BE00C7" w:rsidRDefault="00111B69" w:rsidP="00BE00C7">
            <w:pPr>
              <w:pStyle w:val="OutcomeDescription"/>
              <w:spacing w:before="120" w:after="120"/>
              <w:rPr>
                <w:rFonts w:cs="Arial"/>
                <w:lang w:eastAsia="en-NZ"/>
              </w:rPr>
            </w:pPr>
            <w:r w:rsidRPr="00BE00C7">
              <w:rPr>
                <w:rFonts w:cs="Arial"/>
                <w:lang w:eastAsia="en-NZ"/>
              </w:rPr>
              <w:t>The activities programme is delivered by wellness partners overseen by a wellness leader. The wellness leader works full time and has experience in women’s wellness and mental health and addictions. The programme is developed by the wellness leader on a weekly basis and tailored to the residents particularly in the dementia unit. The weekly activities plan is posted on walls throughout the facility and printed out for residents. Feedback on the activities programme is sought at resident meetings and individ</w:t>
            </w:r>
            <w:r w:rsidRPr="00BE00C7">
              <w:rPr>
                <w:rFonts w:cs="Arial"/>
                <w:lang w:eastAsia="en-NZ"/>
              </w:rPr>
              <w:t xml:space="preserve">ually. </w:t>
            </w:r>
          </w:p>
          <w:p w14:paraId="7AFD4747" w14:textId="77777777" w:rsidR="00111B69" w:rsidRPr="00BE00C7" w:rsidRDefault="00111B69" w:rsidP="00BE00C7">
            <w:pPr>
              <w:pStyle w:val="OutcomeDescription"/>
              <w:spacing w:before="120" w:after="120"/>
              <w:rPr>
                <w:rFonts w:cs="Arial"/>
                <w:lang w:eastAsia="en-NZ"/>
              </w:rPr>
            </w:pPr>
            <w:r w:rsidRPr="00BE00C7">
              <w:rPr>
                <w:rFonts w:cs="Arial"/>
                <w:lang w:eastAsia="en-NZ"/>
              </w:rPr>
              <w:t>Review of the activities schedule shows the following is provided: seated chair exercise three days per week; van outings twice per week to areas of interest in the area such as Omokoroa gardens, Sulphur Point and to view cruise ships if they are in port; pampered nails in each household (area) on Mondays; entertainers including a clarinet and piano player; card games, quizzes and bingo; ice creams; movies on a Thursday; and Friday church services and happy hour. Calendar events such as Waitangi Day, Matari</w:t>
            </w:r>
            <w:r w:rsidRPr="00BE00C7">
              <w:rPr>
                <w:rFonts w:cs="Arial"/>
                <w:lang w:eastAsia="en-NZ"/>
              </w:rPr>
              <w:t>ki, Easter, Christmas, Te Wiki o Te Reo Māori and nurses’ day are celebrated. Visits by children’s groups occur regularly such as country kids and a kapa haka group from a local school. In the dementia unit activities include tea parties in the garden, music, dance and joining in with all residents when visiting entertainers visit the facility.</w:t>
            </w:r>
          </w:p>
          <w:p w14:paraId="61A47164" w14:textId="77777777" w:rsidR="00111B69" w:rsidRPr="00BE00C7" w:rsidRDefault="00111B69" w:rsidP="00BE00C7">
            <w:pPr>
              <w:pStyle w:val="OutcomeDescription"/>
              <w:spacing w:before="120" w:after="120"/>
              <w:rPr>
                <w:rFonts w:cs="Arial"/>
                <w:lang w:eastAsia="en-NZ"/>
              </w:rPr>
            </w:pPr>
            <w:r w:rsidRPr="00BE00C7">
              <w:rPr>
                <w:rFonts w:cs="Arial"/>
                <w:lang w:eastAsia="en-NZ"/>
              </w:rPr>
              <w:t>For those that choose not to participate in group activities one to one activities are provided including mindfulness colouring, craft, knitting, board games and crosswords as examples. The wellness leader stated residents participate in baking at times; however, the current cohort of residents prefer not to do any cooking or meal preparation.</w:t>
            </w:r>
          </w:p>
          <w:p w14:paraId="7C9EFA3E" w14:textId="77777777" w:rsidR="00111B69" w:rsidRPr="00BE00C7" w:rsidRDefault="00111B69" w:rsidP="00BE00C7">
            <w:pPr>
              <w:pStyle w:val="OutcomeDescription"/>
              <w:spacing w:before="120" w:after="120"/>
              <w:rPr>
                <w:rFonts w:cs="Arial"/>
                <w:lang w:eastAsia="en-NZ"/>
              </w:rPr>
            </w:pPr>
            <w:r w:rsidRPr="00BE00C7">
              <w:rPr>
                <w:rFonts w:cs="Arial"/>
                <w:lang w:eastAsia="en-NZ"/>
              </w:rPr>
              <w:t>Many families take residents on outings so they continue contact with their wider family/whānau and communities. For those that do not have family, staff confirmed they would facilitate access to the community on an individual basis.</w:t>
            </w:r>
          </w:p>
          <w:p w14:paraId="79F31275"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If there were to be Māori residents, staff would engage them by singing waiata, have one to one conversations and discuss their needs with whānau.</w:t>
            </w:r>
          </w:p>
          <w:p w14:paraId="7D180F1B" w14:textId="77777777" w:rsidR="00111B69" w:rsidRPr="00BE00C7" w:rsidRDefault="00111B69" w:rsidP="00BE00C7">
            <w:pPr>
              <w:pStyle w:val="OutcomeDescription"/>
              <w:spacing w:before="120" w:after="120"/>
              <w:rPr>
                <w:rFonts w:cs="Arial"/>
                <w:lang w:eastAsia="en-NZ"/>
              </w:rPr>
            </w:pPr>
            <w:r w:rsidRPr="00BE00C7">
              <w:rPr>
                <w:rFonts w:cs="Arial"/>
                <w:lang w:eastAsia="en-NZ"/>
              </w:rPr>
              <w:t>Residents and family/whānau interviewed expressed satisfaction with the activities provided.</w:t>
            </w:r>
          </w:p>
          <w:p w14:paraId="1F0881B6" w14:textId="77777777" w:rsidR="00111B69" w:rsidRPr="00BE00C7" w:rsidRDefault="00111B69" w:rsidP="00BE00C7">
            <w:pPr>
              <w:pStyle w:val="OutcomeDescription"/>
              <w:spacing w:before="120" w:after="120"/>
              <w:rPr>
                <w:rFonts w:cs="Arial"/>
                <w:lang w:eastAsia="en-NZ"/>
              </w:rPr>
            </w:pPr>
          </w:p>
        </w:tc>
      </w:tr>
      <w:tr w:rsidR="00A35885" w14:paraId="160A431F" w14:textId="77777777">
        <w:tc>
          <w:tcPr>
            <w:tcW w:w="0" w:type="auto"/>
          </w:tcPr>
          <w:p w14:paraId="4D6C412A"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Subsection 3.4: My medication</w:t>
            </w:r>
          </w:p>
          <w:p w14:paraId="4D0CBFD9" w14:textId="77777777" w:rsidR="00111B69" w:rsidRPr="00BE00C7" w:rsidRDefault="00111B69"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D28CEA1" w14:textId="77777777" w:rsidR="00111B69" w:rsidRPr="00BE00C7" w:rsidRDefault="00111B69" w:rsidP="00BE00C7">
            <w:pPr>
              <w:pStyle w:val="OutcomeDescription"/>
              <w:spacing w:before="120" w:after="120"/>
              <w:rPr>
                <w:rFonts w:cs="Arial"/>
                <w:lang w:eastAsia="en-NZ"/>
              </w:rPr>
            </w:pPr>
          </w:p>
        </w:tc>
        <w:tc>
          <w:tcPr>
            <w:tcW w:w="0" w:type="auto"/>
          </w:tcPr>
          <w:p w14:paraId="218BFEC9"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12BA2815" w14:textId="77777777" w:rsidR="00111B69" w:rsidRPr="00BE00C7" w:rsidRDefault="00111B69" w:rsidP="00BE00C7">
            <w:pPr>
              <w:pStyle w:val="OutcomeDescription"/>
              <w:spacing w:before="120" w:after="120"/>
              <w:rPr>
                <w:rFonts w:cs="Arial"/>
                <w:lang w:eastAsia="en-NZ"/>
              </w:rPr>
            </w:pPr>
            <w:r w:rsidRPr="00BE00C7">
              <w:rPr>
                <w:rFonts w:cs="Arial"/>
                <w:lang w:eastAsia="en-NZ"/>
              </w:rPr>
              <w:t>Medication management is safe and meets legislative requirements. Medications are administered by registered nurses and medication competent wellness partners; all of whom are required to pass an annual medication competency. Staff have completed annual training in medication management. Medications are supplied in robotic packs by a local pharmacy. Staff interviewed could describe their role and responsibilities in relation to receipt, storage, checking expiry dates, administering, and returning medication</w:t>
            </w:r>
            <w:r w:rsidRPr="00BE00C7">
              <w:rPr>
                <w:rFonts w:cs="Arial"/>
                <w:lang w:eastAsia="en-NZ"/>
              </w:rPr>
              <w:t>s to the pharmacy. Medications are stored in locked cabinets in each resident’s room. Medications are stored in locked medication rooms in each household.</w:t>
            </w:r>
          </w:p>
          <w:p w14:paraId="0AA076EA" w14:textId="77777777" w:rsidR="00111B69" w:rsidRPr="00BE00C7" w:rsidRDefault="00111B69" w:rsidP="00BE00C7">
            <w:pPr>
              <w:pStyle w:val="OutcomeDescription"/>
              <w:spacing w:before="120" w:after="120"/>
              <w:rPr>
                <w:rFonts w:cs="Arial"/>
                <w:lang w:eastAsia="en-NZ"/>
              </w:rPr>
            </w:pPr>
            <w:r w:rsidRPr="00BE00C7">
              <w:rPr>
                <w:rFonts w:cs="Arial"/>
                <w:lang w:eastAsia="en-NZ"/>
              </w:rPr>
              <w:t>The medication room and refrigerator temperatures are recorded daily, and records show the temperatures are maintained within an acceptable range, medication room temperature between 17 to 20 degrees Celsius and refrigerator temperatures between two to five degrees Celsius. All stocked medications are checked weekly and expired medications are returned to the pharmacy for disposal. Eye drops and liquid medications are dated when opened and discarded as per the manufacturer’s instructions. Medications are re</w:t>
            </w:r>
            <w:r w:rsidRPr="00BE00C7">
              <w:rPr>
                <w:rFonts w:cs="Arial"/>
                <w:lang w:eastAsia="en-NZ"/>
              </w:rPr>
              <w:t xml:space="preserve">viewed three-monthly by the general practitioner, in collaboration with the registered nurse and resident and family/whānau. </w:t>
            </w:r>
          </w:p>
          <w:p w14:paraId="48FE94D9"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Sixteen electronic medication charts were reviewed, on the electronic medication platform (Medimap). All had photographic identification, any allergies or adverse drug reactions are recorded on the chart. A folder of specimen signatures of staff was sighted. When changes are made to medications, residents and family/whānau are informed of the reason and potential side-effects. Pro re nata (prn) medication is administered as prescribed and the reasons and effects are documented in the progress notes. Arvida </w:t>
            </w:r>
            <w:r w:rsidRPr="00BE00C7">
              <w:rPr>
                <w:rFonts w:cs="Arial"/>
                <w:lang w:eastAsia="en-NZ"/>
              </w:rPr>
              <w:t xml:space="preserve">do not have standing </w:t>
            </w:r>
            <w:r w:rsidRPr="00BE00C7">
              <w:rPr>
                <w:rFonts w:cs="Arial"/>
                <w:lang w:eastAsia="en-NZ"/>
              </w:rPr>
              <w:lastRenderedPageBreak/>
              <w:t>orders. There is one resident in the rest home who self-administers their medications. They have been competency assessed as safe to do this and their medicines were seen to be stored in a locked cabinet in their room. Medication self-assessments are completed every six months. There are no vaccines kept on site. Over-the-counter medication and supplements are considered by the general practitioner and prescribed on the medication chart, including rongoā Māori if there were to be a Māor</w:t>
            </w:r>
            <w:r w:rsidRPr="00BE00C7">
              <w:rPr>
                <w:rFonts w:cs="Arial"/>
                <w:lang w:eastAsia="en-NZ"/>
              </w:rPr>
              <w:t>i resident. Residents and family/whānau interviewed confirmed they have the support and information to access treatment to achieve their health outcomes.</w:t>
            </w:r>
          </w:p>
          <w:p w14:paraId="69A11841" w14:textId="77777777" w:rsidR="00111B69" w:rsidRPr="00BE00C7" w:rsidRDefault="00111B69" w:rsidP="00BE00C7">
            <w:pPr>
              <w:pStyle w:val="OutcomeDescription"/>
              <w:spacing w:before="120" w:after="120"/>
              <w:rPr>
                <w:rFonts w:cs="Arial"/>
                <w:lang w:eastAsia="en-NZ"/>
              </w:rPr>
            </w:pPr>
            <w:r w:rsidRPr="00BE00C7">
              <w:rPr>
                <w:rFonts w:cs="Arial"/>
                <w:lang w:eastAsia="en-NZ"/>
              </w:rPr>
              <w:t>A medication round was observed in the dementia unit and seen to be safe. Staff explained the medication to residents in a simple way and if the resident chose not to take the medication, staff would try again later.</w:t>
            </w:r>
          </w:p>
          <w:p w14:paraId="642C6421" w14:textId="77777777" w:rsidR="00111B69" w:rsidRPr="00BE00C7" w:rsidRDefault="00111B69" w:rsidP="00BE00C7">
            <w:pPr>
              <w:pStyle w:val="OutcomeDescription"/>
              <w:spacing w:before="120" w:after="120"/>
              <w:rPr>
                <w:rFonts w:cs="Arial"/>
                <w:lang w:eastAsia="en-NZ"/>
              </w:rPr>
            </w:pPr>
          </w:p>
        </w:tc>
      </w:tr>
      <w:tr w:rsidR="00A35885" w14:paraId="45AB95A1" w14:textId="77777777">
        <w:tc>
          <w:tcPr>
            <w:tcW w:w="0" w:type="auto"/>
          </w:tcPr>
          <w:p w14:paraId="22BDBCC7"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3FFE0D4" w14:textId="77777777" w:rsidR="00111B69" w:rsidRPr="00BE00C7" w:rsidRDefault="00111B69"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A610A3E" w14:textId="77777777" w:rsidR="00111B69" w:rsidRPr="00BE00C7" w:rsidRDefault="00111B69" w:rsidP="00BE00C7">
            <w:pPr>
              <w:pStyle w:val="OutcomeDescription"/>
              <w:spacing w:before="120" w:after="120"/>
              <w:rPr>
                <w:rFonts w:cs="Arial"/>
                <w:lang w:eastAsia="en-NZ"/>
              </w:rPr>
            </w:pPr>
          </w:p>
        </w:tc>
        <w:tc>
          <w:tcPr>
            <w:tcW w:w="0" w:type="auto"/>
          </w:tcPr>
          <w:p w14:paraId="27D2D593"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5E583534" w14:textId="77777777" w:rsidR="00111B69" w:rsidRPr="00BE00C7" w:rsidRDefault="00111B69" w:rsidP="00BE00C7">
            <w:pPr>
              <w:pStyle w:val="OutcomeDescription"/>
              <w:spacing w:before="120" w:after="120"/>
              <w:rPr>
                <w:rFonts w:cs="Arial"/>
                <w:lang w:eastAsia="en-NZ"/>
              </w:rPr>
            </w:pPr>
            <w:r w:rsidRPr="00BE00C7">
              <w:rPr>
                <w:rFonts w:cs="Arial"/>
                <w:lang w:eastAsia="en-NZ"/>
              </w:rPr>
              <w:t>All food and baking are prepared and cooked on site. The kitchen manager is a trained chef and is assisted by a cook and three kitchen hands. Food is prepared in line with recognised nutritional guidelines for older people. The food control plan expires on 14 June 2025. On the days of the audit, the kitchen was clean and well equipped with special equipment available. Kitchen staff were observed following appropriate infection prevention measures during food preparation and serving. Current food handling ce</w:t>
            </w:r>
            <w:r w:rsidRPr="00BE00C7">
              <w:rPr>
                <w:rFonts w:cs="Arial"/>
                <w:lang w:eastAsia="en-NZ"/>
              </w:rPr>
              <w:t>rtificates were available in staff records.</w:t>
            </w:r>
          </w:p>
          <w:p w14:paraId="78FDECB2" w14:textId="77777777" w:rsidR="00111B69" w:rsidRPr="00BE00C7" w:rsidRDefault="00111B69"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Residents’ dietary preferences are available in a folder in the kitchen and on a whiteboard. A seasonal menu in a four-weekly cycle is utilised. The menu is reviewed by the Arvida dietitian. During the aud</w:t>
            </w:r>
            <w:r w:rsidRPr="00BE00C7">
              <w:rPr>
                <w:rFonts w:cs="Arial"/>
                <w:lang w:eastAsia="en-NZ"/>
              </w:rPr>
              <w:t xml:space="preserve">it the meal service was observed in each area. Residents were seen to be enjoying their meals. Where needed staff discreetly assisted residents. There is adequate space in the dining room to accommodate residents and mobility aids. </w:t>
            </w:r>
          </w:p>
          <w:p w14:paraId="406E5C94"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Diets are modified as required and the kitchen staff confirmed awareness of the dietary needs of the residents. The kitchen manager likes to meet residents individually to identify their food preferences. The residents’ weights are monitored regularly, and supplements and high protein smoothies are provided to residents with identified weight loss issues. Snacks and drinks are available for residents throughout the day and night when required.</w:t>
            </w:r>
          </w:p>
          <w:p w14:paraId="64E2739A"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Records of temperature monitoring of food, chiller, fridges, and freezers are maintained. All food is delivered to the respective wings in scan boxes and served from heated Bain Marie. All decanted food had records of use by dates recorded on the containers and no expired items were sighted. Family/whānau and residents interviewed indicated satisfaction with the food service. </w:t>
            </w:r>
          </w:p>
          <w:p w14:paraId="5E79D2FB" w14:textId="77777777" w:rsidR="00111B69" w:rsidRPr="00BE00C7" w:rsidRDefault="00111B69" w:rsidP="00BE00C7">
            <w:pPr>
              <w:pStyle w:val="OutcomeDescription"/>
              <w:spacing w:before="120" w:after="120"/>
              <w:rPr>
                <w:rFonts w:cs="Arial"/>
                <w:lang w:eastAsia="en-NZ"/>
              </w:rPr>
            </w:pPr>
            <w:r w:rsidRPr="00BE00C7">
              <w:rPr>
                <w:rFonts w:cs="Arial"/>
                <w:lang w:eastAsia="en-NZ"/>
              </w:rPr>
              <w:t>The kitchen manager reported the service prepares food that is culturally specific to different cultures. There are no current residents who identify as Māori; however, the kitchen manager reported they were able to provide hāngi, fried bread and other individual options if required.</w:t>
            </w:r>
          </w:p>
          <w:p w14:paraId="029FC094" w14:textId="77777777" w:rsidR="00111B69" w:rsidRPr="00BE00C7" w:rsidRDefault="00111B69" w:rsidP="00BE00C7">
            <w:pPr>
              <w:pStyle w:val="OutcomeDescription"/>
              <w:spacing w:before="120" w:after="120"/>
              <w:rPr>
                <w:rFonts w:cs="Arial"/>
                <w:lang w:eastAsia="en-NZ"/>
              </w:rPr>
            </w:pPr>
          </w:p>
        </w:tc>
      </w:tr>
      <w:tr w:rsidR="00A35885" w14:paraId="74EB12AF" w14:textId="77777777">
        <w:tc>
          <w:tcPr>
            <w:tcW w:w="0" w:type="auto"/>
          </w:tcPr>
          <w:p w14:paraId="62980D3E"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E40E680" w14:textId="77777777" w:rsidR="00111B69" w:rsidRPr="00BE00C7" w:rsidRDefault="00111B69"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AD7BAAF" w14:textId="77777777" w:rsidR="00111B69" w:rsidRPr="00BE00C7" w:rsidRDefault="00111B69" w:rsidP="00BE00C7">
            <w:pPr>
              <w:pStyle w:val="OutcomeDescription"/>
              <w:spacing w:before="120" w:after="120"/>
              <w:rPr>
                <w:rFonts w:cs="Arial"/>
                <w:lang w:eastAsia="en-NZ"/>
              </w:rPr>
            </w:pPr>
          </w:p>
        </w:tc>
        <w:tc>
          <w:tcPr>
            <w:tcW w:w="0" w:type="auto"/>
          </w:tcPr>
          <w:p w14:paraId="61217A8D"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5C676F27"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Discharge and transfer are planned processes that are </w:t>
            </w:r>
            <w:r w:rsidRPr="00BE00C7">
              <w:rPr>
                <w:rFonts w:cs="Arial"/>
                <w:lang w:eastAsia="en-NZ"/>
              </w:rPr>
              <w:t>communicated with residents and their family/whānau. Residents and family/whānau are advised of the reason for transition/transfer, options to access other health and disability services, social support or Kaupapa Māori agencies if indicated or requested. In order to coordinate a supported transition of care or supports, when residents are transferred to the public hospital, their family/whānau is informed, the registered nurse completes a set of transfer documents, and the general practitioner makes the re</w:t>
            </w:r>
            <w:r w:rsidRPr="00BE00C7">
              <w:rPr>
                <w:rFonts w:cs="Arial"/>
                <w:lang w:eastAsia="en-NZ"/>
              </w:rPr>
              <w:t xml:space="preserve">ferral to hospital. Relevant documentation sent with the resident including a printout of their current medications, care needs and a copy of enduring power of attorney documents. Residents’ needs and potential risks are communicated to the referred health service by the registered nurse. Where resident’s wish or need to be seen by another health service, referral is made, examples sighted included a referral to the dietitian and speech language therapist. </w:t>
            </w:r>
            <w:r w:rsidRPr="00BE00C7">
              <w:rPr>
                <w:rFonts w:cs="Arial"/>
                <w:lang w:eastAsia="en-NZ"/>
              </w:rPr>
              <w:lastRenderedPageBreak/>
              <w:t>Residents attending external appointments are encou</w:t>
            </w:r>
            <w:r w:rsidRPr="00BE00C7">
              <w:rPr>
                <w:rFonts w:cs="Arial"/>
                <w:lang w:eastAsia="en-NZ"/>
              </w:rPr>
              <w:t>raged to be accompanied by their family/whānau.</w:t>
            </w:r>
          </w:p>
          <w:p w14:paraId="072015A5" w14:textId="77777777" w:rsidR="00111B69" w:rsidRPr="00BE00C7" w:rsidRDefault="00111B69" w:rsidP="00BE00C7">
            <w:pPr>
              <w:pStyle w:val="OutcomeDescription"/>
              <w:spacing w:before="120" w:after="120"/>
              <w:rPr>
                <w:rFonts w:cs="Arial"/>
                <w:lang w:eastAsia="en-NZ"/>
              </w:rPr>
            </w:pPr>
          </w:p>
        </w:tc>
      </w:tr>
      <w:tr w:rsidR="00A35885" w14:paraId="70FEE253" w14:textId="77777777">
        <w:tc>
          <w:tcPr>
            <w:tcW w:w="0" w:type="auto"/>
          </w:tcPr>
          <w:p w14:paraId="7938C92B"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Subsection 4.1: The facility</w:t>
            </w:r>
          </w:p>
          <w:p w14:paraId="128A71BB" w14:textId="77777777" w:rsidR="00111B69" w:rsidRPr="00BE00C7" w:rsidRDefault="00111B69"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439D731" w14:textId="77777777" w:rsidR="00111B69" w:rsidRPr="00BE00C7" w:rsidRDefault="00111B69" w:rsidP="00BE00C7">
            <w:pPr>
              <w:pStyle w:val="OutcomeDescription"/>
              <w:spacing w:before="120" w:after="120"/>
              <w:rPr>
                <w:rFonts w:cs="Arial"/>
                <w:lang w:eastAsia="en-NZ"/>
              </w:rPr>
            </w:pPr>
          </w:p>
        </w:tc>
        <w:tc>
          <w:tcPr>
            <w:tcW w:w="0" w:type="auto"/>
          </w:tcPr>
          <w:p w14:paraId="1A015EDA"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41A081D3"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building has a current warrant of fitness that expires on 1 August 2025. The planned maintenance schedule includes electrical testing and tagging of electrical equipment, resident equipment checks, and calibrations of the weighing scales, hoists, and clinical equipment. The calibration of clinical equipment has been checked on 25 October 2024. Electrical appliances were tested and tagged on 13 August 2024. Hot water temperatures are monitored and managed below 45 degrees Celsius. Corrective actions are </w:t>
            </w:r>
            <w:r w:rsidRPr="00BE00C7">
              <w:rPr>
                <w:rFonts w:cs="Arial"/>
                <w:lang w:eastAsia="en-NZ"/>
              </w:rPr>
              <w:t>completed for any temperatures above the required threshold. The maintenance manager works 32 hours per week and there is a full time and a part time maintenance assistant. The environmental temperature is monitored and there were implemented processes to manage significant temperature changes. The maintenance manager uses an electronic system. The maintenance plan is developed by Arvida and tailored to the site at Copper Crest. Staff log maintenance and repair requests. This is checked by maintenance staff</w:t>
            </w:r>
            <w:r w:rsidRPr="00BE00C7">
              <w:rPr>
                <w:rFonts w:cs="Arial"/>
                <w:lang w:eastAsia="en-NZ"/>
              </w:rPr>
              <w:t xml:space="preserve"> daily and entered into the electronic system. The system tracks how many hours from when the data was entered to when the task is completed and at what stage the process is at, for example awaiting contractor. Essential contractors such as plumbers and electricians are available 24 hours as required. The warrant of fitness for the facility vans and electric car used to transport residents for outings are current.</w:t>
            </w:r>
          </w:p>
          <w:p w14:paraId="45A15112" w14:textId="77777777" w:rsidR="00111B69" w:rsidRPr="00BE00C7" w:rsidRDefault="00111B69" w:rsidP="00BE00C7">
            <w:pPr>
              <w:pStyle w:val="OutcomeDescription"/>
              <w:spacing w:before="120" w:after="120"/>
              <w:rPr>
                <w:rFonts w:cs="Arial"/>
                <w:lang w:eastAsia="en-NZ"/>
              </w:rPr>
            </w:pPr>
            <w:r w:rsidRPr="00BE00C7">
              <w:rPr>
                <w:rFonts w:cs="Arial"/>
                <w:lang w:eastAsia="en-NZ"/>
              </w:rPr>
              <w:t>The care centre is across three levels and is divided into five households; Lavender (dementia), Kauri, Tui, Manua, and Kereru. The secure dementia unit is on the ground floor. The dementia unit has a secure and well-appointed garden with outdoor seating and shade. There is safe access to all communal areas.</w:t>
            </w:r>
          </w:p>
          <w:p w14:paraId="58AFFC13"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Each household has a lounge, dining room, conservatory, and domestic style kitchen. There are lifts between the floors. The physical environment supports the independence of the residents. Corridors have safety ledges (instead of rails) and promote safe mobility with the use of mobility aids. Residents were observed moving freely in their respective households with mobility aids. There </w:t>
            </w:r>
            <w:r w:rsidRPr="00BE00C7">
              <w:rPr>
                <w:rFonts w:cs="Arial"/>
                <w:lang w:eastAsia="en-NZ"/>
              </w:rPr>
              <w:lastRenderedPageBreak/>
              <w:t>is adequate space in the rest home and hospital units for safe manoeuvring of hoists within bedrooms and communal areas. All rooms have ensuites that are spacious and safely accessible with the use of a hoist, as observed on the day of audit. There is a call bell at the head of each bed space and in the ensuites.</w:t>
            </w:r>
          </w:p>
          <w:p w14:paraId="72664B40" w14:textId="77777777" w:rsidR="00111B69" w:rsidRPr="00BE00C7" w:rsidRDefault="00111B69" w:rsidP="00BE00C7">
            <w:pPr>
              <w:pStyle w:val="OutcomeDescription"/>
              <w:spacing w:before="120" w:after="120"/>
              <w:rPr>
                <w:rFonts w:cs="Arial"/>
                <w:lang w:eastAsia="en-NZ"/>
              </w:rPr>
            </w:pPr>
            <w:r w:rsidRPr="00BE00C7">
              <w:rPr>
                <w:rFonts w:cs="Arial"/>
                <w:lang w:eastAsia="en-NZ"/>
              </w:rPr>
              <w:t>All resident rooms have external windows to provide natural light and have appropriate ventilation and individually controlled heating and cooling. There are comfortable lounges and seating for communal gatherings and activities at the facility. Quiet spaces for residents and their family/whānau to utilise are available inside and outside. Furniture is well maintained, and seating is appropriate for the residents. Residents’ rooms are personalised according to the resident’s preference. The environment, art</w:t>
            </w:r>
            <w:r w:rsidRPr="00BE00C7">
              <w:rPr>
                <w:rFonts w:cs="Arial"/>
                <w:lang w:eastAsia="en-NZ"/>
              </w:rPr>
              <w:t xml:space="preserve"> and decor are inclusive of peoples’ cultures and supports cultural practices. There are nurses’ hubs in each household.</w:t>
            </w:r>
          </w:p>
          <w:p w14:paraId="5961DB19"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On each floor there are private areas or quiet rooms for residents and visitors to enjoy. All the hand washing areas have free flowing soap and paper towels in the toilet areas, sluice rooms, medication rooms and kitchen. The grounds and external areas were well maintained. External areas are independently accessible for residents in the rest home and hospital. Residents interviewed reported they were able to move around the facility and staff assisted them when required. </w:t>
            </w:r>
          </w:p>
          <w:p w14:paraId="1A1F29DF" w14:textId="77777777" w:rsidR="00111B69" w:rsidRPr="00BE00C7" w:rsidRDefault="00111B69" w:rsidP="00BE00C7">
            <w:pPr>
              <w:pStyle w:val="OutcomeDescription"/>
              <w:spacing w:before="120" w:after="120"/>
              <w:rPr>
                <w:rFonts w:cs="Arial"/>
                <w:lang w:eastAsia="en-NZ"/>
              </w:rPr>
            </w:pPr>
            <w:r w:rsidRPr="00BE00C7">
              <w:rPr>
                <w:rFonts w:cs="Arial"/>
                <w:lang w:eastAsia="en-NZ"/>
              </w:rPr>
              <w:t>The service has no current plans to build or extend the care centre. Residents and family/whānau interviewed expressed a high level of satisfaction with the environment.</w:t>
            </w:r>
          </w:p>
          <w:p w14:paraId="3896170B" w14:textId="77777777" w:rsidR="00111B69" w:rsidRPr="00BE00C7" w:rsidRDefault="00111B69" w:rsidP="00BE00C7">
            <w:pPr>
              <w:pStyle w:val="OutcomeDescription"/>
              <w:spacing w:before="120" w:after="120"/>
              <w:rPr>
                <w:rFonts w:cs="Arial"/>
                <w:lang w:eastAsia="en-NZ"/>
              </w:rPr>
            </w:pPr>
          </w:p>
        </w:tc>
      </w:tr>
      <w:tr w:rsidR="00A35885" w14:paraId="48367C02" w14:textId="77777777">
        <w:tc>
          <w:tcPr>
            <w:tcW w:w="0" w:type="auto"/>
          </w:tcPr>
          <w:p w14:paraId="7D3D887A"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CA9BA1D" w14:textId="77777777" w:rsidR="00111B69" w:rsidRPr="00BE00C7" w:rsidRDefault="00111B69"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w:t>
            </w:r>
            <w:r w:rsidRPr="00BE00C7">
              <w:rPr>
                <w:rFonts w:cs="Arial"/>
                <w:lang w:eastAsia="en-NZ"/>
              </w:rPr>
              <w:t>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655C5DF" w14:textId="77777777" w:rsidR="00111B69" w:rsidRPr="00BE00C7" w:rsidRDefault="00111B69" w:rsidP="00BE00C7">
            <w:pPr>
              <w:pStyle w:val="OutcomeDescription"/>
              <w:spacing w:before="120" w:after="120"/>
              <w:rPr>
                <w:rFonts w:cs="Arial"/>
                <w:lang w:eastAsia="en-NZ"/>
              </w:rPr>
            </w:pPr>
          </w:p>
        </w:tc>
        <w:tc>
          <w:tcPr>
            <w:tcW w:w="0" w:type="auto"/>
          </w:tcPr>
          <w:p w14:paraId="3394E5F6"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7246E20F"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A fire evacuation plan is in place that has been approved by the New Zealand Fire Service, dated 30 August 2023. A fire evacuation drill is repeated six-monthly with the last </w:t>
            </w:r>
            <w:r w:rsidRPr="00BE00C7">
              <w:rPr>
                <w:rFonts w:cs="Arial"/>
                <w:lang w:eastAsia="en-NZ"/>
              </w:rPr>
              <w:t xml:space="preserve">one being held on 3 July 2024. There are emergency management plans in place to </w:t>
            </w:r>
            <w:r w:rsidRPr="00BE00C7">
              <w:rPr>
                <w:rFonts w:cs="Arial"/>
                <w:lang w:eastAsia="en-NZ"/>
              </w:rPr>
              <w:lastRenderedPageBreak/>
              <w:t>ensure health, civil defence and other emergencies are included. The maintenance manager checks the civil defence supplies monthly. Arvida Copper Crest is in the process of obtaining a generator. An email was sighted that showed a quotation for this. There is sufficient food stocks for three days if needed.</w:t>
            </w:r>
          </w:p>
          <w:p w14:paraId="245B5588"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There are adequate supplies in the event of an emergency including 700 litres of stored water and three barbeques for cooking. Emergency management is included in staff </w:t>
            </w:r>
            <w:r w:rsidRPr="00BE00C7">
              <w:rPr>
                <w:rFonts w:cs="Arial"/>
                <w:lang w:eastAsia="en-NZ"/>
              </w:rPr>
              <w:t>orientation and external contractor orientation. It is also ongoing as part of the education plan. There is a first aid trained staff member on duty 24/7 including when taking residents on outings. The call bell system is monitored for response times. Call bells are in each bedroom and ensuite. Indicator lights are displayed above resident doors and on attenuating panels in hallways to alert care staff to who requires assistance. Residents were observed to have their call bells in close proximity. Residents</w:t>
            </w:r>
            <w:r w:rsidRPr="00BE00C7">
              <w:rPr>
                <w:rFonts w:cs="Arial"/>
                <w:lang w:eastAsia="en-NZ"/>
              </w:rPr>
              <w:t xml:space="preserve"> and families interviewed confirmed that call bells are answered in a timely manner. The building is secure after hours, staff complete security checks at night. Visitors and contractors are informed of what to do in the event the fire alarm sounds as observed on the day of the audit.</w:t>
            </w:r>
          </w:p>
          <w:p w14:paraId="5EED1473" w14:textId="77777777" w:rsidR="00111B69" w:rsidRPr="00BE00C7" w:rsidRDefault="00111B69" w:rsidP="00BE00C7">
            <w:pPr>
              <w:pStyle w:val="OutcomeDescription"/>
              <w:spacing w:before="120" w:after="120"/>
              <w:rPr>
                <w:rFonts w:cs="Arial"/>
                <w:lang w:eastAsia="en-NZ"/>
              </w:rPr>
            </w:pPr>
          </w:p>
        </w:tc>
      </w:tr>
      <w:tr w:rsidR="00A35885" w14:paraId="2C5475FF" w14:textId="77777777">
        <w:tc>
          <w:tcPr>
            <w:tcW w:w="0" w:type="auto"/>
          </w:tcPr>
          <w:p w14:paraId="6D4038B5"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Subsection 5.1: Governance</w:t>
            </w:r>
          </w:p>
          <w:p w14:paraId="53CC6BBE" w14:textId="77777777" w:rsidR="00111B69" w:rsidRPr="00BE00C7" w:rsidRDefault="00111B69"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44E38C1" w14:textId="77777777" w:rsidR="00111B69" w:rsidRPr="00BE00C7" w:rsidRDefault="00111B69" w:rsidP="00BE00C7">
            <w:pPr>
              <w:pStyle w:val="OutcomeDescription"/>
              <w:spacing w:before="120" w:after="120"/>
              <w:rPr>
                <w:rFonts w:cs="Arial"/>
                <w:lang w:eastAsia="en-NZ"/>
              </w:rPr>
            </w:pPr>
          </w:p>
        </w:tc>
        <w:tc>
          <w:tcPr>
            <w:tcW w:w="0" w:type="auto"/>
          </w:tcPr>
          <w:p w14:paraId="27E43110"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783AEA55" w14:textId="77777777" w:rsidR="00111B69" w:rsidRPr="00BE00C7" w:rsidRDefault="00111B69" w:rsidP="00BE00C7">
            <w:pPr>
              <w:pStyle w:val="OutcomeDescription"/>
              <w:spacing w:before="120" w:after="120"/>
              <w:rPr>
                <w:rFonts w:cs="Arial"/>
                <w:lang w:eastAsia="en-NZ"/>
              </w:rPr>
            </w:pPr>
            <w:r w:rsidRPr="00BE00C7">
              <w:rPr>
                <w:rFonts w:cs="Arial"/>
                <w:lang w:eastAsia="en-NZ"/>
              </w:rPr>
              <w:t>The clinical manager (registered nurse) oversees infection control and prevention across the service. The job description outlines the responsibility of the role. The infection control and antimicrobial stewardship (AMS) programme, its content and detail, is appropriate for the size, complexity and degree of risk associated with the service. Infection control is linked into the electronic quality risk and incident reporting system. The infection control programme is reviewed annually by Arvida Group support</w:t>
            </w:r>
            <w:r w:rsidRPr="00BE00C7">
              <w:rPr>
                <w:rFonts w:cs="Arial"/>
                <w:lang w:eastAsia="en-NZ"/>
              </w:rPr>
              <w:t xml:space="preserve"> office and then sent out to all facilities for review before being completed. There is an infection control steering group with representatives from sister facilities and they meet monthly to support all villages. Infection control audits are conducted. Infection rates are presented and discussed at quality, clinical and staff meetings. Infection control data is also sent to support office where it is reported regularly at board meetings. The data is benchmarked with other Arvida facilities. Results of ben</w:t>
            </w:r>
            <w:r w:rsidRPr="00BE00C7">
              <w:rPr>
                <w:rFonts w:cs="Arial"/>
                <w:lang w:eastAsia="en-NZ"/>
              </w:rPr>
              <w:t xml:space="preserve">chmarking are presented back to the facility electronically and </w:t>
            </w:r>
            <w:r w:rsidRPr="00BE00C7">
              <w:rPr>
                <w:rFonts w:cs="Arial"/>
                <w:lang w:eastAsia="en-NZ"/>
              </w:rPr>
              <w:lastRenderedPageBreak/>
              <w:t>results discussed with staff. This information is displayed on staff noticeboards. Infection control is part of the strategic and quality plans.</w:t>
            </w:r>
          </w:p>
          <w:p w14:paraId="073CAF93"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service has access to an infection prevention clinical nurse specialist from Arvida support office and the infection control specialist from Health New Zealand. Visitors are asked not to visit if unwell. There are hand sanitisers, plastic aprons, and gloves available throughout the facility. </w:t>
            </w:r>
          </w:p>
          <w:p w14:paraId="3E285512" w14:textId="77777777" w:rsidR="00111B69" w:rsidRPr="00BE00C7" w:rsidRDefault="00111B69" w:rsidP="00BE00C7">
            <w:pPr>
              <w:pStyle w:val="OutcomeDescription"/>
              <w:spacing w:before="120" w:after="120"/>
              <w:rPr>
                <w:rFonts w:cs="Arial"/>
                <w:lang w:eastAsia="en-NZ"/>
              </w:rPr>
            </w:pPr>
          </w:p>
        </w:tc>
      </w:tr>
      <w:tr w:rsidR="00A35885" w14:paraId="71536CB5" w14:textId="77777777">
        <w:tc>
          <w:tcPr>
            <w:tcW w:w="0" w:type="auto"/>
          </w:tcPr>
          <w:p w14:paraId="3F3F850A"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2DF9C77" w14:textId="77777777" w:rsidR="00111B69" w:rsidRPr="00BE00C7" w:rsidRDefault="00111B69"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7822DD0" w14:textId="77777777" w:rsidR="00111B69" w:rsidRPr="00BE00C7" w:rsidRDefault="00111B69" w:rsidP="00BE00C7">
            <w:pPr>
              <w:pStyle w:val="OutcomeDescription"/>
              <w:spacing w:before="120" w:after="120"/>
              <w:rPr>
                <w:rFonts w:cs="Arial"/>
                <w:lang w:eastAsia="en-NZ"/>
              </w:rPr>
            </w:pPr>
          </w:p>
        </w:tc>
        <w:tc>
          <w:tcPr>
            <w:tcW w:w="0" w:type="auto"/>
          </w:tcPr>
          <w:p w14:paraId="38246154"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66B6990C" w14:textId="77777777" w:rsidR="00111B69" w:rsidRPr="00BE00C7" w:rsidRDefault="00111B69" w:rsidP="00BE00C7">
            <w:pPr>
              <w:pStyle w:val="OutcomeDescription"/>
              <w:spacing w:before="120" w:after="120"/>
              <w:rPr>
                <w:rFonts w:cs="Arial"/>
                <w:lang w:eastAsia="en-NZ"/>
              </w:rPr>
            </w:pPr>
            <w:r w:rsidRPr="00BE00C7">
              <w:rPr>
                <w:rFonts w:cs="Arial"/>
                <w:lang w:eastAsia="en-NZ"/>
              </w:rPr>
              <w:t>The infection control programme links to the business and quality plans. The implementation of the infection programme of 2023 has been reviewed in January 2024. The service has an outbreak plan and pandemic response plan (including Covid-19) which details the preparation and planning for the management of lockdown, screening, transfers into the facility and positive tests. There is a facility infection control team which meets bi-monthly (meeting minutes sighted).</w:t>
            </w:r>
          </w:p>
          <w:p w14:paraId="061A50C8"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infection control coordinator has completed online education related to their role through Health New Zealand. There is good external support from the GP, laboratory, Arvida Group support office and Health New Zealand infection control nurse specialist. There is ample personal protective equipment (PPE). Extra PPE equipment is available as required. </w:t>
            </w:r>
          </w:p>
          <w:p w14:paraId="3A99BFF4"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training, and education of staff. Policies and procedures are reviewed by Arvida Group support office in consultation with infection control coordinators. Policies are available to staff. </w:t>
            </w:r>
          </w:p>
          <w:p w14:paraId="3765CF6E"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and the service has incorporated monitoring through their internal audit process. All shared equipment is appropriately disinfected between use. Single use items are not reused. The service incorporates te reo information around infection control for Māori residents and works in partnership with Māori for the </w:t>
            </w:r>
            <w:r w:rsidRPr="00BE00C7">
              <w:rPr>
                <w:rFonts w:cs="Arial"/>
                <w:lang w:eastAsia="en-NZ"/>
              </w:rPr>
              <w:lastRenderedPageBreak/>
              <w:t xml:space="preserve">protection of culturally safe practices in infection prevention that acknowledge the spirit of Te Tiriti. </w:t>
            </w:r>
          </w:p>
          <w:p w14:paraId="57D375FE" w14:textId="77777777" w:rsidR="00111B69" w:rsidRPr="00BE00C7" w:rsidRDefault="00111B69"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(Altura). There has been additional training and education around Covid-19 and staff were informed of any changes by noticeboards, handovers, and emails. Staff have completed handwashing and personal protective equipment competencies. Resident education occurs as part of the daily cares. Resi</w:t>
            </w:r>
            <w:r w:rsidRPr="00BE00C7">
              <w:rPr>
                <w:rFonts w:cs="Arial"/>
                <w:lang w:eastAsia="en-NZ"/>
              </w:rPr>
              <w:t>dents and family/whānau were kept informed and updated on Covid-19 policies and procedures through resident meetings, newsletters, and emails. Posters regarding good infection control practice were displayed in English and te reo.</w:t>
            </w:r>
          </w:p>
          <w:p w14:paraId="6662729A"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There are policies that include aseptic techniques for the management of catheters and wounds to </w:t>
            </w:r>
            <w:r w:rsidRPr="00BE00C7">
              <w:rPr>
                <w:rFonts w:cs="Arial"/>
                <w:lang w:eastAsia="en-NZ"/>
              </w:rPr>
              <w:t>minimise healthcare acquired infections (HAI). The Head of Clinical Governance and the infection control coordinator are involved in the procurement of high-quality consumables, personal protective equipment (PPE), and wound care products with the support from the clinical manager, village manager and Arvida Group. The Arvida Group infection control specialist provides consultation during the design of any new building or when significant changes are proposed to an existing facility.</w:t>
            </w:r>
          </w:p>
          <w:p w14:paraId="69D37C46" w14:textId="77777777" w:rsidR="00111B69" w:rsidRPr="00BE00C7" w:rsidRDefault="00111B69" w:rsidP="00BE00C7">
            <w:pPr>
              <w:pStyle w:val="OutcomeDescription"/>
              <w:spacing w:before="120" w:after="120"/>
              <w:rPr>
                <w:rFonts w:cs="Arial"/>
                <w:lang w:eastAsia="en-NZ"/>
              </w:rPr>
            </w:pPr>
          </w:p>
        </w:tc>
      </w:tr>
      <w:tr w:rsidR="00A35885" w14:paraId="02A0B962" w14:textId="77777777">
        <w:tc>
          <w:tcPr>
            <w:tcW w:w="0" w:type="auto"/>
          </w:tcPr>
          <w:p w14:paraId="287E4F72"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0BA8D47" w14:textId="77777777" w:rsidR="00111B69" w:rsidRPr="00BE00C7" w:rsidRDefault="00111B69"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FCA8D7F" w14:textId="77777777" w:rsidR="00111B69" w:rsidRPr="00BE00C7" w:rsidRDefault="00111B69" w:rsidP="00BE00C7">
            <w:pPr>
              <w:pStyle w:val="OutcomeDescription"/>
              <w:spacing w:before="120" w:after="120"/>
              <w:rPr>
                <w:rFonts w:cs="Arial"/>
                <w:lang w:eastAsia="en-NZ"/>
              </w:rPr>
            </w:pPr>
          </w:p>
        </w:tc>
        <w:tc>
          <w:tcPr>
            <w:tcW w:w="0" w:type="auto"/>
          </w:tcPr>
          <w:p w14:paraId="78A31D85"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24B07619" w14:textId="77777777" w:rsidR="00111B69" w:rsidRPr="00BE00C7" w:rsidRDefault="00111B69"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clinical and staff meetings as well as Arvida Group support office. Prophylactic use of antibiotics is not considered to be app</w:t>
            </w:r>
            <w:r w:rsidRPr="00BE00C7">
              <w:rPr>
                <w:rFonts w:cs="Arial"/>
                <w:lang w:eastAsia="en-NZ"/>
              </w:rPr>
              <w:t xml:space="preserve">ropriate and is discouraged. Reports are collated from the electronic medication system. The infection control coordinator works in partnership with the GP to ensure best practice strategies are employed at Copper Crest Living </w:t>
            </w:r>
            <w:r w:rsidRPr="00BE00C7">
              <w:rPr>
                <w:rFonts w:cs="Arial"/>
                <w:lang w:eastAsia="en-NZ"/>
              </w:rPr>
              <w:lastRenderedPageBreak/>
              <w:t xml:space="preserve">Well. </w:t>
            </w:r>
          </w:p>
          <w:p w14:paraId="20AF5D73" w14:textId="77777777" w:rsidR="00111B69" w:rsidRPr="00BE00C7" w:rsidRDefault="00111B69" w:rsidP="00BE00C7">
            <w:pPr>
              <w:pStyle w:val="OutcomeDescription"/>
              <w:spacing w:before="120" w:after="120"/>
              <w:rPr>
                <w:rFonts w:cs="Arial"/>
                <w:lang w:eastAsia="en-NZ"/>
              </w:rPr>
            </w:pPr>
          </w:p>
        </w:tc>
      </w:tr>
      <w:tr w:rsidR="00A35885" w14:paraId="27620F1F" w14:textId="77777777">
        <w:tc>
          <w:tcPr>
            <w:tcW w:w="0" w:type="auto"/>
          </w:tcPr>
          <w:p w14:paraId="6AF48558"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41AC6946" w14:textId="77777777" w:rsidR="00111B69" w:rsidRPr="00BE00C7" w:rsidRDefault="00111B69"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E4F66FE" w14:textId="77777777" w:rsidR="00111B69" w:rsidRPr="00BE00C7" w:rsidRDefault="00111B69" w:rsidP="00BE00C7">
            <w:pPr>
              <w:pStyle w:val="OutcomeDescription"/>
              <w:spacing w:before="120" w:after="120"/>
              <w:rPr>
                <w:rFonts w:cs="Arial"/>
                <w:lang w:eastAsia="en-NZ"/>
              </w:rPr>
            </w:pPr>
          </w:p>
        </w:tc>
        <w:tc>
          <w:tcPr>
            <w:tcW w:w="0" w:type="auto"/>
          </w:tcPr>
          <w:p w14:paraId="172ED978"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7B599719" w14:textId="77777777" w:rsidR="00111B69" w:rsidRPr="00BE00C7" w:rsidRDefault="00111B69"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manual. Monthly infection data is collected for all infections based on signs, symptoms, and definition of infection. Infections are entered into the infection register on the electronic risk management system. Surveillance of all infections (including organisms) is entered onto a monthly infection summary. This data is monitored and analysed for trends, monthly and annually. Infection con</w:t>
            </w:r>
            <w:r w:rsidRPr="00BE00C7">
              <w:rPr>
                <w:rFonts w:cs="Arial"/>
                <w:lang w:eastAsia="en-NZ"/>
              </w:rPr>
              <w:t xml:space="preserve">trol surveillance is discussed at quality, clinical and staff meetings and sent to Arvida Group support office. Meeting minutes and graphs are displayed for staff. Action plans are required for any infection rates of concern. Infections of concern is reported to the board. Ethnicity data analysis around infections are captured by Arvida Group. Internal infection control audits are completed with corrective actions for areas of improvement. </w:t>
            </w:r>
          </w:p>
          <w:p w14:paraId="3706975D"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service receives email notifications and alerts from Arvida head office and Health New Zealand for any community concerns. There have been two outbreaks since the previous audit (Norovirus in December 2023, and Covid-19 in April 2024) which were managed appropriately. There were ready-made isolation kits and posters available to ensure consistency. Affected residents were isolated, and staff who were in close contact with these residents wore PPE. Residents and staff completed rapid antigen tests (RAT) </w:t>
            </w:r>
            <w:r w:rsidRPr="00BE00C7">
              <w:rPr>
                <w:rFonts w:cs="Arial"/>
                <w:lang w:eastAsia="en-NZ"/>
              </w:rPr>
              <w:t xml:space="preserve">during the Covid-19 outbreak. Families were kept informed by phone or email. The care centre remained open; however, visitors were requested to sign in, limit their movements and wear appropriate PPE where necessary. </w:t>
            </w:r>
          </w:p>
          <w:p w14:paraId="12E9993D" w14:textId="77777777" w:rsidR="00111B69" w:rsidRPr="00BE00C7" w:rsidRDefault="00111B69" w:rsidP="00BE00C7">
            <w:pPr>
              <w:pStyle w:val="OutcomeDescription"/>
              <w:spacing w:before="120" w:after="120"/>
              <w:rPr>
                <w:rFonts w:cs="Arial"/>
                <w:lang w:eastAsia="en-NZ"/>
              </w:rPr>
            </w:pPr>
            <w:r w:rsidRPr="00BE00C7">
              <w:rPr>
                <w:rFonts w:cs="Arial"/>
                <w:lang w:eastAsia="en-NZ"/>
              </w:rPr>
              <w:t>The facility followed their pandemic plan, reported the outbreak to Public Health, distributed communication, and completed outbreak logs. Outbreak meetings and debrief meetings were held afterwards to improve on ‘lessons learned’.</w:t>
            </w:r>
          </w:p>
          <w:p w14:paraId="26A87375" w14:textId="77777777" w:rsidR="00111B69" w:rsidRPr="00BE00C7" w:rsidRDefault="00111B69" w:rsidP="00BE00C7">
            <w:pPr>
              <w:pStyle w:val="OutcomeDescription"/>
              <w:spacing w:before="120" w:after="120"/>
              <w:rPr>
                <w:rFonts w:cs="Arial"/>
                <w:lang w:eastAsia="en-NZ"/>
              </w:rPr>
            </w:pPr>
          </w:p>
        </w:tc>
      </w:tr>
      <w:tr w:rsidR="00A35885" w14:paraId="0D3DBAD8" w14:textId="77777777">
        <w:tc>
          <w:tcPr>
            <w:tcW w:w="0" w:type="auto"/>
          </w:tcPr>
          <w:p w14:paraId="77EAD3E7" w14:textId="77777777" w:rsidR="00111B69" w:rsidRPr="00BE00C7" w:rsidRDefault="00111B69" w:rsidP="00BE00C7">
            <w:pPr>
              <w:pStyle w:val="OutcomeDescription"/>
              <w:spacing w:before="120" w:after="120"/>
              <w:rPr>
                <w:rFonts w:cs="Arial"/>
                <w:lang w:eastAsia="en-NZ"/>
              </w:rPr>
            </w:pPr>
            <w:r w:rsidRPr="00BE00C7">
              <w:rPr>
                <w:rFonts w:cs="Arial"/>
                <w:lang w:eastAsia="en-NZ"/>
              </w:rPr>
              <w:t>Subsection 5.5: Environment</w:t>
            </w:r>
          </w:p>
          <w:p w14:paraId="06D0353D"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The people: I trust health care and support workers to maintain a hygienic environment. My feedback is sought on cleanliness within the environment.</w:t>
            </w:r>
            <w:r w:rsidRPr="00BE00C7">
              <w:rPr>
                <w:rFonts w:cs="Arial"/>
                <w:lang w:eastAsia="en-NZ"/>
              </w:rPr>
              <w:br/>
              <w:t xml:space="preserve">Te Tiriti: Māori are assured </w:t>
            </w:r>
            <w:r w:rsidRPr="00BE00C7">
              <w:rPr>
                <w:rFonts w:cs="Arial"/>
                <w:lang w:eastAsia="en-NZ"/>
              </w:rPr>
              <w:t>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C97236C" w14:textId="77777777" w:rsidR="00111B69" w:rsidRPr="00BE00C7" w:rsidRDefault="00111B69" w:rsidP="00BE00C7">
            <w:pPr>
              <w:pStyle w:val="OutcomeDescription"/>
              <w:spacing w:before="120" w:after="120"/>
              <w:rPr>
                <w:rFonts w:cs="Arial"/>
                <w:lang w:eastAsia="en-NZ"/>
              </w:rPr>
            </w:pPr>
          </w:p>
        </w:tc>
        <w:tc>
          <w:tcPr>
            <w:tcW w:w="0" w:type="auto"/>
          </w:tcPr>
          <w:p w14:paraId="4D36E443"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DFCC42"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There are policies regarding chemical safety, waste disposal, </w:t>
            </w:r>
            <w:r w:rsidRPr="00BE00C7">
              <w:rPr>
                <w:rFonts w:cs="Arial"/>
                <w:lang w:eastAsia="en-NZ"/>
              </w:rPr>
              <w:lastRenderedPageBreak/>
              <w:t>cleaning, and laundry practices. All chemicals were clearly labelled with manufacturer’s labels and stored in locked areas. Cleaning chemicals are kept in a locked cupboard and the trolleys are kept in a locked cupboard when not in use. Safety data sheets and product sheets are available. Sharp’s containers are available and meet the hazardous substances regulations for containers. Gloves, aprons, masks, and face shields are available for staff, and staff were observed to be wearing these as they carried ou</w:t>
            </w:r>
            <w:r w:rsidRPr="00BE00C7">
              <w:rPr>
                <w:rFonts w:cs="Arial"/>
                <w:lang w:eastAsia="en-NZ"/>
              </w:rPr>
              <w:t xml:space="preserve">t their duties on the days of audit. There is a sluice room in each area with sanitizers, a stainless-steel bench, a sink, and separate handwashing facilities. Goggles and other PPE are available. Staff have completed chemical safety training. Cleaning services are provided by dedicated staff seven days per week, and staff interviewed were knowledgeable around systems and processes related to hygiene, infection prevention and control. </w:t>
            </w:r>
          </w:p>
          <w:p w14:paraId="1DABEBBA" w14:textId="77777777" w:rsidR="00111B69" w:rsidRPr="00BE00C7" w:rsidRDefault="00111B69" w:rsidP="00BE00C7">
            <w:pPr>
              <w:pStyle w:val="OutcomeDescription"/>
              <w:spacing w:before="120" w:after="120"/>
              <w:rPr>
                <w:rFonts w:cs="Arial"/>
                <w:lang w:eastAsia="en-NZ"/>
              </w:rPr>
            </w:pPr>
            <w:r w:rsidRPr="00BE00C7">
              <w:rPr>
                <w:rFonts w:cs="Arial"/>
                <w:lang w:eastAsia="en-NZ"/>
              </w:rPr>
              <w:t>All laundry is completed on site. There are dedicated laundry staff seven days a week. There are clean and dirty entrances and a defined workflow. There are covered trolleys to transport the linen within the building. The linen cupboards were well stocked. Cleaning and laundry services are monitored through the internal auditing system and overseen by the infection control coordinator. The washing machines and dryers are checked and serviced regularly. The infection control coordinator provides support to m</w:t>
            </w:r>
            <w:r w:rsidRPr="00BE00C7">
              <w:rPr>
                <w:rFonts w:cs="Arial"/>
                <w:lang w:eastAsia="en-NZ"/>
              </w:rPr>
              <w:t>aintain a safe environment during construction, renovation, and maintenance activities.</w:t>
            </w:r>
          </w:p>
          <w:p w14:paraId="677EF9B0" w14:textId="77777777" w:rsidR="00111B69" w:rsidRPr="00BE00C7" w:rsidRDefault="00111B69" w:rsidP="00BE00C7">
            <w:pPr>
              <w:pStyle w:val="OutcomeDescription"/>
              <w:spacing w:before="120" w:after="120"/>
              <w:rPr>
                <w:rFonts w:cs="Arial"/>
                <w:lang w:eastAsia="en-NZ"/>
              </w:rPr>
            </w:pPr>
          </w:p>
        </w:tc>
      </w:tr>
      <w:tr w:rsidR="00A35885" w14:paraId="5A2AAF10" w14:textId="77777777">
        <w:tc>
          <w:tcPr>
            <w:tcW w:w="0" w:type="auto"/>
          </w:tcPr>
          <w:p w14:paraId="1435A525" w14:textId="77777777" w:rsidR="00111B69" w:rsidRPr="00BE00C7" w:rsidRDefault="00111B69"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90D4A84" w14:textId="77777777" w:rsidR="00111B69" w:rsidRPr="00BE00C7" w:rsidRDefault="00111B69"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DF08E22" w14:textId="77777777" w:rsidR="00111B69" w:rsidRPr="00BE00C7" w:rsidRDefault="00111B69" w:rsidP="00BE00C7">
            <w:pPr>
              <w:pStyle w:val="OutcomeDescription"/>
              <w:spacing w:before="120" w:after="120"/>
              <w:rPr>
                <w:rFonts w:cs="Arial"/>
                <w:lang w:eastAsia="en-NZ"/>
              </w:rPr>
            </w:pPr>
          </w:p>
        </w:tc>
        <w:tc>
          <w:tcPr>
            <w:tcW w:w="0" w:type="auto"/>
          </w:tcPr>
          <w:p w14:paraId="50898292" w14:textId="77777777" w:rsidR="00111B69" w:rsidRPr="00BE00C7" w:rsidRDefault="00111B69" w:rsidP="00BE00C7">
            <w:pPr>
              <w:pStyle w:val="OutcomeDescription"/>
              <w:spacing w:before="120" w:after="120"/>
              <w:rPr>
                <w:rFonts w:cs="Arial"/>
                <w:lang w:eastAsia="en-NZ"/>
              </w:rPr>
            </w:pPr>
            <w:r w:rsidRPr="00BE00C7">
              <w:rPr>
                <w:rFonts w:cs="Arial"/>
                <w:lang w:eastAsia="en-NZ"/>
              </w:rPr>
              <w:t>FA</w:t>
            </w:r>
          </w:p>
        </w:tc>
        <w:tc>
          <w:tcPr>
            <w:tcW w:w="0" w:type="auto"/>
          </w:tcPr>
          <w:p w14:paraId="4662FB2C" w14:textId="77777777" w:rsidR="00111B69" w:rsidRPr="00BE00C7" w:rsidRDefault="00111B69" w:rsidP="00BE00C7">
            <w:pPr>
              <w:pStyle w:val="OutcomeDescription"/>
              <w:spacing w:before="120" w:after="120"/>
              <w:rPr>
                <w:rFonts w:cs="Arial"/>
                <w:lang w:eastAsia="en-NZ"/>
              </w:rPr>
            </w:pPr>
            <w:r w:rsidRPr="00BE00C7">
              <w:rPr>
                <w:rFonts w:cs="Arial"/>
                <w:lang w:eastAsia="en-NZ"/>
              </w:rPr>
              <w:t>The service has a current restraint policy in place. Its aim is to maintain a restraint-free environment. The governance group demonstrated a commitment to this, supported by the management team. There is no use of restraint. Minutes of staff meetings show restraint is discussed and reported in management reports and presented to the Board.</w:t>
            </w:r>
          </w:p>
          <w:p w14:paraId="5E4AA28C"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policies and procedures reviewed meet the </w:t>
            </w:r>
            <w:r w:rsidRPr="00BE00C7">
              <w:rPr>
                <w:rFonts w:cs="Arial"/>
                <w:lang w:eastAsia="en-NZ"/>
              </w:rPr>
              <w:t xml:space="preserve">requirements of the Standard. A registered nurse is the restraint coordinator. They provide support and oversight should restraint be required in the future. There is a job description that outlines the role. Staff have been trained in </w:t>
            </w:r>
            <w:r w:rsidRPr="00BE00C7">
              <w:rPr>
                <w:rFonts w:cs="Arial"/>
                <w:lang w:eastAsia="en-NZ"/>
              </w:rPr>
              <w:lastRenderedPageBreak/>
              <w:t>the least restrictive practice, safe restraint practice, alternative culturally specific interventions, and de-escalation techniques as part of the education programme.</w:t>
            </w:r>
          </w:p>
          <w:p w14:paraId="704AAD59" w14:textId="77777777" w:rsidR="00111B69" w:rsidRPr="00BE00C7" w:rsidRDefault="00111B69" w:rsidP="00BE00C7">
            <w:pPr>
              <w:pStyle w:val="OutcomeDescription"/>
              <w:spacing w:before="120" w:after="120"/>
              <w:rPr>
                <w:rFonts w:cs="Arial"/>
                <w:lang w:eastAsia="en-NZ"/>
              </w:rPr>
            </w:pPr>
            <w:r w:rsidRPr="00BE00C7">
              <w:rPr>
                <w:rFonts w:cs="Arial"/>
                <w:lang w:eastAsia="en-NZ"/>
              </w:rPr>
              <w:t xml:space="preserve">The approval for any use of restraint in the first instance would be put forward to the clinical manager and village manager. The team would consider approval of any restraint, approval of the method of restraint, guidelines, education of staff, observations, and evaluation, and they would ensure that the correct equipment was used. </w:t>
            </w:r>
          </w:p>
          <w:p w14:paraId="7BE91D06" w14:textId="77777777" w:rsidR="00111B69" w:rsidRPr="00BE00C7" w:rsidRDefault="00111B69" w:rsidP="00BE00C7">
            <w:pPr>
              <w:pStyle w:val="OutcomeDescription"/>
              <w:spacing w:before="120" w:after="120"/>
              <w:rPr>
                <w:rFonts w:cs="Arial"/>
                <w:lang w:eastAsia="en-NZ"/>
              </w:rPr>
            </w:pPr>
            <w:r w:rsidRPr="00BE00C7">
              <w:rPr>
                <w:rFonts w:cs="Arial"/>
                <w:lang w:eastAsia="en-NZ"/>
              </w:rPr>
              <w:t>Restraint protocols are covered in the facility's orientation programme and the education programme (including annual restraint competency). Restraint use is identified as part of the quality programme and reported at all levels of the organisation.</w:t>
            </w:r>
          </w:p>
          <w:p w14:paraId="390B6C63" w14:textId="77777777" w:rsidR="00111B69" w:rsidRPr="00BE00C7" w:rsidRDefault="00111B69" w:rsidP="00BE00C7">
            <w:pPr>
              <w:pStyle w:val="OutcomeDescription"/>
              <w:spacing w:before="120" w:after="120"/>
              <w:rPr>
                <w:rFonts w:cs="Arial"/>
                <w:lang w:eastAsia="en-NZ"/>
              </w:rPr>
            </w:pPr>
            <w:r w:rsidRPr="00BE00C7">
              <w:rPr>
                <w:rFonts w:cs="Arial"/>
                <w:lang w:eastAsia="en-NZ"/>
              </w:rPr>
              <w:t>The commitment to staff training is ongoing. In the last year, all staff have completed annual training on de-escalation and managing challenging behaviour, ensuring they are prepared for any situation that may arise.</w:t>
            </w:r>
          </w:p>
          <w:p w14:paraId="0649D986" w14:textId="77777777" w:rsidR="00111B69" w:rsidRPr="00BE00C7" w:rsidRDefault="00111B69" w:rsidP="00BE00C7">
            <w:pPr>
              <w:pStyle w:val="OutcomeDescription"/>
              <w:spacing w:before="120" w:after="120"/>
              <w:rPr>
                <w:rFonts w:cs="Arial"/>
                <w:lang w:eastAsia="en-NZ"/>
              </w:rPr>
            </w:pPr>
          </w:p>
        </w:tc>
      </w:tr>
    </w:tbl>
    <w:p w14:paraId="328ADA4C" w14:textId="77777777" w:rsidR="00111B69" w:rsidRPr="00BE00C7" w:rsidRDefault="00111B69" w:rsidP="00BE00C7">
      <w:pPr>
        <w:pStyle w:val="OutcomeDescription"/>
        <w:spacing w:before="120" w:after="120"/>
        <w:rPr>
          <w:rFonts w:cs="Arial"/>
          <w:lang w:eastAsia="en-NZ"/>
        </w:rPr>
      </w:pPr>
      <w:bookmarkStart w:id="56" w:name="AuditSummaryAttainment"/>
      <w:bookmarkEnd w:id="56"/>
    </w:p>
    <w:p w14:paraId="13E55527" w14:textId="77777777" w:rsidR="00111B69" w:rsidRDefault="00111B69">
      <w:pPr>
        <w:pStyle w:val="Heading1"/>
        <w:rPr>
          <w:rFonts w:cs="Arial"/>
        </w:rPr>
      </w:pPr>
      <w:r>
        <w:rPr>
          <w:rFonts w:cs="Arial"/>
        </w:rPr>
        <w:lastRenderedPageBreak/>
        <w:t xml:space="preserve">Specific results for criterion where corrective actions are </w:t>
      </w:r>
      <w:r>
        <w:rPr>
          <w:rFonts w:cs="Arial"/>
        </w:rPr>
        <w:t>required</w:t>
      </w:r>
    </w:p>
    <w:p w14:paraId="60006DD7" w14:textId="77777777" w:rsidR="00111B69" w:rsidRDefault="00111B69">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B82C58C" w14:textId="77777777" w:rsidR="00111B69" w:rsidRDefault="00111B69">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2E149AD" w14:textId="77777777" w:rsidR="00111B69" w:rsidRDefault="00111B69">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35885" w14:paraId="7590DA4E" w14:textId="77777777">
        <w:tc>
          <w:tcPr>
            <w:tcW w:w="0" w:type="auto"/>
          </w:tcPr>
          <w:p w14:paraId="07D44612" w14:textId="77777777" w:rsidR="00111B69" w:rsidRPr="00BE00C7" w:rsidRDefault="00111B69" w:rsidP="00BE00C7">
            <w:pPr>
              <w:pStyle w:val="OutcomeDescription"/>
              <w:spacing w:before="120" w:after="120"/>
              <w:rPr>
                <w:rFonts w:cs="Arial"/>
                <w:lang w:eastAsia="en-NZ"/>
              </w:rPr>
            </w:pPr>
            <w:r w:rsidRPr="00BE00C7">
              <w:rPr>
                <w:rFonts w:cs="Arial"/>
                <w:lang w:eastAsia="en-NZ"/>
              </w:rPr>
              <w:t>No data to display</w:t>
            </w:r>
          </w:p>
        </w:tc>
      </w:tr>
    </w:tbl>
    <w:p w14:paraId="5113E443" w14:textId="77777777" w:rsidR="00111B69" w:rsidRPr="00BE00C7" w:rsidRDefault="00111B69" w:rsidP="00BE00C7">
      <w:pPr>
        <w:pStyle w:val="OutcomeDescription"/>
        <w:spacing w:before="120" w:after="120"/>
        <w:rPr>
          <w:rFonts w:cs="Arial"/>
          <w:lang w:eastAsia="en-NZ"/>
        </w:rPr>
      </w:pPr>
      <w:bookmarkStart w:id="57" w:name="AuditSummaryCAMCriterion"/>
      <w:bookmarkEnd w:id="57"/>
    </w:p>
    <w:p w14:paraId="0328B6FC" w14:textId="77777777" w:rsidR="00111B69" w:rsidRDefault="00111B69">
      <w:pPr>
        <w:pStyle w:val="Heading1"/>
        <w:rPr>
          <w:rFonts w:cs="Arial"/>
        </w:rPr>
      </w:pPr>
      <w:r>
        <w:rPr>
          <w:rFonts w:cs="Arial"/>
        </w:rPr>
        <w:lastRenderedPageBreak/>
        <w:t>Specific results for criterion where a continuous improvement has been recorded</w:t>
      </w:r>
    </w:p>
    <w:p w14:paraId="4C009074" w14:textId="77777777" w:rsidR="00111B69" w:rsidRDefault="00111B69">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CB280BE" w14:textId="77777777" w:rsidR="00111B69" w:rsidRDefault="00111B69">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701D841" w14:textId="77777777" w:rsidR="00111B69" w:rsidRDefault="00111B69">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35885" w14:paraId="46A10DAC" w14:textId="77777777">
        <w:tc>
          <w:tcPr>
            <w:tcW w:w="0" w:type="auto"/>
          </w:tcPr>
          <w:p w14:paraId="1CD230A6" w14:textId="77777777" w:rsidR="00111B69" w:rsidRPr="00BE00C7" w:rsidRDefault="00111B69" w:rsidP="00BE00C7">
            <w:pPr>
              <w:pStyle w:val="OutcomeDescription"/>
              <w:spacing w:before="120" w:after="120"/>
              <w:rPr>
                <w:rFonts w:cs="Arial"/>
                <w:lang w:eastAsia="en-NZ"/>
              </w:rPr>
            </w:pPr>
            <w:r w:rsidRPr="00BE00C7">
              <w:rPr>
                <w:rFonts w:cs="Arial"/>
                <w:lang w:eastAsia="en-NZ"/>
              </w:rPr>
              <w:t>No data to display</w:t>
            </w:r>
          </w:p>
        </w:tc>
      </w:tr>
    </w:tbl>
    <w:p w14:paraId="2B965042" w14:textId="77777777" w:rsidR="00111B69" w:rsidRPr="00BE00C7" w:rsidRDefault="00111B69" w:rsidP="00BE00C7">
      <w:pPr>
        <w:pStyle w:val="OutcomeDescription"/>
        <w:spacing w:before="120" w:after="120"/>
        <w:rPr>
          <w:rFonts w:cs="Arial"/>
          <w:lang w:eastAsia="en-NZ"/>
        </w:rPr>
      </w:pPr>
      <w:bookmarkStart w:id="58" w:name="AuditSummaryCAMImprovment"/>
      <w:bookmarkEnd w:id="58"/>
    </w:p>
    <w:p w14:paraId="4091C679" w14:textId="77777777" w:rsidR="00111B69" w:rsidRDefault="00111B69">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55EA9" w14:textId="77777777" w:rsidR="00111B69" w:rsidRDefault="00111B69">
      <w:r>
        <w:separator/>
      </w:r>
    </w:p>
  </w:endnote>
  <w:endnote w:type="continuationSeparator" w:id="0">
    <w:p w14:paraId="49E95C29" w14:textId="77777777" w:rsidR="00111B69" w:rsidRDefault="0011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4FB4" w14:textId="77777777" w:rsidR="00111B69" w:rsidRDefault="00111B69">
    <w:pPr>
      <w:pStyle w:val="Footer"/>
    </w:pPr>
  </w:p>
  <w:p w14:paraId="4EAC6603" w14:textId="77777777" w:rsidR="00111B69" w:rsidRDefault="00111B69"/>
  <w:p w14:paraId="46D24EB7" w14:textId="77777777" w:rsidR="00111B69" w:rsidRDefault="00111B69"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3B91" w14:textId="77777777" w:rsidR="00111B69" w:rsidRPr="000B00BC" w:rsidRDefault="00111B69"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Copper Crest Living Well Limited - Copper Crest Living Well Limited</w:t>
    </w:r>
    <w:bookmarkEnd w:id="59"/>
    <w:r>
      <w:rPr>
        <w:rFonts w:cs="Arial"/>
        <w:sz w:val="16"/>
        <w:szCs w:val="20"/>
      </w:rPr>
      <w:tab/>
      <w:t xml:space="preserve">Date of Audit: </w:t>
    </w:r>
    <w:bookmarkStart w:id="60" w:name="AuditStartDate1"/>
    <w:r>
      <w:rPr>
        <w:rFonts w:cs="Arial"/>
        <w:sz w:val="16"/>
        <w:szCs w:val="20"/>
      </w:rPr>
      <w:t>10 December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FE5E133" w14:textId="77777777" w:rsidR="00111B69" w:rsidRDefault="00111B6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05F7" w14:textId="77777777" w:rsidR="00111B69" w:rsidRDefault="00111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7E946" w14:textId="77777777" w:rsidR="00111B69" w:rsidRDefault="00111B69">
      <w:r>
        <w:separator/>
      </w:r>
    </w:p>
  </w:footnote>
  <w:footnote w:type="continuationSeparator" w:id="0">
    <w:p w14:paraId="2DDDD4D0" w14:textId="77777777" w:rsidR="00111B69" w:rsidRDefault="00111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0F07" w14:textId="77777777" w:rsidR="00111B69" w:rsidRDefault="00111B69">
    <w:pPr>
      <w:pStyle w:val="Header"/>
    </w:pPr>
  </w:p>
  <w:p w14:paraId="5B8A5629" w14:textId="77777777" w:rsidR="00111B69" w:rsidRDefault="00111B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C4B85" w14:textId="77777777" w:rsidR="00111B69" w:rsidRDefault="00111B69">
    <w:pPr>
      <w:pStyle w:val="Header"/>
    </w:pPr>
  </w:p>
  <w:p w14:paraId="6BAA11CB" w14:textId="77777777" w:rsidR="00111B69" w:rsidRDefault="00111B6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5198" w14:textId="77777777" w:rsidR="00111B69" w:rsidRDefault="00111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434529C">
      <w:start w:val="1"/>
      <w:numFmt w:val="decimal"/>
      <w:lvlText w:val="%1."/>
      <w:lvlJc w:val="left"/>
      <w:pPr>
        <w:ind w:left="360" w:hanging="360"/>
      </w:pPr>
    </w:lvl>
    <w:lvl w:ilvl="1" w:tplc="8E06F06C" w:tentative="1">
      <w:start w:val="1"/>
      <w:numFmt w:val="lowerLetter"/>
      <w:lvlText w:val="%2."/>
      <w:lvlJc w:val="left"/>
      <w:pPr>
        <w:ind w:left="1080" w:hanging="360"/>
      </w:pPr>
    </w:lvl>
    <w:lvl w:ilvl="2" w:tplc="E20C9E86" w:tentative="1">
      <w:start w:val="1"/>
      <w:numFmt w:val="lowerRoman"/>
      <w:lvlText w:val="%3."/>
      <w:lvlJc w:val="right"/>
      <w:pPr>
        <w:ind w:left="1800" w:hanging="180"/>
      </w:pPr>
    </w:lvl>
    <w:lvl w:ilvl="3" w:tplc="E1D2C2D6" w:tentative="1">
      <w:start w:val="1"/>
      <w:numFmt w:val="decimal"/>
      <w:lvlText w:val="%4."/>
      <w:lvlJc w:val="left"/>
      <w:pPr>
        <w:ind w:left="2520" w:hanging="360"/>
      </w:pPr>
    </w:lvl>
    <w:lvl w:ilvl="4" w:tplc="142A0458" w:tentative="1">
      <w:start w:val="1"/>
      <w:numFmt w:val="lowerLetter"/>
      <w:lvlText w:val="%5."/>
      <w:lvlJc w:val="left"/>
      <w:pPr>
        <w:ind w:left="3240" w:hanging="360"/>
      </w:pPr>
    </w:lvl>
    <w:lvl w:ilvl="5" w:tplc="F778679C" w:tentative="1">
      <w:start w:val="1"/>
      <w:numFmt w:val="lowerRoman"/>
      <w:lvlText w:val="%6."/>
      <w:lvlJc w:val="right"/>
      <w:pPr>
        <w:ind w:left="3960" w:hanging="180"/>
      </w:pPr>
    </w:lvl>
    <w:lvl w:ilvl="6" w:tplc="35BE2F62" w:tentative="1">
      <w:start w:val="1"/>
      <w:numFmt w:val="decimal"/>
      <w:lvlText w:val="%7."/>
      <w:lvlJc w:val="left"/>
      <w:pPr>
        <w:ind w:left="4680" w:hanging="360"/>
      </w:pPr>
    </w:lvl>
    <w:lvl w:ilvl="7" w:tplc="3B5ED668" w:tentative="1">
      <w:start w:val="1"/>
      <w:numFmt w:val="lowerLetter"/>
      <w:lvlText w:val="%8."/>
      <w:lvlJc w:val="left"/>
      <w:pPr>
        <w:ind w:left="5400" w:hanging="360"/>
      </w:pPr>
    </w:lvl>
    <w:lvl w:ilvl="8" w:tplc="1692295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D3E655A">
      <w:start w:val="1"/>
      <w:numFmt w:val="bullet"/>
      <w:lvlText w:val=""/>
      <w:lvlJc w:val="left"/>
      <w:pPr>
        <w:ind w:left="720" w:hanging="360"/>
      </w:pPr>
      <w:rPr>
        <w:rFonts w:ascii="Symbol" w:hAnsi="Symbol" w:hint="default"/>
      </w:rPr>
    </w:lvl>
    <w:lvl w:ilvl="1" w:tplc="AC42E2AE" w:tentative="1">
      <w:start w:val="1"/>
      <w:numFmt w:val="bullet"/>
      <w:lvlText w:val="o"/>
      <w:lvlJc w:val="left"/>
      <w:pPr>
        <w:ind w:left="1440" w:hanging="360"/>
      </w:pPr>
      <w:rPr>
        <w:rFonts w:ascii="Courier New" w:hAnsi="Courier New" w:cs="Courier New" w:hint="default"/>
      </w:rPr>
    </w:lvl>
    <w:lvl w:ilvl="2" w:tplc="BC26924A" w:tentative="1">
      <w:start w:val="1"/>
      <w:numFmt w:val="bullet"/>
      <w:lvlText w:val=""/>
      <w:lvlJc w:val="left"/>
      <w:pPr>
        <w:ind w:left="2160" w:hanging="360"/>
      </w:pPr>
      <w:rPr>
        <w:rFonts w:ascii="Wingdings" w:hAnsi="Wingdings" w:hint="default"/>
      </w:rPr>
    </w:lvl>
    <w:lvl w:ilvl="3" w:tplc="9614FBC8" w:tentative="1">
      <w:start w:val="1"/>
      <w:numFmt w:val="bullet"/>
      <w:lvlText w:val=""/>
      <w:lvlJc w:val="left"/>
      <w:pPr>
        <w:ind w:left="2880" w:hanging="360"/>
      </w:pPr>
      <w:rPr>
        <w:rFonts w:ascii="Symbol" w:hAnsi="Symbol" w:hint="default"/>
      </w:rPr>
    </w:lvl>
    <w:lvl w:ilvl="4" w:tplc="F4EEE180" w:tentative="1">
      <w:start w:val="1"/>
      <w:numFmt w:val="bullet"/>
      <w:lvlText w:val="o"/>
      <w:lvlJc w:val="left"/>
      <w:pPr>
        <w:ind w:left="3600" w:hanging="360"/>
      </w:pPr>
      <w:rPr>
        <w:rFonts w:ascii="Courier New" w:hAnsi="Courier New" w:cs="Courier New" w:hint="default"/>
      </w:rPr>
    </w:lvl>
    <w:lvl w:ilvl="5" w:tplc="8C10B396" w:tentative="1">
      <w:start w:val="1"/>
      <w:numFmt w:val="bullet"/>
      <w:lvlText w:val=""/>
      <w:lvlJc w:val="left"/>
      <w:pPr>
        <w:ind w:left="4320" w:hanging="360"/>
      </w:pPr>
      <w:rPr>
        <w:rFonts w:ascii="Wingdings" w:hAnsi="Wingdings" w:hint="default"/>
      </w:rPr>
    </w:lvl>
    <w:lvl w:ilvl="6" w:tplc="34D65D30" w:tentative="1">
      <w:start w:val="1"/>
      <w:numFmt w:val="bullet"/>
      <w:lvlText w:val=""/>
      <w:lvlJc w:val="left"/>
      <w:pPr>
        <w:ind w:left="5040" w:hanging="360"/>
      </w:pPr>
      <w:rPr>
        <w:rFonts w:ascii="Symbol" w:hAnsi="Symbol" w:hint="default"/>
      </w:rPr>
    </w:lvl>
    <w:lvl w:ilvl="7" w:tplc="66007F76" w:tentative="1">
      <w:start w:val="1"/>
      <w:numFmt w:val="bullet"/>
      <w:lvlText w:val="o"/>
      <w:lvlJc w:val="left"/>
      <w:pPr>
        <w:ind w:left="5760" w:hanging="360"/>
      </w:pPr>
      <w:rPr>
        <w:rFonts w:ascii="Courier New" w:hAnsi="Courier New" w:cs="Courier New" w:hint="default"/>
      </w:rPr>
    </w:lvl>
    <w:lvl w:ilvl="8" w:tplc="3B1ACBC2" w:tentative="1">
      <w:start w:val="1"/>
      <w:numFmt w:val="bullet"/>
      <w:lvlText w:val=""/>
      <w:lvlJc w:val="left"/>
      <w:pPr>
        <w:ind w:left="6480" w:hanging="360"/>
      </w:pPr>
      <w:rPr>
        <w:rFonts w:ascii="Wingdings" w:hAnsi="Wingdings" w:hint="default"/>
      </w:rPr>
    </w:lvl>
  </w:abstractNum>
  <w:num w:numId="1" w16cid:durableId="2079865128">
    <w:abstractNumId w:val="1"/>
  </w:num>
  <w:num w:numId="2" w16cid:durableId="168513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85"/>
    <w:rsid w:val="00111B69"/>
    <w:rsid w:val="003E037A"/>
    <w:rsid w:val="00A3588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9293A"/>
  <w15:docId w15:val="{0152DC74-A81D-4C11-93CD-61FDE7B4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14142</Words>
  <Characters>80610</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2025-02-19T18:27:00Z</dcterms:created>
  <dcterms:modified xsi:type="dcterms:W3CDTF">2025-02-19T18:27:00Z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