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27EF" w14:textId="77777777" w:rsidR="00000000" w:rsidRDefault="00000000">
      <w:pPr>
        <w:pStyle w:val="Heading1"/>
        <w:rPr>
          <w:rFonts w:cs="Arial"/>
        </w:rPr>
      </w:pPr>
      <w:bookmarkStart w:id="0" w:name="PRMS_RIName"/>
      <w:r>
        <w:rPr>
          <w:rFonts w:cs="Arial"/>
        </w:rPr>
        <w:t>Lexon Limited - Aranui Home and Hospital</w:t>
      </w:r>
      <w:bookmarkEnd w:id="0"/>
    </w:p>
    <w:p w14:paraId="010EB17A" w14:textId="77777777" w:rsidR="00000000" w:rsidRDefault="00000000">
      <w:pPr>
        <w:pStyle w:val="Heading2"/>
        <w:spacing w:after="0"/>
        <w:rPr>
          <w:rFonts w:cs="Arial"/>
        </w:rPr>
      </w:pPr>
      <w:r>
        <w:rPr>
          <w:rFonts w:cs="Arial"/>
        </w:rPr>
        <w:t>Introduction</w:t>
      </w:r>
    </w:p>
    <w:p w14:paraId="2BBB4AE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B350829"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C86F17C"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EB0972"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6D64DBB" w14:textId="77777777" w:rsidR="00000000" w:rsidRDefault="00000000">
      <w:pPr>
        <w:spacing w:before="240" w:after="240"/>
        <w:rPr>
          <w:rFonts w:cs="Arial"/>
          <w:lang w:eastAsia="en-NZ"/>
        </w:rPr>
      </w:pPr>
      <w:r>
        <w:rPr>
          <w:rFonts w:cs="Arial"/>
          <w:lang w:eastAsia="en-NZ"/>
        </w:rPr>
        <w:t>The specifics of this audit included:</w:t>
      </w:r>
    </w:p>
    <w:p w14:paraId="0670C765"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F9E139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Lexon Limited</w:t>
      </w:r>
      <w:bookmarkEnd w:id="4"/>
    </w:p>
    <w:p w14:paraId="5E62F7B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Aranui </w:t>
      </w:r>
      <w:r>
        <w:rPr>
          <w:rFonts w:cs="Arial"/>
        </w:rPr>
        <w:t>Home and Hospital</w:t>
      </w:r>
      <w:bookmarkEnd w:id="5"/>
    </w:p>
    <w:p w14:paraId="15C5786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3A9C4B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2024</w:t>
      </w:r>
      <w:bookmarkEnd w:id="7"/>
      <w:r w:rsidRPr="009418D4">
        <w:rPr>
          <w:rFonts w:cs="Arial"/>
        </w:rPr>
        <w:tab/>
        <w:t xml:space="preserve">End date: </w:t>
      </w:r>
      <w:bookmarkStart w:id="8" w:name="AuditEndDate"/>
      <w:r>
        <w:rPr>
          <w:rFonts w:cs="Arial"/>
        </w:rPr>
        <w:t>13 December 2024</w:t>
      </w:r>
      <w:bookmarkEnd w:id="8"/>
    </w:p>
    <w:p w14:paraId="32ED6A0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908EFBF" w14:textId="77777777" w:rsidR="009F5EC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14:paraId="46E2597D"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48FE7D9" w14:textId="77777777" w:rsidR="00000000" w:rsidRDefault="00000000">
      <w:pPr>
        <w:pStyle w:val="Heading1"/>
        <w:rPr>
          <w:rFonts w:cs="Arial"/>
        </w:rPr>
      </w:pPr>
      <w:r>
        <w:rPr>
          <w:rFonts w:cs="Arial"/>
        </w:rPr>
        <w:lastRenderedPageBreak/>
        <w:t>Executive summary of the audit</w:t>
      </w:r>
    </w:p>
    <w:p w14:paraId="4FBE6F0F" w14:textId="77777777" w:rsidR="00000000" w:rsidRDefault="00000000">
      <w:pPr>
        <w:pStyle w:val="Heading2"/>
        <w:rPr>
          <w:rFonts w:cs="Arial"/>
        </w:rPr>
      </w:pPr>
      <w:r>
        <w:rPr>
          <w:rFonts w:cs="Arial"/>
        </w:rPr>
        <w:t>Introduction</w:t>
      </w:r>
    </w:p>
    <w:p w14:paraId="57B77CC5"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53A881B"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8434E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EF15A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A1E924A"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1DF0CE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FFDD7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DF8090"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753CA7C"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5EC7" w14:paraId="6DFAF9E5" w14:textId="77777777">
        <w:trPr>
          <w:cantSplit/>
          <w:tblHeader/>
        </w:trPr>
        <w:tc>
          <w:tcPr>
            <w:tcW w:w="1260" w:type="dxa"/>
            <w:tcBorders>
              <w:bottom w:val="single" w:sz="4" w:space="0" w:color="000000"/>
            </w:tcBorders>
            <w:vAlign w:val="center"/>
          </w:tcPr>
          <w:p w14:paraId="148BDD67"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B9708A"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1F39D8" w14:textId="77777777" w:rsidR="00000000" w:rsidRDefault="00000000">
            <w:pPr>
              <w:spacing w:before="60" w:after="60"/>
              <w:rPr>
                <w:rFonts w:eastAsia="Calibri"/>
                <w:b/>
                <w:szCs w:val="24"/>
              </w:rPr>
            </w:pPr>
            <w:r>
              <w:rPr>
                <w:rFonts w:eastAsia="Calibri"/>
                <w:b/>
                <w:szCs w:val="24"/>
              </w:rPr>
              <w:t>Definition</w:t>
            </w:r>
          </w:p>
        </w:tc>
      </w:tr>
      <w:tr w:rsidR="009F5EC7" w14:paraId="4F24FEF7" w14:textId="77777777">
        <w:trPr>
          <w:cantSplit/>
          <w:trHeight w:val="964"/>
        </w:trPr>
        <w:tc>
          <w:tcPr>
            <w:tcW w:w="1260" w:type="dxa"/>
            <w:tcBorders>
              <w:bottom w:val="single" w:sz="4" w:space="0" w:color="000000"/>
            </w:tcBorders>
            <w:shd w:val="clear" w:color="0066FF" w:fill="0000FF"/>
            <w:vAlign w:val="center"/>
          </w:tcPr>
          <w:p w14:paraId="5051ABA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832B0A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B0F7F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F5EC7" w14:paraId="58F849A7" w14:textId="77777777">
        <w:trPr>
          <w:cantSplit/>
          <w:trHeight w:val="964"/>
        </w:trPr>
        <w:tc>
          <w:tcPr>
            <w:tcW w:w="1260" w:type="dxa"/>
            <w:shd w:val="clear" w:color="33CC33" w:fill="00FF00"/>
            <w:vAlign w:val="center"/>
          </w:tcPr>
          <w:p w14:paraId="595633E7" w14:textId="77777777" w:rsidR="00000000" w:rsidRDefault="00000000">
            <w:pPr>
              <w:spacing w:before="60" w:after="60"/>
              <w:rPr>
                <w:rFonts w:eastAsia="Calibri"/>
                <w:szCs w:val="24"/>
              </w:rPr>
            </w:pPr>
          </w:p>
        </w:tc>
        <w:tc>
          <w:tcPr>
            <w:tcW w:w="7095" w:type="dxa"/>
            <w:shd w:val="clear" w:color="auto" w:fill="auto"/>
            <w:vAlign w:val="center"/>
          </w:tcPr>
          <w:p w14:paraId="5B120D8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9D70AB"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9F5EC7" w14:paraId="5954679E" w14:textId="77777777">
        <w:trPr>
          <w:cantSplit/>
          <w:trHeight w:val="964"/>
        </w:trPr>
        <w:tc>
          <w:tcPr>
            <w:tcW w:w="1260" w:type="dxa"/>
            <w:tcBorders>
              <w:bottom w:val="single" w:sz="4" w:space="0" w:color="000000"/>
            </w:tcBorders>
            <w:shd w:val="clear" w:color="auto" w:fill="FFFF00"/>
            <w:vAlign w:val="center"/>
          </w:tcPr>
          <w:p w14:paraId="482E7D56" w14:textId="77777777" w:rsidR="00000000" w:rsidRDefault="00000000">
            <w:pPr>
              <w:spacing w:before="60" w:after="60"/>
              <w:rPr>
                <w:rFonts w:eastAsia="Calibri"/>
                <w:szCs w:val="24"/>
              </w:rPr>
            </w:pPr>
          </w:p>
        </w:tc>
        <w:tc>
          <w:tcPr>
            <w:tcW w:w="7095" w:type="dxa"/>
            <w:shd w:val="clear" w:color="auto" w:fill="auto"/>
            <w:vAlign w:val="center"/>
          </w:tcPr>
          <w:p w14:paraId="3A8B14C6"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4A8C32E"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F5EC7" w14:paraId="678A6C9D" w14:textId="77777777">
        <w:trPr>
          <w:cantSplit/>
          <w:trHeight w:val="964"/>
        </w:trPr>
        <w:tc>
          <w:tcPr>
            <w:tcW w:w="1260" w:type="dxa"/>
            <w:tcBorders>
              <w:bottom w:val="single" w:sz="4" w:space="0" w:color="000000"/>
            </w:tcBorders>
            <w:shd w:val="clear" w:color="auto" w:fill="FFC800"/>
            <w:vAlign w:val="center"/>
          </w:tcPr>
          <w:p w14:paraId="1618032D"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23E829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25430F"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F5EC7" w14:paraId="34FE881B" w14:textId="77777777">
        <w:trPr>
          <w:cantSplit/>
          <w:trHeight w:val="964"/>
        </w:trPr>
        <w:tc>
          <w:tcPr>
            <w:tcW w:w="1260" w:type="dxa"/>
            <w:shd w:val="clear" w:color="auto" w:fill="FF0000"/>
            <w:vAlign w:val="center"/>
          </w:tcPr>
          <w:p w14:paraId="4475BEE4" w14:textId="77777777" w:rsidR="00000000" w:rsidRDefault="00000000">
            <w:pPr>
              <w:spacing w:before="60" w:after="60"/>
              <w:rPr>
                <w:rFonts w:eastAsia="Calibri"/>
                <w:szCs w:val="24"/>
              </w:rPr>
            </w:pPr>
          </w:p>
        </w:tc>
        <w:tc>
          <w:tcPr>
            <w:tcW w:w="7095" w:type="dxa"/>
            <w:shd w:val="clear" w:color="auto" w:fill="auto"/>
            <w:vAlign w:val="center"/>
          </w:tcPr>
          <w:p w14:paraId="74291454"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FDE31C"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3B852F8" w14:textId="77777777" w:rsidR="00000000" w:rsidRDefault="00000000">
      <w:pPr>
        <w:pStyle w:val="Heading2"/>
        <w:spacing w:after="0"/>
        <w:rPr>
          <w:rFonts w:cs="Arial"/>
        </w:rPr>
      </w:pPr>
      <w:r>
        <w:rPr>
          <w:rFonts w:cs="Arial"/>
        </w:rPr>
        <w:t>General overview of the audit</w:t>
      </w:r>
    </w:p>
    <w:p w14:paraId="7153C1CB" w14:textId="77777777" w:rsidR="00000000" w:rsidRDefault="00000000">
      <w:pPr>
        <w:spacing w:before="240" w:line="276" w:lineRule="auto"/>
        <w:rPr>
          <w:rFonts w:eastAsia="Calibri"/>
        </w:rPr>
      </w:pPr>
      <w:bookmarkStart w:id="13" w:name="GeneralOverview"/>
      <w:r w:rsidRPr="00A4268A">
        <w:rPr>
          <w:rFonts w:eastAsia="Calibri"/>
        </w:rPr>
        <w:t xml:space="preserve">Aranui Home and Hospital provides hospital, rest home and dementia levels of care for up to 89 residents. There were 85 residents on the days of the audit. </w:t>
      </w:r>
    </w:p>
    <w:p w14:paraId="353E7073" w14:textId="77777777" w:rsidR="009F5EC7" w:rsidRPr="00A4268A" w:rsidRDefault="00000000">
      <w:pPr>
        <w:spacing w:before="240" w:line="276" w:lineRule="auto"/>
        <w:rPr>
          <w:rFonts w:eastAsia="Calibri"/>
        </w:rPr>
      </w:pPr>
      <w:r w:rsidRPr="00A4268A">
        <w:rPr>
          <w:rFonts w:eastAsia="Calibri"/>
        </w:rPr>
        <w:t>The facility manager oversees the service with the support of the clinical manager/quality assurance educator and the two directors who provide management oversight. Quality systems are implemented. Induction and in-service training programmes are in place to provide staff with appropriate knowledge and skills to deliver care.</w:t>
      </w:r>
    </w:p>
    <w:p w14:paraId="376CAE3D" w14:textId="77777777" w:rsidR="009F5EC7" w:rsidRPr="00A4268A" w:rsidRDefault="00000000">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their family/whānau, and interviews with staff, management, and the general practitioner.</w:t>
      </w:r>
    </w:p>
    <w:p w14:paraId="5F65386B" w14:textId="77777777" w:rsidR="009F5EC7" w:rsidRPr="00A4268A" w:rsidRDefault="00000000">
      <w:pPr>
        <w:spacing w:before="240" w:line="276" w:lineRule="auto"/>
        <w:rPr>
          <w:rFonts w:eastAsia="Calibri"/>
        </w:rPr>
      </w:pPr>
      <w:r w:rsidRPr="00A4268A">
        <w:rPr>
          <w:rFonts w:eastAsia="Calibri"/>
        </w:rPr>
        <w:t>This audit identified that the service meets the required subset of the Ngā Paerewa Standard.</w:t>
      </w:r>
    </w:p>
    <w:bookmarkEnd w:id="13"/>
    <w:p w14:paraId="49324E0B" w14:textId="77777777" w:rsidR="009F5EC7" w:rsidRPr="00A4268A" w:rsidRDefault="009F5EC7">
      <w:pPr>
        <w:spacing w:before="240" w:line="276" w:lineRule="auto"/>
        <w:rPr>
          <w:rFonts w:eastAsia="Calibri"/>
        </w:rPr>
      </w:pPr>
    </w:p>
    <w:p w14:paraId="29E8C86D"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34E64BDF" w14:textId="77777777" w:rsidTr="00A4268A">
        <w:trPr>
          <w:cantSplit/>
        </w:trPr>
        <w:tc>
          <w:tcPr>
            <w:tcW w:w="10206" w:type="dxa"/>
            <w:vAlign w:val="center"/>
          </w:tcPr>
          <w:p w14:paraId="625DBB9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0F16578"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7CE847D"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BD655C"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1F96E80" w14:textId="77777777" w:rsidR="00000000" w:rsidRDefault="00000000">
      <w:pPr>
        <w:spacing w:before="240" w:line="276" w:lineRule="auto"/>
        <w:rPr>
          <w:rFonts w:eastAsia="Calibri"/>
        </w:rPr>
      </w:pPr>
      <w:bookmarkStart w:id="16" w:name="ConsumerRights"/>
      <w:r w:rsidRPr="00A4268A">
        <w:rPr>
          <w:rFonts w:eastAsia="Calibri"/>
        </w:rPr>
        <w:t>Aranui Home and Hospital works collaboratively to support and encourage a Māori world view of health in service delivery. Māori are provided with equitable and effective services based on Te Tiriti o Waitangi and the principles of mana motuhake. Pacific peoples are provided with services that recognise their worldview and are culturally safe. Residents and staff stated that culturally appropriate care is provided.</w:t>
      </w:r>
    </w:p>
    <w:p w14:paraId="5910D8B9" w14:textId="77777777" w:rsidR="009F5EC7"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The service inclusively provides services and support to people and respects their identity and experiences. The service listens to and respects the residents' voices and effectively communicates with them about their choices. Care plans accommodate the choices of residents and their family/whānau. </w:t>
      </w:r>
    </w:p>
    <w:p w14:paraId="76572233" w14:textId="77777777" w:rsidR="009F5EC7" w:rsidRPr="00A4268A" w:rsidRDefault="00000000">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are understood, respected, and upheld by the service. Complaints processes are implemented, and complaints and concerns are managed and documented.</w:t>
      </w:r>
    </w:p>
    <w:bookmarkEnd w:id="16"/>
    <w:p w14:paraId="07C7EC14" w14:textId="77777777" w:rsidR="009F5EC7" w:rsidRPr="00A4268A" w:rsidRDefault="009F5EC7">
      <w:pPr>
        <w:spacing w:before="240" w:line="276" w:lineRule="auto"/>
        <w:rPr>
          <w:rFonts w:eastAsia="Calibri"/>
        </w:rPr>
      </w:pPr>
    </w:p>
    <w:p w14:paraId="1BB85DF6"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3078B729" w14:textId="77777777" w:rsidTr="00A4268A">
        <w:trPr>
          <w:cantSplit/>
        </w:trPr>
        <w:tc>
          <w:tcPr>
            <w:tcW w:w="10206" w:type="dxa"/>
            <w:vAlign w:val="center"/>
          </w:tcPr>
          <w:p w14:paraId="0AF95DA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B8B1E8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31FA7E4"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21777DD"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The business strategy management plan (2024) includes mission, vision, and values statements with goals documented. These are regularly reviewed. The quality and risk management systems are focused on quality service provision and care. The quality and risk management processes use a risk-based approach. Policies and procedures are current. </w:t>
      </w:r>
    </w:p>
    <w:p w14:paraId="795E1633" w14:textId="77777777" w:rsidR="009F5EC7" w:rsidRPr="00A4268A" w:rsidRDefault="00000000">
      <w:pPr>
        <w:spacing w:before="240" w:line="276" w:lineRule="auto"/>
        <w:rPr>
          <w:rFonts w:eastAsia="Calibri"/>
        </w:rPr>
      </w:pPr>
      <w:r w:rsidRPr="00A4268A">
        <w:rPr>
          <w:rFonts w:eastAsia="Calibri"/>
        </w:rPr>
        <w:t>The service and management ensure the best outcomes for residents and that their health and safety are a priority. Actual and potential risks are identified and mitigated. The service complies with all statutory and regulatory reporting obligations and meets the contract's requirements with Health New Zealand-Te Whatu Ora.</w:t>
      </w:r>
    </w:p>
    <w:p w14:paraId="29869638" w14:textId="77777777" w:rsidR="009F5EC7" w:rsidRPr="00A4268A" w:rsidRDefault="00000000">
      <w:pPr>
        <w:spacing w:before="240" w:line="276" w:lineRule="auto"/>
        <w:rPr>
          <w:rFonts w:eastAsia="Calibri"/>
        </w:rPr>
      </w:pPr>
      <w:r w:rsidRPr="00A4268A">
        <w:rPr>
          <w:rFonts w:eastAsia="Calibri"/>
        </w:rPr>
        <w:t>Staff coverage is maintained for all shifts. Residents' acuity is considered when planning and ensuring adequate coverage. Staff employed are provided with orientation and job descriptions and receive education. All employed and contracted health professionals maintain a current practising certificate.</w:t>
      </w:r>
    </w:p>
    <w:bookmarkEnd w:id="19"/>
    <w:p w14:paraId="2B3DA734" w14:textId="77777777" w:rsidR="009F5EC7" w:rsidRPr="00A4268A" w:rsidRDefault="009F5EC7">
      <w:pPr>
        <w:spacing w:before="240" w:line="276" w:lineRule="auto"/>
        <w:rPr>
          <w:rFonts w:eastAsia="Calibri"/>
        </w:rPr>
      </w:pPr>
    </w:p>
    <w:p w14:paraId="77444CF4"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5114EC9A" w14:textId="77777777" w:rsidTr="00A4268A">
        <w:trPr>
          <w:cantSplit/>
        </w:trPr>
        <w:tc>
          <w:tcPr>
            <w:tcW w:w="10206" w:type="dxa"/>
            <w:vAlign w:val="center"/>
          </w:tcPr>
          <w:p w14:paraId="12492F6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CABE7D2"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E92AA0"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AC5BDCB"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Registered nurses assess residents on admission. An interim care plan guides care and service provision during the first three weeks after the resident’s admission. InterRAI assessments are used to identify residents’ needs, and long-term care plans are developed and implemented. The general practitioner completes a medical assessment within the required timeframe and reviews occur thereafter at least three-monthly. Residents’ files reviewed demonstrated evaluations are completed at least six-monthly. Residents are assessed by a physiotherapist and have access to a podiatrist and dietitian. Residents have their needs met in a manner that respects their cultural values and beliefs. Handovers between shifts guide continuity of care and teamwork is encouraged.</w:t>
      </w:r>
    </w:p>
    <w:p w14:paraId="7F0ED328" w14:textId="77777777" w:rsidR="009F5EC7" w:rsidRPr="00A4268A" w:rsidRDefault="00000000" w:rsidP="00621629">
      <w:pPr>
        <w:spacing w:before="240" w:line="276" w:lineRule="auto"/>
        <w:rPr>
          <w:rFonts w:eastAsia="Calibri"/>
        </w:rPr>
      </w:pPr>
      <w:r w:rsidRPr="00A4268A">
        <w:rPr>
          <w:rFonts w:eastAsia="Calibri"/>
        </w:rPr>
        <w:lastRenderedPageBreak/>
        <w:t>There are policies and processes that describe medication management that align with accepted guidelines. Staff responsible for medication administration have completed annual competencies and education.</w:t>
      </w:r>
    </w:p>
    <w:p w14:paraId="76C7B17F" w14:textId="77777777" w:rsidR="009F5EC7" w:rsidRPr="00A4268A" w:rsidRDefault="00000000" w:rsidP="00621629">
      <w:pPr>
        <w:spacing w:before="240" w:line="276" w:lineRule="auto"/>
        <w:rPr>
          <w:rFonts w:eastAsia="Calibri"/>
        </w:rPr>
      </w:pPr>
      <w:r w:rsidRPr="00A4268A">
        <w:rPr>
          <w:rFonts w:eastAsia="Calibri"/>
        </w:rPr>
        <w:t>The food service meets the nutritional needs and preferences of the residents. The menu has been reviewed and approved by a registered dietitian. Specific dietary needs, allergies and intolerances are catered for. All meals and baking are prepared and cooked on site. The service has a current food control plan. Residents and family confirmed satisfaction with meals provided.</w:t>
      </w:r>
    </w:p>
    <w:p w14:paraId="65F13AAA" w14:textId="77777777" w:rsidR="009F5EC7" w:rsidRPr="00A4268A" w:rsidRDefault="00000000"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72646A64" w14:textId="77777777" w:rsidR="009F5EC7" w:rsidRPr="00A4268A" w:rsidRDefault="009F5EC7" w:rsidP="00621629">
      <w:pPr>
        <w:spacing w:before="240" w:line="276" w:lineRule="auto"/>
        <w:rPr>
          <w:rFonts w:eastAsia="Calibri"/>
        </w:rPr>
      </w:pPr>
    </w:p>
    <w:p w14:paraId="115267FB"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0611BA12" w14:textId="77777777" w:rsidTr="00A4268A">
        <w:trPr>
          <w:cantSplit/>
        </w:trPr>
        <w:tc>
          <w:tcPr>
            <w:tcW w:w="10206" w:type="dxa"/>
            <w:vAlign w:val="center"/>
          </w:tcPr>
          <w:p w14:paraId="216BC02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DB78C4F"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8E7B01"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11BFCCF"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Equipment and electrical appliances are serviced and tested regularly. The building and grounds are well maintained. Residents have ready access to safe and appropriate outdoor gardens.</w:t>
      </w:r>
    </w:p>
    <w:bookmarkEnd w:id="25"/>
    <w:p w14:paraId="59BE7AD9" w14:textId="77777777" w:rsidR="009F5EC7" w:rsidRPr="00A4268A" w:rsidRDefault="009F5EC7">
      <w:pPr>
        <w:spacing w:before="240" w:line="276" w:lineRule="auto"/>
        <w:rPr>
          <w:rFonts w:eastAsia="Calibri"/>
        </w:rPr>
      </w:pPr>
    </w:p>
    <w:p w14:paraId="7B7BB52A"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2A240D0B" w14:textId="77777777" w:rsidTr="00A4268A">
        <w:trPr>
          <w:cantSplit/>
        </w:trPr>
        <w:tc>
          <w:tcPr>
            <w:tcW w:w="10206" w:type="dxa"/>
            <w:vAlign w:val="center"/>
          </w:tcPr>
          <w:p w14:paraId="53E2006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036118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4A9ADE"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4152308"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service ensures the safety of the residents and staff through a planned infection prevention programme appropriate to the service's size and complexity. The registered nurse coordinates the programme. Staff orientation and ongoing education are maintained. </w:t>
      </w:r>
    </w:p>
    <w:p w14:paraId="79EDC10B" w14:textId="77777777" w:rsidR="009F5EC7"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Infection outbreaks of Covid-19 are managed according to Ministry of Health guidelines.</w:t>
      </w:r>
    </w:p>
    <w:bookmarkEnd w:id="28"/>
    <w:p w14:paraId="3113CCB7" w14:textId="77777777" w:rsidR="009F5EC7" w:rsidRPr="00A4268A" w:rsidRDefault="009F5EC7">
      <w:pPr>
        <w:spacing w:before="240" w:line="276" w:lineRule="auto"/>
        <w:rPr>
          <w:rFonts w:eastAsia="Calibri"/>
        </w:rPr>
      </w:pPr>
    </w:p>
    <w:p w14:paraId="5FA15CEC"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5EC7" w14:paraId="67A7FF13" w14:textId="77777777" w:rsidTr="00A4268A">
        <w:trPr>
          <w:cantSplit/>
        </w:trPr>
        <w:tc>
          <w:tcPr>
            <w:tcW w:w="10206" w:type="dxa"/>
            <w:vAlign w:val="center"/>
          </w:tcPr>
          <w:p w14:paraId="4C76BEC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2818122"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43A89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2F178A9" w14:textId="77777777" w:rsidR="00000000" w:rsidRDefault="00000000">
      <w:pPr>
        <w:spacing w:before="240" w:line="276" w:lineRule="auto"/>
        <w:rPr>
          <w:rFonts w:eastAsia="Calibri"/>
        </w:rPr>
      </w:pPr>
      <w:bookmarkStart w:id="31" w:name="InfectionPreventionAndControl"/>
      <w:r w:rsidRPr="00A4268A">
        <w:rPr>
          <w:rFonts w:eastAsia="Calibri"/>
        </w:rPr>
        <w:t>The restraint minimisation policy confirms that restraint consideration and application must be done in partnership with families/whānau, and the choice of device must be the least restrictive possible. There is no use of restraint. Staff receive ongoing training in restraint minimisation and safe practice and complete an annual competency test.</w:t>
      </w:r>
    </w:p>
    <w:bookmarkEnd w:id="31"/>
    <w:p w14:paraId="74AEAF6D" w14:textId="77777777" w:rsidR="009F5EC7" w:rsidRPr="00A4268A" w:rsidRDefault="009F5EC7">
      <w:pPr>
        <w:spacing w:before="240" w:line="276" w:lineRule="auto"/>
        <w:rPr>
          <w:rFonts w:eastAsia="Calibri"/>
        </w:rPr>
      </w:pPr>
    </w:p>
    <w:p w14:paraId="6C8CE61A" w14:textId="77777777" w:rsidR="00000000" w:rsidRDefault="00000000" w:rsidP="000E6E02">
      <w:pPr>
        <w:pStyle w:val="Heading2"/>
        <w:spacing w:before="0"/>
        <w:rPr>
          <w:rFonts w:cs="Arial"/>
        </w:rPr>
      </w:pPr>
      <w:r>
        <w:rPr>
          <w:rFonts w:cs="Arial"/>
        </w:rPr>
        <w:lastRenderedPageBreak/>
        <w:t>Summary of attainment</w:t>
      </w:r>
    </w:p>
    <w:p w14:paraId="746456D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5EC7" w14:paraId="5D17D1AD" w14:textId="77777777">
        <w:tc>
          <w:tcPr>
            <w:tcW w:w="1384" w:type="dxa"/>
            <w:vAlign w:val="center"/>
          </w:tcPr>
          <w:p w14:paraId="4865AAB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F52F223" w14:textId="77777777" w:rsidR="00000000" w:rsidRDefault="00000000">
            <w:pPr>
              <w:keepNext/>
              <w:spacing w:before="60" w:after="60"/>
              <w:jc w:val="center"/>
              <w:rPr>
                <w:rFonts w:cs="Arial"/>
                <w:b/>
                <w:sz w:val="20"/>
                <w:szCs w:val="20"/>
              </w:rPr>
            </w:pPr>
            <w:r>
              <w:rPr>
                <w:rFonts w:cs="Arial"/>
                <w:b/>
                <w:sz w:val="20"/>
                <w:szCs w:val="20"/>
              </w:rPr>
              <w:t>Continuous Improvement</w:t>
            </w:r>
          </w:p>
          <w:p w14:paraId="2C2029BE"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8EE2FC5" w14:textId="77777777" w:rsidR="00000000" w:rsidRDefault="00000000">
            <w:pPr>
              <w:keepNext/>
              <w:spacing w:before="60" w:after="60"/>
              <w:jc w:val="center"/>
              <w:rPr>
                <w:rFonts w:cs="Arial"/>
                <w:b/>
                <w:sz w:val="20"/>
                <w:szCs w:val="20"/>
              </w:rPr>
            </w:pPr>
            <w:r>
              <w:rPr>
                <w:rFonts w:cs="Arial"/>
                <w:b/>
                <w:sz w:val="20"/>
                <w:szCs w:val="20"/>
              </w:rPr>
              <w:t>Fully Attained</w:t>
            </w:r>
          </w:p>
          <w:p w14:paraId="14AB78E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14AE634"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016E250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98EF945"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CFDBEB4"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D8A07B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355AE00"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900FF48"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64E395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1FB4DD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0E645FD" w14:textId="77777777" w:rsidR="00000000" w:rsidRDefault="00000000">
            <w:pPr>
              <w:keepNext/>
              <w:spacing w:before="60" w:after="60"/>
              <w:jc w:val="center"/>
              <w:rPr>
                <w:rFonts w:cs="Arial"/>
                <w:b/>
                <w:sz w:val="20"/>
                <w:szCs w:val="20"/>
              </w:rPr>
            </w:pPr>
            <w:r>
              <w:rPr>
                <w:rFonts w:cs="Arial"/>
                <w:b/>
                <w:sz w:val="20"/>
                <w:szCs w:val="20"/>
              </w:rPr>
              <w:t>(PA Critical)</w:t>
            </w:r>
          </w:p>
        </w:tc>
      </w:tr>
      <w:tr w:rsidR="009F5EC7" w14:paraId="7F2256E0" w14:textId="77777777">
        <w:tc>
          <w:tcPr>
            <w:tcW w:w="1384" w:type="dxa"/>
            <w:vAlign w:val="center"/>
          </w:tcPr>
          <w:p w14:paraId="75D3C0B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795621B"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8E18B0A"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F9FC152"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EC83397"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17008A9"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2092F4E"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68C389"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5EC7" w14:paraId="6022A2C2" w14:textId="77777777">
        <w:tc>
          <w:tcPr>
            <w:tcW w:w="1384" w:type="dxa"/>
            <w:vAlign w:val="center"/>
          </w:tcPr>
          <w:p w14:paraId="636BD618"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B014756"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B1A884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3EBFEE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9F240A"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7363C9E"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6C060F4"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D54252A"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CAD8E6"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5EC7" w14:paraId="53515E70" w14:textId="77777777">
        <w:tc>
          <w:tcPr>
            <w:tcW w:w="1384" w:type="dxa"/>
            <w:vAlign w:val="center"/>
          </w:tcPr>
          <w:p w14:paraId="1FEFC30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C19A45B"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EC31579"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D1B7156" w14:textId="77777777" w:rsidR="00000000" w:rsidRDefault="00000000">
            <w:pPr>
              <w:keepNext/>
              <w:spacing w:before="60" w:after="60"/>
              <w:jc w:val="center"/>
              <w:rPr>
                <w:rFonts w:cs="Arial"/>
                <w:b/>
                <w:sz w:val="20"/>
                <w:szCs w:val="20"/>
              </w:rPr>
            </w:pPr>
            <w:r>
              <w:rPr>
                <w:rFonts w:cs="Arial"/>
                <w:b/>
                <w:sz w:val="20"/>
                <w:szCs w:val="20"/>
              </w:rPr>
              <w:t>Unattained Low Risk</w:t>
            </w:r>
          </w:p>
          <w:p w14:paraId="50D7DAC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3F15C9D" w14:textId="77777777" w:rsidR="00000000" w:rsidRDefault="00000000">
            <w:pPr>
              <w:keepNext/>
              <w:spacing w:before="60" w:after="60"/>
              <w:jc w:val="center"/>
              <w:rPr>
                <w:rFonts w:cs="Arial"/>
                <w:b/>
                <w:sz w:val="20"/>
                <w:szCs w:val="20"/>
              </w:rPr>
            </w:pPr>
            <w:r>
              <w:rPr>
                <w:rFonts w:cs="Arial"/>
                <w:b/>
                <w:sz w:val="20"/>
                <w:szCs w:val="20"/>
              </w:rPr>
              <w:t>Unattained Moderate Risk</w:t>
            </w:r>
          </w:p>
          <w:p w14:paraId="5D7AB5B8"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79A4702" w14:textId="77777777" w:rsidR="00000000" w:rsidRDefault="00000000">
            <w:pPr>
              <w:keepNext/>
              <w:spacing w:before="60" w:after="60"/>
              <w:jc w:val="center"/>
              <w:rPr>
                <w:rFonts w:cs="Arial"/>
                <w:b/>
                <w:sz w:val="20"/>
                <w:szCs w:val="20"/>
              </w:rPr>
            </w:pPr>
            <w:r>
              <w:rPr>
                <w:rFonts w:cs="Arial"/>
                <w:b/>
                <w:sz w:val="20"/>
                <w:szCs w:val="20"/>
              </w:rPr>
              <w:t>Unattained High Risk</w:t>
            </w:r>
          </w:p>
          <w:p w14:paraId="04A2F88A"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B256D51" w14:textId="77777777" w:rsidR="00000000" w:rsidRDefault="00000000">
            <w:pPr>
              <w:keepNext/>
              <w:spacing w:before="60" w:after="60"/>
              <w:jc w:val="center"/>
              <w:rPr>
                <w:rFonts w:cs="Arial"/>
                <w:b/>
                <w:sz w:val="20"/>
                <w:szCs w:val="20"/>
              </w:rPr>
            </w:pPr>
            <w:r>
              <w:rPr>
                <w:rFonts w:cs="Arial"/>
                <w:b/>
                <w:sz w:val="20"/>
                <w:szCs w:val="20"/>
              </w:rPr>
              <w:t>Unattained Critical Risk</w:t>
            </w:r>
          </w:p>
          <w:p w14:paraId="65DFBC8D" w14:textId="77777777" w:rsidR="00000000" w:rsidRDefault="00000000">
            <w:pPr>
              <w:keepNext/>
              <w:spacing w:before="60" w:after="60"/>
              <w:jc w:val="center"/>
              <w:rPr>
                <w:rFonts w:cs="Arial"/>
                <w:b/>
                <w:sz w:val="20"/>
                <w:szCs w:val="20"/>
              </w:rPr>
            </w:pPr>
            <w:r>
              <w:rPr>
                <w:rFonts w:cs="Arial"/>
                <w:b/>
                <w:sz w:val="20"/>
                <w:szCs w:val="20"/>
              </w:rPr>
              <w:t>(UA Critical)</w:t>
            </w:r>
          </w:p>
        </w:tc>
      </w:tr>
      <w:tr w:rsidR="009F5EC7" w14:paraId="6190D94C" w14:textId="77777777">
        <w:tc>
          <w:tcPr>
            <w:tcW w:w="1384" w:type="dxa"/>
            <w:vAlign w:val="center"/>
          </w:tcPr>
          <w:p w14:paraId="73A0DA2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DD3652"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79DE4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501DD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7955364"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ACE31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5EC7" w14:paraId="7D55AB3B" w14:textId="77777777">
        <w:tc>
          <w:tcPr>
            <w:tcW w:w="1384" w:type="dxa"/>
            <w:vAlign w:val="center"/>
          </w:tcPr>
          <w:p w14:paraId="0CED20D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0117E9F"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335B2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3D96C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CE3811"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49D3F7"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A96E40D"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9B7BD0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8DBD4D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4811C6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374"/>
        <w:gridCol w:w="6766"/>
      </w:tblGrid>
      <w:tr w:rsidR="009F5EC7" w14:paraId="0ED3F102" w14:textId="77777777">
        <w:tc>
          <w:tcPr>
            <w:tcW w:w="0" w:type="auto"/>
          </w:tcPr>
          <w:p w14:paraId="582AEB76"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198047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F0AAC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F5EC7" w14:paraId="1B2C109D" w14:textId="77777777">
        <w:tc>
          <w:tcPr>
            <w:tcW w:w="0" w:type="auto"/>
          </w:tcPr>
          <w:p w14:paraId="73D1837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7AD266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8A608EA" w14:textId="77777777" w:rsidR="00000000" w:rsidRPr="00BE00C7" w:rsidRDefault="00000000" w:rsidP="00BE00C7">
            <w:pPr>
              <w:pStyle w:val="OutcomeDescription"/>
              <w:spacing w:before="120" w:after="120"/>
              <w:rPr>
                <w:rFonts w:cs="Arial"/>
                <w:lang w:eastAsia="en-NZ"/>
              </w:rPr>
            </w:pPr>
          </w:p>
        </w:tc>
        <w:tc>
          <w:tcPr>
            <w:tcW w:w="0" w:type="auto"/>
          </w:tcPr>
          <w:p w14:paraId="74B0E34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0B24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references local Māori health care providers and recognises Māori values and beliefs. The policy and guidelines are based on Te Tiriti o Waitangi, and the documents provide a framework for care delivery.</w:t>
            </w:r>
          </w:p>
          <w:p w14:paraId="6377E462"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Family/whānau involvement is encouraged in assessment and care planning, and visiting is encouraged, as evidenced during interviews. Te Whare Tapa Wha health model is incorporated into all Māori and other residents' care. The service currently has residents and staff who identify as Māori. Care is provided in a way that focuses on the individual and considers beliefs, values, and culture. The clinical manager/quality assurance educator (CM/QAE) reported that care plans include cultural assessments with cultural links and provide an opportunity for the service to cater to any cultural needs. Documentation reflected their values and beliefs. The management team and staff have completed training on Te Tiriti o Waitangi and health equity. A kaumatua visits the service on request, and the last visit was on 2 October 2024. One of the senior staff members is a cultural advisor.</w:t>
            </w:r>
          </w:p>
          <w:p w14:paraId="09815E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managers and staff (facility manager [FM], CM/QAE, three registered nurses, one cook, four housekeepers, seven healthcare assistants [HCAs] including a team leader), cook, and maintenance </w:t>
            </w:r>
            <w:r w:rsidRPr="00BE00C7">
              <w:rPr>
                <w:rFonts w:cs="Arial"/>
                <w:lang w:eastAsia="en-NZ"/>
              </w:rPr>
              <w:lastRenderedPageBreak/>
              <w:t xml:space="preserve">person described ways they apply the principles of Te Tiriti into practice in relation to their roles. </w:t>
            </w:r>
          </w:p>
          <w:p w14:paraId="4304688F" w14:textId="77777777" w:rsidR="00000000" w:rsidRPr="00BE00C7" w:rsidRDefault="00000000" w:rsidP="00BE00C7">
            <w:pPr>
              <w:pStyle w:val="OutcomeDescription"/>
              <w:spacing w:before="120" w:after="120"/>
              <w:rPr>
                <w:rFonts w:cs="Arial"/>
                <w:lang w:eastAsia="en-NZ"/>
              </w:rPr>
            </w:pPr>
          </w:p>
        </w:tc>
      </w:tr>
      <w:tr w:rsidR="009F5EC7" w14:paraId="314B193E" w14:textId="77777777">
        <w:tc>
          <w:tcPr>
            <w:tcW w:w="0" w:type="auto"/>
          </w:tcPr>
          <w:p w14:paraId="048628A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9D1A1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A24CCC6" w14:textId="77777777" w:rsidR="00000000" w:rsidRPr="00BE00C7" w:rsidRDefault="00000000" w:rsidP="00BE00C7">
            <w:pPr>
              <w:pStyle w:val="OutcomeDescription"/>
              <w:spacing w:before="120" w:after="120"/>
              <w:rPr>
                <w:rFonts w:cs="Arial"/>
                <w:lang w:eastAsia="en-NZ"/>
              </w:rPr>
            </w:pPr>
          </w:p>
        </w:tc>
        <w:tc>
          <w:tcPr>
            <w:tcW w:w="0" w:type="auto"/>
          </w:tcPr>
          <w:p w14:paraId="20D0B9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6FCA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Pacific Peoples Policy and Procedure, which outlines how it responds to the cultural needs of residents and how staff are supported to ensure culturally safe practice. The service embraces Pacific models of care through various organisations that can provide support and guidance when Pacific people are being supported. Staff were familiar with local Pacific services and resources. Support is also offered through staff and various Christian churches in the local area on an ‘as required’ basis, and staff interviewed were able to identify links in the community. A senior staff member is appointed as a Pasifika Advisor.</w:t>
            </w:r>
          </w:p>
          <w:p w14:paraId="15CAF4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and staff who identified as Pasifika working at this service, who can ensure that any residents, and their family are supported in a culturally safe manner. The staff interviewed could describe how they would support any resident or family member who identified as Pasifika. </w:t>
            </w:r>
          </w:p>
          <w:p w14:paraId="26193D22" w14:textId="77777777" w:rsidR="00000000" w:rsidRPr="00BE00C7" w:rsidRDefault="00000000" w:rsidP="00BE00C7">
            <w:pPr>
              <w:pStyle w:val="OutcomeDescription"/>
              <w:spacing w:before="120" w:after="120"/>
              <w:rPr>
                <w:rFonts w:cs="Arial"/>
                <w:lang w:eastAsia="en-NZ"/>
              </w:rPr>
            </w:pPr>
          </w:p>
        </w:tc>
      </w:tr>
      <w:tr w:rsidR="009F5EC7" w14:paraId="646602E3" w14:textId="77777777">
        <w:tc>
          <w:tcPr>
            <w:tcW w:w="0" w:type="auto"/>
          </w:tcPr>
          <w:p w14:paraId="29143BD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84852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985E649" w14:textId="77777777" w:rsidR="00000000" w:rsidRPr="00BE00C7" w:rsidRDefault="00000000" w:rsidP="00BE00C7">
            <w:pPr>
              <w:pStyle w:val="OutcomeDescription"/>
              <w:spacing w:before="120" w:after="120"/>
              <w:rPr>
                <w:rFonts w:cs="Arial"/>
                <w:lang w:eastAsia="en-NZ"/>
              </w:rPr>
            </w:pPr>
          </w:p>
        </w:tc>
        <w:tc>
          <w:tcPr>
            <w:tcW w:w="0" w:type="auto"/>
          </w:tcPr>
          <w:p w14:paraId="00E0591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C751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Health and Disability Commissioner’s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Six residents were interviewed and these included four rest home, two hospital (including one under the long-term support chronic health conditions contract [LTS-CHC]) and eight relatives (enduring power of attorneys [EPOAs]) for two rest home level of care residents, three for residents in the hospital and five for residents in the dementia wing. All reported the Code of Rights was adhered to and residents were aware of their rights. </w:t>
            </w:r>
          </w:p>
          <w:p w14:paraId="2E99FC04" w14:textId="77777777" w:rsidR="00000000" w:rsidRPr="00BE00C7" w:rsidRDefault="00000000" w:rsidP="00BE00C7">
            <w:pPr>
              <w:pStyle w:val="OutcomeDescription"/>
              <w:spacing w:before="120" w:after="120"/>
              <w:rPr>
                <w:rFonts w:cs="Arial"/>
                <w:lang w:eastAsia="en-NZ"/>
              </w:rPr>
            </w:pPr>
          </w:p>
        </w:tc>
      </w:tr>
      <w:tr w:rsidR="009F5EC7" w14:paraId="65A284AB" w14:textId="77777777">
        <w:tc>
          <w:tcPr>
            <w:tcW w:w="0" w:type="auto"/>
          </w:tcPr>
          <w:p w14:paraId="3889ABB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48D388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8BDD9CD" w14:textId="77777777" w:rsidR="00000000" w:rsidRPr="00BE00C7" w:rsidRDefault="00000000" w:rsidP="00BE00C7">
            <w:pPr>
              <w:pStyle w:val="OutcomeDescription"/>
              <w:spacing w:before="120" w:after="120"/>
              <w:rPr>
                <w:rFonts w:cs="Arial"/>
                <w:lang w:eastAsia="en-NZ"/>
              </w:rPr>
            </w:pPr>
          </w:p>
        </w:tc>
        <w:tc>
          <w:tcPr>
            <w:tcW w:w="0" w:type="auto"/>
          </w:tcPr>
          <w:p w14:paraId="765949A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6AEC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of such. The induction process for </w:t>
            </w:r>
            <w:r w:rsidRPr="00BE00C7">
              <w:rPr>
                <w:rFonts w:cs="Arial"/>
                <w:lang w:eastAsia="en-NZ"/>
              </w:rPr>
              <w:lastRenderedPageBreak/>
              <w:t>staff includes education related to professional boundaries, expected behaviours, and the code of conduct. A code of conduct statement is included in the staff employment agreement. Education on abuse and neglect is provided to staff annually. Residents reported that their property and finances were respected, and professional boundaries were maintained.</w:t>
            </w:r>
          </w:p>
          <w:p w14:paraId="5310EE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FM and CM/QAE reported that staff are guided by the code of conduct to ensure the environment is safe and free from any form of institutional and/or systemic racism. Family/whānau and residents stated that they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4B8C6F9C" w14:textId="77777777" w:rsidR="00000000" w:rsidRPr="00BE00C7" w:rsidRDefault="00000000" w:rsidP="00BE00C7">
            <w:pPr>
              <w:pStyle w:val="OutcomeDescription"/>
              <w:spacing w:before="120" w:after="120"/>
              <w:rPr>
                <w:rFonts w:cs="Arial"/>
                <w:lang w:eastAsia="en-NZ"/>
              </w:rPr>
            </w:pPr>
          </w:p>
        </w:tc>
      </w:tr>
      <w:tr w:rsidR="009F5EC7" w14:paraId="03D021A3" w14:textId="77777777">
        <w:tc>
          <w:tcPr>
            <w:tcW w:w="0" w:type="auto"/>
          </w:tcPr>
          <w:p w14:paraId="26C87B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43790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2B45F3C" w14:textId="77777777" w:rsidR="00000000" w:rsidRPr="00BE00C7" w:rsidRDefault="00000000" w:rsidP="00BE00C7">
            <w:pPr>
              <w:pStyle w:val="OutcomeDescription"/>
              <w:spacing w:before="120" w:after="120"/>
              <w:rPr>
                <w:rFonts w:cs="Arial"/>
                <w:lang w:eastAsia="en-NZ"/>
              </w:rPr>
            </w:pPr>
          </w:p>
        </w:tc>
        <w:tc>
          <w:tcPr>
            <w:tcW w:w="0" w:type="auto"/>
          </w:tcPr>
          <w:p w14:paraId="2CB6464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B21410" w14:textId="77777777" w:rsidR="00000000" w:rsidRPr="00BE00C7" w:rsidRDefault="00000000"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Resuscitation care plans were signed by residents who were competent and able to consent, and a medical decision was made by a general practitioner (GP) for residents who could not provide consent. This was verified in interviews with residents and family/whānau. Staff reported being encouraged to refer to the Māori health policy on tikanga best practices. Staff have received training on cultural safety and tikanga best practices. Staff have been trained around the Code of Rights, informed consent, and enduring power of attorney.</w:t>
            </w:r>
          </w:p>
          <w:p w14:paraId="35B88B98" w14:textId="77777777" w:rsidR="00000000" w:rsidRPr="00BE00C7" w:rsidRDefault="00000000" w:rsidP="00BE00C7">
            <w:pPr>
              <w:pStyle w:val="OutcomeDescription"/>
              <w:spacing w:before="120" w:after="120"/>
              <w:rPr>
                <w:rFonts w:cs="Arial"/>
                <w:lang w:eastAsia="en-NZ"/>
              </w:rPr>
            </w:pPr>
          </w:p>
        </w:tc>
      </w:tr>
      <w:tr w:rsidR="009F5EC7" w14:paraId="5317D981" w14:textId="77777777">
        <w:tc>
          <w:tcPr>
            <w:tcW w:w="0" w:type="auto"/>
          </w:tcPr>
          <w:p w14:paraId="62A70E6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DE07B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w:t>
            </w:r>
            <w:r w:rsidRPr="00BE00C7">
              <w:rPr>
                <w:rFonts w:cs="Arial"/>
                <w:lang w:eastAsia="en-NZ"/>
              </w:rPr>
              <w:lastRenderedPageBreak/>
              <w:t>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7E92826" w14:textId="77777777" w:rsidR="00000000" w:rsidRPr="00BE00C7" w:rsidRDefault="00000000" w:rsidP="00BE00C7">
            <w:pPr>
              <w:pStyle w:val="OutcomeDescription"/>
              <w:spacing w:before="120" w:after="120"/>
              <w:rPr>
                <w:rFonts w:cs="Arial"/>
                <w:lang w:eastAsia="en-NZ"/>
              </w:rPr>
            </w:pPr>
          </w:p>
        </w:tc>
        <w:tc>
          <w:tcPr>
            <w:tcW w:w="0" w:type="auto"/>
          </w:tcPr>
          <w:p w14:paraId="76B62EB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2A23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 management policy and procedures were documented to guide staff. The process complies with Right 10 of the Code of Rights which is the right to complain, to be taken seriously, respected, and to receive a timely response. The service has a complaint register in place. Five complaints were lodged in 2023, and four have been lodged in 2024. </w:t>
            </w:r>
            <w:r w:rsidRPr="00BE00C7">
              <w:rPr>
                <w:rFonts w:cs="Arial"/>
                <w:lang w:eastAsia="en-NZ"/>
              </w:rPr>
              <w:lastRenderedPageBreak/>
              <w:t>The CM/QAE reported that the complaint process timeframes are adhered to, and service improvement measures are implemented as required. Documentation, including follow-up letters and resolutions, is completed and managed in accordance with guidelines set by the Health and Disability Commissioner (HDC). Discussions with residents and families/whānau confirmed that they are provided with information on the complaints process and remarked that any concerns or issues they had are addressed promptly.</w:t>
            </w:r>
          </w:p>
          <w:p w14:paraId="59B11D07"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Families/whānau and residents making complaints can involve an independent support person. The complaints process is linked to advocacy services. The HDC Code of Health and Disability Services Consumers’ Rights is visible and available in te reo Māori and English. Residents and family/whānau spoken with expressed satisfaction with the complaint process. In the event of a complaint from a Māori resident or whānau member, the service would seek the assistance of an interpreter or cultural advisor if needed. No external complaints have been reported since the previous audit.</w:t>
            </w:r>
          </w:p>
          <w:p w14:paraId="7AB37EE4" w14:textId="77777777" w:rsidR="00000000" w:rsidRPr="00BE00C7" w:rsidRDefault="00000000" w:rsidP="00BE00C7">
            <w:pPr>
              <w:pStyle w:val="OutcomeDescription"/>
              <w:spacing w:before="120" w:after="120"/>
              <w:rPr>
                <w:rFonts w:cs="Arial"/>
                <w:lang w:eastAsia="en-NZ"/>
              </w:rPr>
            </w:pPr>
          </w:p>
        </w:tc>
      </w:tr>
      <w:tr w:rsidR="009F5EC7" w14:paraId="2273612F" w14:textId="77777777">
        <w:tc>
          <w:tcPr>
            <w:tcW w:w="0" w:type="auto"/>
          </w:tcPr>
          <w:p w14:paraId="54FFFA4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B30B2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6373AFB" w14:textId="77777777" w:rsidR="00000000" w:rsidRPr="00BE00C7" w:rsidRDefault="00000000" w:rsidP="00BE00C7">
            <w:pPr>
              <w:pStyle w:val="OutcomeDescription"/>
              <w:spacing w:before="120" w:after="120"/>
              <w:rPr>
                <w:rFonts w:cs="Arial"/>
                <w:lang w:eastAsia="en-NZ"/>
              </w:rPr>
            </w:pPr>
          </w:p>
        </w:tc>
        <w:tc>
          <w:tcPr>
            <w:tcW w:w="0" w:type="auto"/>
          </w:tcPr>
          <w:p w14:paraId="5FDE74A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2DA0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Aranui Home and Hospital provides rest home, hospital, and dementia level care for up to 89 residents (25 dementia beds and 64 dual-purpose rest home/hospital beds). At the time of the audit, there were 85 residents in total: 21 rest home level, including one resident under a mental health contract, and one on respite; 41 hospital level, including one resident funded by a long-term support-chronic health care (LTS-CHC) contract; and 23 requiring dementia level of care. The remaining residents were funded by the age-related residential care (ARRC) contract. </w:t>
            </w:r>
          </w:p>
          <w:p w14:paraId="15610E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directors who have extensive experience in the health sector and information technology. The directors own two aged care facilities in Auckland. The service is managed by a full-time, experienced facility manager who is a registered nurse. The FM is supported by the CM/QAE, registered nurses, an enrolled nurse, HCAs, and administrative staff. The FM reports to the directors. Responsibilities and accountabilities are clearly defined. The FM confirmed knowledge of the sector, regulatory, Ministry of Health and other mandatory reporting body requirements. </w:t>
            </w:r>
          </w:p>
          <w:p w14:paraId="476F61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FM and CM/QAE were able to describe the service delivery and improvement goals (2024). The service organisation philosophy, business strategy, and management plan reflect a resident/family-centred approach to all services. A documented business plan and strategy management plan (2024) includes the organisational chart, philosophy, vision, purpose, objectives, and values. The document describes annual and long-term objectives and the associated operational plans. The meeting minutes sighted were comprehensive and completed as per schedule. Governance meetings occur three monthly with the FM, CM/QAE, and the directors. The governance body monitors organisational performance, including finances, reports, and the approval of policies and procedures. Performance monitoring and reviewing is completed at each management meeting and at regular intervals. The quality programme includes a quality programme policy and quality goals. The FM, who is the health and safety officer, is familiar with the reporting process and risk management responsibilities.</w:t>
            </w:r>
          </w:p>
          <w:p w14:paraId="1701A2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incorporates the principles of Te Tiriti o Waitangi, including partnership, which recognises all cultures as partners and values each culture for its contributions. The governance body liaises with other external organisations to assist in removing barriers for Māori and improving policy and processes to be equitable and inclusive. There is a collaboration with mana whenua in business planning and service development that supports outcomes to achieve equity for Māori.</w:t>
            </w:r>
          </w:p>
          <w:p w14:paraId="34B48A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is responsible for overseeing clinical issues, and the CM/QAE leads this. Management maintains up-to-date knowledge of evidence-based practice through ongoing professional development and participation in the NZ Aged Care Association conferences.</w:t>
            </w:r>
          </w:p>
          <w:p w14:paraId="0D417006" w14:textId="77777777" w:rsidR="00000000" w:rsidRPr="00BE00C7" w:rsidRDefault="00000000" w:rsidP="00BE00C7">
            <w:pPr>
              <w:pStyle w:val="OutcomeDescription"/>
              <w:spacing w:before="120" w:after="120"/>
              <w:rPr>
                <w:rFonts w:cs="Arial"/>
                <w:lang w:eastAsia="en-NZ"/>
              </w:rPr>
            </w:pPr>
          </w:p>
        </w:tc>
      </w:tr>
      <w:tr w:rsidR="009F5EC7" w14:paraId="4AF24101" w14:textId="77777777">
        <w:tc>
          <w:tcPr>
            <w:tcW w:w="0" w:type="auto"/>
          </w:tcPr>
          <w:p w14:paraId="3F641B1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704B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50B4B8D" w14:textId="77777777" w:rsidR="00000000" w:rsidRPr="00BE00C7" w:rsidRDefault="00000000" w:rsidP="00BE00C7">
            <w:pPr>
              <w:pStyle w:val="OutcomeDescription"/>
              <w:spacing w:before="120" w:after="120"/>
              <w:rPr>
                <w:rFonts w:cs="Arial"/>
                <w:lang w:eastAsia="en-NZ"/>
              </w:rPr>
            </w:pPr>
          </w:p>
        </w:tc>
        <w:tc>
          <w:tcPr>
            <w:tcW w:w="0" w:type="auto"/>
          </w:tcPr>
          <w:p w14:paraId="0D5E32D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D255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implements the organisation’s quality and risk management programme, which the organisational framework directs. The quality management systems include performance evaluation through monitoring, measurement, analysis, and evaluation, a programme of internal audits, and a process for identifying and addressing corrective actions.</w:t>
            </w:r>
          </w:p>
          <w:p w14:paraId="2D363DE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Internal audits, meetings (including monthly staff meetings, residents’ meetings, monthly health and safety/quality and risk/maintenance and infection prevention control meetings, and household meetings), and data collation were documented as scheduled, with corrective actions completed as required. Corrective actions were documented to address service improvements, with evidence of progress and sign-off when achieved. The corrective actions were documented and discussed in staff meetings. Meetings provide an avenue for discussions about key performance indicators (including clinical such as infections, bruising, pressure injuries, skin tears, urinary tract infections, restraint etc); quality data; health and safety; infection control/pandemic strategies; complaints received (if any); staffing; and education. Meeting minutes and quality data are accessible to staff.</w:t>
            </w:r>
          </w:p>
          <w:p w14:paraId="14F2CA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satisfaction surveys completed in 2024 reflected high levels of satisfaction in all areas, including, staffing, activities, meals, cleaning, communication, and staff positive attitudes. The CM/QAE reported that the service had addressed areas of concern from the survey with the respective departments, such as the cook, staff and management. Evidence of this was sighted in the meeting minutes, and corrective action reports were reviewed. Furthermore, the reviewed staff meeting minutes reflected ongoing monitoring of these areas. A six-week post-admission follow-up survey is completed for all new residents to the service. Interviews with residents and family/whānau were positive and complimentary of all aspects of the service. </w:t>
            </w:r>
          </w:p>
          <w:p w14:paraId="415042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practices and adhering to relevant standards. </w:t>
            </w:r>
          </w:p>
          <w:p w14:paraId="3F08C8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risk management plan, policies, and procedures clearly describe all potential internal and external risks and corresponding mitigation strategies in accordance with the National Adverse Event Reporting Policy. Electronic reports on the resident management system are completed for each incident/accident, with immediate action noted and any follow-up action(s) required, evidenced in ten accident/incident forms reviewed. In the reviewed accident/incident forms, it was evident that each event involving a resident reflected a clinical assessment and follow-up by the CM/QAE. Incident and accident data is collated three monthly </w:t>
            </w:r>
            <w:r w:rsidRPr="00BE00C7">
              <w:rPr>
                <w:rFonts w:cs="Arial"/>
                <w:lang w:eastAsia="en-NZ"/>
              </w:rPr>
              <w:lastRenderedPageBreak/>
              <w:t>and analysed. Results are discussed at the meetings. Neurological observations are recorded for suspected head injuries and unwitnessed falls as per policy. Relatives are notified following adverse events (confirmed in interviews). The CM/QAE reviews every adverse event and identifies opportunities to minimise future risks. A severity Assessment Code (SAC) 1 was reported for an unwitnessed fall, resulting in a fracture.</w:t>
            </w:r>
          </w:p>
          <w:p w14:paraId="4F07F5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with identified health and safety goals is in place. Hazard identification forms are held at the entrance, and an up-to-date hazard register was sighted. The health and safety officer implements and monitors health and safety policies. There are regular manual handling sessions for staff. Staff state that they are kept informed on health and safety issues. Individual fall prevention strategies are in place for residents identified at risk of falls. </w:t>
            </w:r>
          </w:p>
          <w:p w14:paraId="7F55DF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CM/QAE, evidenced awareness of their requirement to notify relevant authorities in relation to essential notifications. There have been no Section 31 and Covid-19 infection outbreaks notifications completed since the last audit. </w:t>
            </w:r>
          </w:p>
          <w:p w14:paraId="1C6ADECE" w14:textId="77777777" w:rsidR="00000000" w:rsidRPr="00BE00C7" w:rsidRDefault="00000000" w:rsidP="00BE00C7">
            <w:pPr>
              <w:pStyle w:val="OutcomeDescription"/>
              <w:spacing w:before="120" w:after="120"/>
              <w:rPr>
                <w:rFonts w:cs="Arial"/>
                <w:lang w:eastAsia="en-NZ"/>
              </w:rPr>
            </w:pPr>
          </w:p>
        </w:tc>
      </w:tr>
      <w:tr w:rsidR="009F5EC7" w14:paraId="75765719" w14:textId="77777777">
        <w:tc>
          <w:tcPr>
            <w:tcW w:w="0" w:type="auto"/>
          </w:tcPr>
          <w:p w14:paraId="4AB497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2DCF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16B2CAF" w14:textId="77777777" w:rsidR="00000000" w:rsidRPr="00BE00C7" w:rsidRDefault="00000000" w:rsidP="00BE00C7">
            <w:pPr>
              <w:pStyle w:val="OutcomeDescription"/>
              <w:spacing w:before="120" w:after="120"/>
              <w:rPr>
                <w:rFonts w:cs="Arial"/>
                <w:lang w:eastAsia="en-NZ"/>
              </w:rPr>
            </w:pPr>
          </w:p>
        </w:tc>
        <w:tc>
          <w:tcPr>
            <w:tcW w:w="0" w:type="auto"/>
          </w:tcPr>
          <w:p w14:paraId="779E0ED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AB28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that there had been adequate staff at the service. Residents and family/whānau interviewed supported this. Over the past four weeks, rosters showed that all shifts were covered by experienced staff, with support from the management team. Registered nurses, an enrolled nurse and a selected few HCAs maintain current first aid certificates, so a first aider is always on site. The CM/QAE provides coverage for all clinical issues. </w:t>
            </w:r>
          </w:p>
          <w:p w14:paraId="12329A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The CM/QAE reported that training is completed online or face-to-face. Evidence of regular education provided to staff was sighted in attendance records. Training and competency topics included (but were not limited to) Covid-19 (donning and doffing of personal protective equipment and standard infection control precautions), abuse and neglect; challenging behaviour; cultural safety; chemical safety; </w:t>
            </w:r>
            <w:r w:rsidRPr="00BE00C7">
              <w:rPr>
                <w:rFonts w:cs="Arial"/>
                <w:lang w:eastAsia="en-NZ"/>
              </w:rPr>
              <w:lastRenderedPageBreak/>
              <w:t>medicine management; assessing and management of mild trauma injury/concussion, wound care; palliative care; food safety; catheter care; restraint minimisation; first aid; and fire evacuation.</w:t>
            </w:r>
          </w:p>
          <w:p w14:paraId="3A4F96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Out of a total of 43 healthcare assistants, 35 have completed their level four qualification, five have completed their level three qualification, one has completed their level two qualification, and four are working towards registration for them to commence training. Thirty-five of the HCAs work in the dementia unit have all attained the dementia unit standards. The CM/QAE reported that the model of care ensured that all residents were treated equitably.</w:t>
            </w:r>
          </w:p>
          <w:p w14:paraId="1A58A312"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55749B4A" w14:textId="77777777" w:rsidR="00000000" w:rsidRPr="00BE00C7" w:rsidRDefault="00000000" w:rsidP="00BE00C7">
            <w:pPr>
              <w:pStyle w:val="OutcomeDescription"/>
              <w:spacing w:before="120" w:after="120"/>
              <w:rPr>
                <w:rFonts w:cs="Arial"/>
                <w:lang w:eastAsia="en-NZ"/>
              </w:rPr>
            </w:pPr>
          </w:p>
        </w:tc>
      </w:tr>
      <w:tr w:rsidR="009F5EC7" w14:paraId="58129E6E" w14:textId="77777777">
        <w:tc>
          <w:tcPr>
            <w:tcW w:w="0" w:type="auto"/>
          </w:tcPr>
          <w:p w14:paraId="57F845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A9038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9C78138" w14:textId="77777777" w:rsidR="00000000" w:rsidRPr="00BE00C7" w:rsidRDefault="00000000" w:rsidP="00BE00C7">
            <w:pPr>
              <w:pStyle w:val="OutcomeDescription"/>
              <w:spacing w:before="120" w:after="120"/>
              <w:rPr>
                <w:rFonts w:cs="Arial"/>
                <w:lang w:eastAsia="en-NZ"/>
              </w:rPr>
            </w:pPr>
          </w:p>
        </w:tc>
        <w:tc>
          <w:tcPr>
            <w:tcW w:w="0" w:type="auto"/>
          </w:tcPr>
          <w:p w14:paraId="35B512A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98FA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including recruitment, selection, orientation, and staff training and development. </w:t>
            </w:r>
          </w:p>
          <w:p w14:paraId="4DCE70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the registered nurse and associated health contractors (GP, pharmacists, a physiotherapist, a podiatrist, and a dietitian). </w:t>
            </w:r>
          </w:p>
          <w:p w14:paraId="03B4C47B" w14:textId="77777777" w:rsidR="00000000" w:rsidRPr="00BE00C7" w:rsidRDefault="00000000" w:rsidP="00BE00C7">
            <w:pPr>
              <w:pStyle w:val="OutcomeDescription"/>
              <w:spacing w:before="120" w:after="120"/>
              <w:rPr>
                <w:rFonts w:cs="Arial"/>
                <w:lang w:eastAsia="en-NZ"/>
              </w:rPr>
            </w:pPr>
            <w:r w:rsidRPr="00BE00C7">
              <w:rPr>
                <w:rFonts w:cs="Arial"/>
                <w:lang w:eastAsia="en-NZ"/>
              </w:rPr>
              <w:t>A sample of staff records reviewed confirmed that the organisation’s policies are being consistently implemented. All staff records reviewed evidenced completed induction and orientation. Seven staff files (CM/QAE, registered nurse, team leader, one HCA, a cook, and two housekeepers) were reviewed. Staff files included: reference checks; police vetting; appraisals; competencies; individual training plans; professional qualifications; orientation; employment agreements; and position descriptions.</w:t>
            </w:r>
          </w:p>
          <w:p w14:paraId="48E260E0"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2FAB4213" w14:textId="77777777" w:rsidR="00000000" w:rsidRPr="00BE00C7" w:rsidRDefault="00000000" w:rsidP="00BE00C7">
            <w:pPr>
              <w:pStyle w:val="OutcomeDescription"/>
              <w:spacing w:before="120" w:after="120"/>
              <w:rPr>
                <w:rFonts w:cs="Arial"/>
                <w:lang w:eastAsia="en-NZ"/>
              </w:rPr>
            </w:pPr>
          </w:p>
        </w:tc>
      </w:tr>
      <w:tr w:rsidR="009F5EC7" w14:paraId="5EF24B84" w14:textId="77777777">
        <w:tc>
          <w:tcPr>
            <w:tcW w:w="0" w:type="auto"/>
          </w:tcPr>
          <w:p w14:paraId="5D54BF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73F72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8293494" w14:textId="77777777" w:rsidR="00000000" w:rsidRPr="00BE00C7" w:rsidRDefault="00000000" w:rsidP="00BE00C7">
            <w:pPr>
              <w:pStyle w:val="OutcomeDescription"/>
              <w:spacing w:before="120" w:after="120"/>
              <w:rPr>
                <w:rFonts w:cs="Arial"/>
                <w:lang w:eastAsia="en-NZ"/>
              </w:rPr>
            </w:pPr>
          </w:p>
        </w:tc>
        <w:tc>
          <w:tcPr>
            <w:tcW w:w="0" w:type="auto"/>
          </w:tcPr>
          <w:p w14:paraId="5FD3185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597D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including two rest home level, two hospital level (one on LTS-CHC contract) and two dementia level residents. Registered nurses are responsible for assessing residents on admission and on an ongoing basis. All resident files reviewed have evidence of resident, family and whānau involvement in the assessment and care planning process. Residents interviewed confirmed they are involved in decision-making and have choices about their care. Assessments, interim care plans, interRAI assessments and long-term care plans are developed within the timeframes required by the ARRC. </w:t>
            </w:r>
          </w:p>
          <w:p w14:paraId="443AE94D" w14:textId="77777777" w:rsidR="00000000" w:rsidRPr="00BE00C7" w:rsidRDefault="00000000" w:rsidP="00BE00C7">
            <w:pPr>
              <w:pStyle w:val="OutcomeDescription"/>
              <w:spacing w:before="120" w:after="120"/>
              <w:rPr>
                <w:rFonts w:cs="Arial"/>
                <w:lang w:eastAsia="en-NZ"/>
              </w:rPr>
            </w:pPr>
            <w:r w:rsidRPr="00BE00C7">
              <w:rPr>
                <w:rFonts w:cs="Arial"/>
                <w:lang w:eastAsia="en-NZ"/>
              </w:rPr>
              <w:t>Initial medical assessments are completed by the contracted general practitioner within contractual timeframes, and thereafter residents have at least three-monthly medical reviews by the general practitioner routinely, or more often as needed, should their needs change. The general practice provides 24-hour and seven day per week on call services.</w:t>
            </w:r>
          </w:p>
          <w:p w14:paraId="2314F6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physiotherapist is contracted for eight hours per week to complete mobility assessments, make recommendations for the resident’s mobility/transfer and advise on strength and balance exercises as required. Residents have access to a visiting podiatrist six-weekly. Dietician input is sought where required. Allied health practitioner and general practitioner assessments and interventions are documented and integrated into care plans.</w:t>
            </w:r>
          </w:p>
          <w:p w14:paraId="764844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review of resident files shows assessment is comprehensive and utilises interRAI triggers which are included in the care plans. Examples sighted include, but are not limited to, physical activity, mood changes, under nutrition, communication, behaviour, and maintaining continence. Care plans are comprehensive and cover the following areas: mobility and transfer; personal cares including oral cares; nutrition; elimination; social; night cares; management of medical conditions; and culture. Care plans for residents in the dementia unit include triggers for behaviour, strategies for management and information from the family/whānau on what strategies have been successful in the past. The care plans also include activities over the 24-hour period.</w:t>
            </w:r>
          </w:p>
          <w:p w14:paraId="4D79EE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Registered nurses and healthcare assistants described how they involve residents and families/whānau in implementing care plans. Residents and families/whānau interviewed confirmed staff involve and communicate with them, and stated staff are respectful, thoughtful, kind and answer call bells promptly. The general practitioner confirmed staff are knowledgeable and competent and notify them when there are any changes.</w:t>
            </w:r>
          </w:p>
          <w:p w14:paraId="59C516AB"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Healthcare assistants interviewed could describe a verbal handover at the beginning of each duty to maintain a continuity of service delivery; this was observed during the audit. Progress notes and monitoring charts for personal cares document care provided according to the care plan each shift. Registered nurses document at least daily for hospital level and at least weekly and as necessary for rest home and dementia level residents. Healthcare assistants document the cares provided on each shift. There is regular documented input from the general practitioner and allied health professionals. There was evidence the registered nurse has added to the progress notes when there was an incident or changes in health status or to complete regular registered nurse reviews of the care provided. Short-term care plans are developed when there are short-term needs such as wounds or infections.</w:t>
            </w:r>
          </w:p>
          <w:p w14:paraId="790379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are reviewed routinely every six months or more frequently if the needs of residents’ change. InterRAI assessments are completed before the care plan review so that outcome measurements are utilised to evaluate progress or identify new needs. InterRAI assessments are completed for the resident on LTS-CHC contract. Families and whānau are invited to either attend care plan reviews or to email any suggestions if they are unable to attend. Care plan reviews include a review of the residents’ goals and aspirations and if the supports given are helping to achieve these. </w:t>
            </w:r>
          </w:p>
          <w:p w14:paraId="154908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monitors residents’ weight and vital signs routinely each month, or more frequently when indicated. Neurological observations are completed at recommended intervals for residents with unwitnessed falls or falls where the head trauma occurred. Monitoring charts are completed according to identified needs and include but are not limited to bowels, food and fluids, behaviour, blood glucose levels, positioning, personal cares and falls risk. </w:t>
            </w:r>
          </w:p>
          <w:p w14:paraId="24189AAB" w14:textId="40771F31" w:rsidR="00000000" w:rsidRPr="00BE00C7" w:rsidRDefault="00000000" w:rsidP="001142CA">
            <w:pPr>
              <w:pStyle w:val="OutcomeDescription"/>
              <w:spacing w:before="120" w:after="120"/>
              <w:rPr>
                <w:rFonts w:cs="Arial"/>
                <w:lang w:eastAsia="en-NZ"/>
              </w:rPr>
            </w:pPr>
            <w:r w:rsidRPr="00BE00C7">
              <w:rPr>
                <w:rFonts w:cs="Arial"/>
                <w:lang w:eastAsia="en-NZ"/>
              </w:rPr>
              <w:lastRenderedPageBreak/>
              <w:t>At the time of the audit there was a total of 21 wounds and no pressure injuries. Staff confirm they can access a wound nurse specialist if needed. Assessments and wound management plans including wound measurements and photographs were reviewed. An electronic wound register has been fully maintained. Wound assessment, wound management, monitoring and evaluation occurred as planned in the sample of wounds reviewed. Healthcare assistants and registered nurses interviewed stated there are adequate clinical supplies and equipment provided, including continence, wound care supplies and pressure injury prevention resources. There is access to a continence specialist as required.</w:t>
            </w:r>
            <w:r w:rsidR="00C21D2E">
              <w:rPr>
                <w:rFonts w:cs="Arial"/>
                <w:lang w:eastAsia="en-NZ"/>
              </w:rPr>
              <w:br/>
            </w:r>
          </w:p>
        </w:tc>
      </w:tr>
      <w:tr w:rsidR="009F5EC7" w14:paraId="115B9EE7" w14:textId="77777777">
        <w:tc>
          <w:tcPr>
            <w:tcW w:w="0" w:type="auto"/>
          </w:tcPr>
          <w:p w14:paraId="1047FD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4C34C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360DC0A" w14:textId="77777777" w:rsidR="00000000" w:rsidRPr="00BE00C7" w:rsidRDefault="00000000" w:rsidP="00BE00C7">
            <w:pPr>
              <w:pStyle w:val="OutcomeDescription"/>
              <w:spacing w:before="120" w:after="120"/>
              <w:rPr>
                <w:rFonts w:cs="Arial"/>
                <w:lang w:eastAsia="en-NZ"/>
              </w:rPr>
            </w:pPr>
          </w:p>
        </w:tc>
        <w:tc>
          <w:tcPr>
            <w:tcW w:w="0" w:type="auto"/>
          </w:tcPr>
          <w:p w14:paraId="75E6540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31AB8B"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for medication management align with current guidelines and legislation. The Medi-map system is in place for prescribing and documenting administration. Medication rounds were observed in the hospital, rest home and dementia unit and seen to be safe. Medications are administered by registered nurses and senior healthcare assistants. All staff administering medications are required to pass an annual competency test and have ongoing training in medicine management.</w:t>
            </w:r>
          </w:p>
          <w:p w14:paraId="2C8EAC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supplied by a local pharmacy in blister packs. Staff could describe their responsibilities for receiving medications from the pharmacy, including checking against prescriptions. Expired and unused medications are returned to the pharmacy. Medicines were seen to be stored in locked trolleys, in locked cupboards, locked medication rooms and a controlled medication safe. The registered nurses complete expiry date checks of stored medications weekly and count the controlled medications weekly as required and six-monthly with the pharmacist. The medication refrigerator and medication room temperatures are monitored daily and are within an acceptable range. Liquid medications and eye drops are labelled with the date of opening. </w:t>
            </w:r>
          </w:p>
          <w:p w14:paraId="7882E6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Twelve medication charts were reviewed. These meet prescribing requirements and are reviewed at least three-monthly by the general practitioner. Any changes to medications are discussed with residents and families. All medication charts had photographic identification. Allergies and adverse reactions are clearly recorded. Pro re nata </w:t>
            </w:r>
            <w:r w:rsidRPr="00BE00C7">
              <w:rPr>
                <w:rFonts w:cs="Arial"/>
                <w:lang w:eastAsia="en-NZ"/>
              </w:rPr>
              <w:lastRenderedPageBreak/>
              <w:t>medications have the indications documented in the prescription, and their effectiveness is documented in the medi-map system.</w:t>
            </w:r>
          </w:p>
          <w:p w14:paraId="50C9EB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residents self-medicating, although there is a documented process to manage this outlined in the policy. Standing orders are not used. Staff confirm they have been trained in indications and documenting requirements for using these.</w:t>
            </w:r>
          </w:p>
          <w:p w14:paraId="6D4BD5F2" w14:textId="77777777" w:rsidR="00000000" w:rsidRPr="00BE00C7" w:rsidRDefault="00000000" w:rsidP="00BE00C7">
            <w:pPr>
              <w:pStyle w:val="OutcomeDescription"/>
              <w:spacing w:before="120" w:after="120"/>
              <w:rPr>
                <w:rFonts w:cs="Arial"/>
                <w:lang w:eastAsia="en-NZ"/>
              </w:rPr>
            </w:pPr>
          </w:p>
        </w:tc>
      </w:tr>
      <w:tr w:rsidR="009F5EC7" w14:paraId="4230B15B" w14:textId="77777777">
        <w:tc>
          <w:tcPr>
            <w:tcW w:w="0" w:type="auto"/>
          </w:tcPr>
          <w:p w14:paraId="02EBAC4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63E02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3F2E45C" w14:textId="77777777" w:rsidR="00000000" w:rsidRPr="00BE00C7" w:rsidRDefault="00000000" w:rsidP="00BE00C7">
            <w:pPr>
              <w:pStyle w:val="OutcomeDescription"/>
              <w:spacing w:before="120" w:after="120"/>
              <w:rPr>
                <w:rFonts w:cs="Arial"/>
                <w:lang w:eastAsia="en-NZ"/>
              </w:rPr>
            </w:pPr>
          </w:p>
        </w:tc>
        <w:tc>
          <w:tcPr>
            <w:tcW w:w="0" w:type="auto"/>
          </w:tcPr>
          <w:p w14:paraId="082F719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24A0D8" w14:textId="77777777" w:rsidR="00000000" w:rsidRPr="00BE00C7" w:rsidRDefault="00000000" w:rsidP="00BE00C7">
            <w:pPr>
              <w:pStyle w:val="OutcomeDescription"/>
              <w:spacing w:before="120" w:after="120"/>
              <w:rPr>
                <w:rFonts w:cs="Arial"/>
                <w:lang w:eastAsia="en-NZ"/>
              </w:rPr>
            </w:pPr>
            <w:r w:rsidRPr="00BE00C7">
              <w:rPr>
                <w:rFonts w:cs="Arial"/>
                <w:lang w:eastAsia="en-NZ"/>
              </w:rPr>
              <w:t>All meals and baking are prepared and cooked onsite by a cook and assistants. All have completed food safety training. There is a four-week summer and winter menu that has been reviewed by a registered dietitian. Food preferences, dislikes, intolerances, allergies and required food texture are identified on admission and communicated to the cook, who keeps this information current. Alternatives are prepared if residents don’t like what is on the menu. The cook meets with residents individually and in resident meetings to gain feedback on the meal service. Cultural preferences and celebrations are catered for. During the audit, a Christmas party was held with families/whānau invited. Residents interviewed confirmed they are happy with the meals provided and can give feedback at any time. They stated that if they don’t like what is provided, an alternative is offered.</w:t>
            </w:r>
          </w:p>
          <w:p w14:paraId="5B3B37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control plan is current to April 2025.</w:t>
            </w:r>
          </w:p>
          <w:p w14:paraId="09D81881" w14:textId="77777777" w:rsidR="00000000" w:rsidRPr="00BE00C7" w:rsidRDefault="00000000" w:rsidP="00BE00C7">
            <w:pPr>
              <w:pStyle w:val="OutcomeDescription"/>
              <w:spacing w:before="120" w:after="120"/>
              <w:rPr>
                <w:rFonts w:cs="Arial"/>
                <w:lang w:eastAsia="en-NZ"/>
              </w:rPr>
            </w:pPr>
          </w:p>
        </w:tc>
      </w:tr>
      <w:tr w:rsidR="009F5EC7" w14:paraId="499174AA" w14:textId="77777777">
        <w:tc>
          <w:tcPr>
            <w:tcW w:w="0" w:type="auto"/>
          </w:tcPr>
          <w:p w14:paraId="6110B5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90212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lastRenderedPageBreak/>
              <w:t>provide and coordinate a supported transition of care or support.</w:t>
            </w:r>
          </w:p>
          <w:p w14:paraId="3F7B4CBF" w14:textId="77777777" w:rsidR="00000000" w:rsidRPr="00BE00C7" w:rsidRDefault="00000000" w:rsidP="00BE00C7">
            <w:pPr>
              <w:pStyle w:val="OutcomeDescription"/>
              <w:spacing w:before="120" w:after="120"/>
              <w:rPr>
                <w:rFonts w:cs="Arial"/>
                <w:lang w:eastAsia="en-NZ"/>
              </w:rPr>
            </w:pPr>
          </w:p>
        </w:tc>
        <w:tc>
          <w:tcPr>
            <w:tcW w:w="0" w:type="auto"/>
          </w:tcPr>
          <w:p w14:paraId="783C14E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FBA443"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Transition, transfer to another facility or hospital and discharge is a planned process that includes communication with the resident and their family/whānau and communicating and documenting the care needs and potential risks to the other facility. If a resident becomes acutely unwell the registered nurse can call the general practitioner for advice. If a resident needs urgent transfer to hospital, the ambulance is called and family/whānau informed. Registered nurses described the documentation required to accompany the resident to hospital and confirmed the family/whānau are notified.</w:t>
            </w:r>
          </w:p>
          <w:p w14:paraId="57D96200" w14:textId="77777777" w:rsidR="00000000" w:rsidRPr="00BE00C7" w:rsidRDefault="00000000" w:rsidP="00BE00C7">
            <w:pPr>
              <w:pStyle w:val="OutcomeDescription"/>
              <w:spacing w:before="120" w:after="120"/>
              <w:rPr>
                <w:rFonts w:cs="Arial"/>
                <w:lang w:eastAsia="en-NZ"/>
              </w:rPr>
            </w:pPr>
          </w:p>
        </w:tc>
      </w:tr>
      <w:tr w:rsidR="009F5EC7" w14:paraId="46FEE66A" w14:textId="77777777">
        <w:tc>
          <w:tcPr>
            <w:tcW w:w="0" w:type="auto"/>
          </w:tcPr>
          <w:p w14:paraId="6C356F5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8FDC8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B00E908" w14:textId="77777777" w:rsidR="00000000" w:rsidRPr="00BE00C7" w:rsidRDefault="00000000" w:rsidP="00BE00C7">
            <w:pPr>
              <w:pStyle w:val="OutcomeDescription"/>
              <w:spacing w:before="120" w:after="120"/>
              <w:rPr>
                <w:rFonts w:cs="Arial"/>
                <w:lang w:eastAsia="en-NZ"/>
              </w:rPr>
            </w:pPr>
          </w:p>
        </w:tc>
        <w:tc>
          <w:tcPr>
            <w:tcW w:w="0" w:type="auto"/>
          </w:tcPr>
          <w:p w14:paraId="0CF8A34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9CF7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warrant of fitness is current to 4 June 2025. There are two part-time maintenance people employed who can be available on-call if needed. There is a preventative maintenance plan for maintaining the building and equipment. Maintaining compliance for the building warrant of fitness is contracted out. There is a logbook for staff to log maintenance and repair requests. This is checked by maintenance staff daily and signed off when completed. Essential contractors such as plumbers and electricians are available 24 hours as required. A review of maintenance records shows clinical equipment, including hoists, was serviced and calibrated on 8 May 2024, and electrical appliances were tested and tagged on 8 July 2024.</w:t>
            </w:r>
          </w:p>
          <w:p w14:paraId="55BD49F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personalise their room.</w:t>
            </w:r>
          </w:p>
          <w:p w14:paraId="59CA7532" w14:textId="77777777" w:rsidR="00000000" w:rsidRPr="00BE00C7" w:rsidRDefault="00000000" w:rsidP="00BE00C7">
            <w:pPr>
              <w:pStyle w:val="OutcomeDescription"/>
              <w:spacing w:before="120" w:after="120"/>
              <w:rPr>
                <w:rFonts w:cs="Arial"/>
                <w:lang w:eastAsia="en-NZ"/>
              </w:rPr>
            </w:pPr>
          </w:p>
        </w:tc>
      </w:tr>
      <w:tr w:rsidR="009F5EC7" w14:paraId="22FE2DC2" w14:textId="77777777">
        <w:tc>
          <w:tcPr>
            <w:tcW w:w="0" w:type="auto"/>
          </w:tcPr>
          <w:p w14:paraId="3BDA55E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21DB6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8DF54EB" w14:textId="77777777" w:rsidR="00000000" w:rsidRPr="00BE00C7" w:rsidRDefault="00000000" w:rsidP="00BE00C7">
            <w:pPr>
              <w:pStyle w:val="OutcomeDescription"/>
              <w:spacing w:before="120" w:after="120"/>
              <w:rPr>
                <w:rFonts w:cs="Arial"/>
                <w:lang w:eastAsia="en-NZ"/>
              </w:rPr>
            </w:pPr>
          </w:p>
        </w:tc>
        <w:tc>
          <w:tcPr>
            <w:tcW w:w="0" w:type="auto"/>
          </w:tcPr>
          <w:p w14:paraId="7AC9769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D65F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management team, in consultation with the CM/QAE, and is linked to the quality improvement programme. The IPC programme was current. The IPC policies were developed by suitably qualified personnel and comply with relevant legislation and accepted best practices. The IPC policies reflect the requirements of the infection prevention and control standards and include appropriate referencing.</w:t>
            </w:r>
          </w:p>
          <w:p w14:paraId="440E6511"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Education with residents was on an individual basis and as a group in residents’ meetings. This included reminders about handwashing and advice about remaining in their room if they are unwell. This was confirmed in interviews with residents and family/whānau.</w:t>
            </w:r>
          </w:p>
          <w:p w14:paraId="77481297" w14:textId="77777777" w:rsidR="00000000" w:rsidRPr="00BE00C7" w:rsidRDefault="00000000" w:rsidP="00BE00C7">
            <w:pPr>
              <w:pStyle w:val="OutcomeDescription"/>
              <w:spacing w:before="120" w:after="120"/>
              <w:rPr>
                <w:rFonts w:cs="Arial"/>
                <w:lang w:eastAsia="en-NZ"/>
              </w:rPr>
            </w:pPr>
          </w:p>
        </w:tc>
      </w:tr>
      <w:tr w:rsidR="009F5EC7" w14:paraId="6ABE81AF" w14:textId="77777777">
        <w:tc>
          <w:tcPr>
            <w:tcW w:w="0" w:type="auto"/>
          </w:tcPr>
          <w:p w14:paraId="0C2E2B8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24932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D267C16" w14:textId="77777777" w:rsidR="00000000" w:rsidRPr="00BE00C7" w:rsidRDefault="00000000" w:rsidP="00BE00C7">
            <w:pPr>
              <w:pStyle w:val="OutcomeDescription"/>
              <w:spacing w:before="120" w:after="120"/>
              <w:rPr>
                <w:rFonts w:cs="Arial"/>
                <w:lang w:eastAsia="en-NZ"/>
              </w:rPr>
            </w:pPr>
          </w:p>
        </w:tc>
        <w:tc>
          <w:tcPr>
            <w:tcW w:w="0" w:type="auto"/>
          </w:tcPr>
          <w:p w14:paraId="3873186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7D15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urinary tract infections, skin, eyes, respiratory, and wounds. Surveillance tools are used to collect infection data, and standardised surveillance definitions are used. Surveillance results and recommendations to improve performance are discussed at staff meetings and reported to the directors.</w:t>
            </w:r>
          </w:p>
          <w:p w14:paraId="03BDB5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covering cleaning, laundry, personal protective equipment (PPE), donning and doffing, and hand hygiene. Relevant corrective actions were implemented where required. </w:t>
            </w:r>
          </w:p>
          <w:p w14:paraId="1FDC6806"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during shift handovers for the implementation of early interventions. Internal benchmarking is completed comparing results from previous months and also by an external consultant. The external consultant reviews the benchmarking quarterly.</w:t>
            </w:r>
          </w:p>
          <w:p w14:paraId="658F7E8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Covid-19 infection outbreaks reported since the previous audit.</w:t>
            </w:r>
          </w:p>
          <w:p w14:paraId="4CF4E9EA" w14:textId="77777777" w:rsidR="00000000" w:rsidRPr="00BE00C7" w:rsidRDefault="00000000" w:rsidP="00BE00C7">
            <w:pPr>
              <w:pStyle w:val="OutcomeDescription"/>
              <w:spacing w:before="120" w:after="120"/>
              <w:rPr>
                <w:rFonts w:cs="Arial"/>
                <w:lang w:eastAsia="en-NZ"/>
              </w:rPr>
            </w:pPr>
          </w:p>
        </w:tc>
      </w:tr>
      <w:tr w:rsidR="009F5EC7" w14:paraId="2CBE837A" w14:textId="77777777">
        <w:tc>
          <w:tcPr>
            <w:tcW w:w="0" w:type="auto"/>
          </w:tcPr>
          <w:p w14:paraId="298201F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B9185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8CB5C85" w14:textId="77777777" w:rsidR="00000000" w:rsidRPr="00BE00C7" w:rsidRDefault="00000000" w:rsidP="00BE00C7">
            <w:pPr>
              <w:pStyle w:val="OutcomeDescription"/>
              <w:spacing w:before="120" w:after="120"/>
              <w:rPr>
                <w:rFonts w:cs="Arial"/>
                <w:lang w:eastAsia="en-NZ"/>
              </w:rPr>
            </w:pPr>
          </w:p>
        </w:tc>
        <w:tc>
          <w:tcPr>
            <w:tcW w:w="0" w:type="auto"/>
          </w:tcPr>
          <w:p w14:paraId="4CA90D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6BF7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minimisation and safe practice policy specifies the organisation’s commitment to maintaining a restraint-free environment.  There is no use of restraint. The policy and procedures describe the process for implementing restraint, including a holistic assessment, an approval process that includes family/whānau and the general practitioner, identifying alternative strategies, including de-escalation, and monitoring and review of restraint.</w:t>
            </w:r>
          </w:p>
          <w:p w14:paraId="2500F1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receive ongoing training in maintaining a restraint free environment, de-escalation, cultural safety and alternative strategies to the use of </w:t>
            </w:r>
            <w:r w:rsidRPr="00BE00C7">
              <w:rPr>
                <w:rFonts w:cs="Arial"/>
                <w:lang w:eastAsia="en-NZ"/>
              </w:rPr>
              <w:lastRenderedPageBreak/>
              <w:t>restraint. Healthcare assistants and registered nurses complete an annual competency test in restraint minimisation.</w:t>
            </w:r>
          </w:p>
          <w:p w14:paraId="302F96F2" w14:textId="77777777" w:rsidR="00000000" w:rsidRPr="00BE00C7" w:rsidRDefault="00000000" w:rsidP="00BE00C7">
            <w:pPr>
              <w:pStyle w:val="OutcomeDescription"/>
              <w:spacing w:before="120" w:after="120"/>
              <w:rPr>
                <w:rFonts w:cs="Arial"/>
                <w:lang w:eastAsia="en-NZ"/>
              </w:rPr>
            </w:pPr>
          </w:p>
        </w:tc>
      </w:tr>
    </w:tbl>
    <w:p w14:paraId="23C6B6B0"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95B4FD6" w14:textId="77777777" w:rsidR="00000000" w:rsidRDefault="00000000">
      <w:pPr>
        <w:pStyle w:val="Heading1"/>
        <w:rPr>
          <w:rFonts w:cs="Arial"/>
        </w:rPr>
      </w:pPr>
      <w:r>
        <w:rPr>
          <w:rFonts w:cs="Arial"/>
        </w:rPr>
        <w:lastRenderedPageBreak/>
        <w:t>Specific results for criterion where corrective actions are required</w:t>
      </w:r>
    </w:p>
    <w:p w14:paraId="5F128CAC"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AB8AB5"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0F534FF"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5EC7" w14:paraId="214CA828" w14:textId="77777777">
        <w:tc>
          <w:tcPr>
            <w:tcW w:w="0" w:type="auto"/>
          </w:tcPr>
          <w:p w14:paraId="59FEDC0C"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DBC5C6"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E3EFC18" w14:textId="77777777" w:rsidR="00000000" w:rsidRDefault="00000000">
      <w:pPr>
        <w:pStyle w:val="Heading1"/>
        <w:rPr>
          <w:rFonts w:cs="Arial"/>
        </w:rPr>
      </w:pPr>
      <w:r>
        <w:rPr>
          <w:rFonts w:cs="Arial"/>
        </w:rPr>
        <w:lastRenderedPageBreak/>
        <w:t>Specific results for criterion where a continuous improvement has been recorded</w:t>
      </w:r>
    </w:p>
    <w:p w14:paraId="615A034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53C9D7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1720D44"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5EC7" w14:paraId="732DAAB0" w14:textId="77777777">
        <w:tc>
          <w:tcPr>
            <w:tcW w:w="0" w:type="auto"/>
          </w:tcPr>
          <w:p w14:paraId="5F73A92A"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9FA1A7F"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AD75E04"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8494" w14:textId="77777777" w:rsidR="0092382F" w:rsidRDefault="0092382F">
      <w:r>
        <w:separator/>
      </w:r>
    </w:p>
  </w:endnote>
  <w:endnote w:type="continuationSeparator" w:id="0">
    <w:p w14:paraId="1DACD887" w14:textId="77777777" w:rsidR="0092382F" w:rsidRDefault="0092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1FD6" w14:textId="77777777" w:rsidR="00000000" w:rsidRDefault="00000000">
    <w:pPr>
      <w:pStyle w:val="Footer"/>
    </w:pPr>
  </w:p>
  <w:p w14:paraId="50073613" w14:textId="77777777" w:rsidR="00000000" w:rsidRDefault="00000000"/>
  <w:p w14:paraId="3FB24ED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0C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Lexon Limited - Aranui Home and Hospital</w:t>
    </w:r>
    <w:bookmarkEnd w:id="59"/>
    <w:r>
      <w:rPr>
        <w:rFonts w:cs="Arial"/>
        <w:sz w:val="16"/>
        <w:szCs w:val="20"/>
      </w:rPr>
      <w:tab/>
      <w:t xml:space="preserve">Date of Audit: </w:t>
    </w:r>
    <w:bookmarkStart w:id="60" w:name="AuditStartDate1"/>
    <w:r>
      <w:rPr>
        <w:rFonts w:cs="Arial"/>
        <w:sz w:val="16"/>
        <w:szCs w:val="20"/>
      </w:rPr>
      <w:t>12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E36A3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976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D36B" w14:textId="77777777" w:rsidR="0092382F" w:rsidRDefault="0092382F">
      <w:r>
        <w:separator/>
      </w:r>
    </w:p>
  </w:footnote>
  <w:footnote w:type="continuationSeparator" w:id="0">
    <w:p w14:paraId="69572A70" w14:textId="77777777" w:rsidR="0092382F" w:rsidRDefault="0092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CD74" w14:textId="77777777" w:rsidR="00000000" w:rsidRDefault="00000000">
    <w:pPr>
      <w:pStyle w:val="Header"/>
    </w:pPr>
  </w:p>
  <w:p w14:paraId="0AFBA13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C1CF" w14:textId="77777777" w:rsidR="00000000" w:rsidRDefault="00000000">
    <w:pPr>
      <w:pStyle w:val="Header"/>
    </w:pPr>
  </w:p>
  <w:p w14:paraId="3AAA270C"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43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4D6FA5A">
      <w:start w:val="1"/>
      <w:numFmt w:val="decimal"/>
      <w:lvlText w:val="%1."/>
      <w:lvlJc w:val="left"/>
      <w:pPr>
        <w:ind w:left="360" w:hanging="360"/>
      </w:pPr>
    </w:lvl>
    <w:lvl w:ilvl="1" w:tplc="FEDE37E8" w:tentative="1">
      <w:start w:val="1"/>
      <w:numFmt w:val="lowerLetter"/>
      <w:lvlText w:val="%2."/>
      <w:lvlJc w:val="left"/>
      <w:pPr>
        <w:ind w:left="1080" w:hanging="360"/>
      </w:pPr>
    </w:lvl>
    <w:lvl w:ilvl="2" w:tplc="363C206E" w:tentative="1">
      <w:start w:val="1"/>
      <w:numFmt w:val="lowerRoman"/>
      <w:lvlText w:val="%3."/>
      <w:lvlJc w:val="right"/>
      <w:pPr>
        <w:ind w:left="1800" w:hanging="180"/>
      </w:pPr>
    </w:lvl>
    <w:lvl w:ilvl="3" w:tplc="80CA339E" w:tentative="1">
      <w:start w:val="1"/>
      <w:numFmt w:val="decimal"/>
      <w:lvlText w:val="%4."/>
      <w:lvlJc w:val="left"/>
      <w:pPr>
        <w:ind w:left="2520" w:hanging="360"/>
      </w:pPr>
    </w:lvl>
    <w:lvl w:ilvl="4" w:tplc="C46A94A0" w:tentative="1">
      <w:start w:val="1"/>
      <w:numFmt w:val="lowerLetter"/>
      <w:lvlText w:val="%5."/>
      <w:lvlJc w:val="left"/>
      <w:pPr>
        <w:ind w:left="3240" w:hanging="360"/>
      </w:pPr>
    </w:lvl>
    <w:lvl w:ilvl="5" w:tplc="5518DC9C" w:tentative="1">
      <w:start w:val="1"/>
      <w:numFmt w:val="lowerRoman"/>
      <w:lvlText w:val="%6."/>
      <w:lvlJc w:val="right"/>
      <w:pPr>
        <w:ind w:left="3960" w:hanging="180"/>
      </w:pPr>
    </w:lvl>
    <w:lvl w:ilvl="6" w:tplc="F5066CCC" w:tentative="1">
      <w:start w:val="1"/>
      <w:numFmt w:val="decimal"/>
      <w:lvlText w:val="%7."/>
      <w:lvlJc w:val="left"/>
      <w:pPr>
        <w:ind w:left="4680" w:hanging="360"/>
      </w:pPr>
    </w:lvl>
    <w:lvl w:ilvl="7" w:tplc="5A0AC7C8" w:tentative="1">
      <w:start w:val="1"/>
      <w:numFmt w:val="lowerLetter"/>
      <w:lvlText w:val="%8."/>
      <w:lvlJc w:val="left"/>
      <w:pPr>
        <w:ind w:left="5400" w:hanging="360"/>
      </w:pPr>
    </w:lvl>
    <w:lvl w:ilvl="8" w:tplc="C0261C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C6C7202">
      <w:start w:val="1"/>
      <w:numFmt w:val="bullet"/>
      <w:lvlText w:val=""/>
      <w:lvlJc w:val="left"/>
      <w:pPr>
        <w:ind w:left="720" w:hanging="360"/>
      </w:pPr>
      <w:rPr>
        <w:rFonts w:ascii="Symbol" w:hAnsi="Symbol" w:hint="default"/>
      </w:rPr>
    </w:lvl>
    <w:lvl w:ilvl="1" w:tplc="50B255C2" w:tentative="1">
      <w:start w:val="1"/>
      <w:numFmt w:val="bullet"/>
      <w:lvlText w:val="o"/>
      <w:lvlJc w:val="left"/>
      <w:pPr>
        <w:ind w:left="1440" w:hanging="360"/>
      </w:pPr>
      <w:rPr>
        <w:rFonts w:ascii="Courier New" w:hAnsi="Courier New" w:cs="Courier New" w:hint="default"/>
      </w:rPr>
    </w:lvl>
    <w:lvl w:ilvl="2" w:tplc="755AA2C4" w:tentative="1">
      <w:start w:val="1"/>
      <w:numFmt w:val="bullet"/>
      <w:lvlText w:val=""/>
      <w:lvlJc w:val="left"/>
      <w:pPr>
        <w:ind w:left="2160" w:hanging="360"/>
      </w:pPr>
      <w:rPr>
        <w:rFonts w:ascii="Wingdings" w:hAnsi="Wingdings" w:hint="default"/>
      </w:rPr>
    </w:lvl>
    <w:lvl w:ilvl="3" w:tplc="DD9C5076" w:tentative="1">
      <w:start w:val="1"/>
      <w:numFmt w:val="bullet"/>
      <w:lvlText w:val=""/>
      <w:lvlJc w:val="left"/>
      <w:pPr>
        <w:ind w:left="2880" w:hanging="360"/>
      </w:pPr>
      <w:rPr>
        <w:rFonts w:ascii="Symbol" w:hAnsi="Symbol" w:hint="default"/>
      </w:rPr>
    </w:lvl>
    <w:lvl w:ilvl="4" w:tplc="54DCF14C" w:tentative="1">
      <w:start w:val="1"/>
      <w:numFmt w:val="bullet"/>
      <w:lvlText w:val="o"/>
      <w:lvlJc w:val="left"/>
      <w:pPr>
        <w:ind w:left="3600" w:hanging="360"/>
      </w:pPr>
      <w:rPr>
        <w:rFonts w:ascii="Courier New" w:hAnsi="Courier New" w:cs="Courier New" w:hint="default"/>
      </w:rPr>
    </w:lvl>
    <w:lvl w:ilvl="5" w:tplc="8C32E616" w:tentative="1">
      <w:start w:val="1"/>
      <w:numFmt w:val="bullet"/>
      <w:lvlText w:val=""/>
      <w:lvlJc w:val="left"/>
      <w:pPr>
        <w:ind w:left="4320" w:hanging="360"/>
      </w:pPr>
      <w:rPr>
        <w:rFonts w:ascii="Wingdings" w:hAnsi="Wingdings" w:hint="default"/>
      </w:rPr>
    </w:lvl>
    <w:lvl w:ilvl="6" w:tplc="969A03C4" w:tentative="1">
      <w:start w:val="1"/>
      <w:numFmt w:val="bullet"/>
      <w:lvlText w:val=""/>
      <w:lvlJc w:val="left"/>
      <w:pPr>
        <w:ind w:left="5040" w:hanging="360"/>
      </w:pPr>
      <w:rPr>
        <w:rFonts w:ascii="Symbol" w:hAnsi="Symbol" w:hint="default"/>
      </w:rPr>
    </w:lvl>
    <w:lvl w:ilvl="7" w:tplc="E0B4D684" w:tentative="1">
      <w:start w:val="1"/>
      <w:numFmt w:val="bullet"/>
      <w:lvlText w:val="o"/>
      <w:lvlJc w:val="left"/>
      <w:pPr>
        <w:ind w:left="5760" w:hanging="360"/>
      </w:pPr>
      <w:rPr>
        <w:rFonts w:ascii="Courier New" w:hAnsi="Courier New" w:cs="Courier New" w:hint="default"/>
      </w:rPr>
    </w:lvl>
    <w:lvl w:ilvl="8" w:tplc="26A63388" w:tentative="1">
      <w:start w:val="1"/>
      <w:numFmt w:val="bullet"/>
      <w:lvlText w:val=""/>
      <w:lvlJc w:val="left"/>
      <w:pPr>
        <w:ind w:left="6480" w:hanging="360"/>
      </w:pPr>
      <w:rPr>
        <w:rFonts w:ascii="Wingdings" w:hAnsi="Wingdings" w:hint="default"/>
      </w:rPr>
    </w:lvl>
  </w:abstractNum>
  <w:num w:numId="1" w16cid:durableId="1502769587">
    <w:abstractNumId w:val="1"/>
  </w:num>
  <w:num w:numId="2" w16cid:durableId="85572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C7"/>
    <w:rsid w:val="001142CA"/>
    <w:rsid w:val="0092382F"/>
    <w:rsid w:val="009F5EC7"/>
    <w:rsid w:val="00C21D2E"/>
    <w:rsid w:val="00DD7F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3F57"/>
  <w15:docId w15:val="{3ADAD576-6671-4FC2-82E2-8E84C0B9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7915</Words>
  <Characters>45120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2025-02-10T19:43:00Z</dcterms:created>
  <dcterms:modified xsi:type="dcterms:W3CDTF">2025-02-10T19:45:00Z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