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C4C48" w14:textId="77777777" w:rsidR="00000000" w:rsidRDefault="00000000">
      <w:pPr>
        <w:pStyle w:val="Heading1"/>
        <w:rPr>
          <w:rFonts w:cs="Arial"/>
        </w:rPr>
      </w:pPr>
      <w:bookmarkStart w:id="0" w:name="PRMS_RIName"/>
      <w:r>
        <w:rPr>
          <w:rFonts w:cs="Arial"/>
        </w:rPr>
        <w:t>CHT Healthcare Trust - David Lange Care Home</w:t>
      </w:r>
      <w:bookmarkEnd w:id="0"/>
    </w:p>
    <w:p w14:paraId="06F75820" w14:textId="77777777" w:rsidR="00000000" w:rsidRDefault="00000000">
      <w:pPr>
        <w:pStyle w:val="Heading2"/>
        <w:spacing w:after="0"/>
        <w:rPr>
          <w:rFonts w:cs="Arial"/>
        </w:rPr>
      </w:pPr>
      <w:r>
        <w:rPr>
          <w:rFonts w:cs="Arial"/>
        </w:rPr>
        <w:t>Introduction</w:t>
      </w:r>
    </w:p>
    <w:p w14:paraId="59FC81AA"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7073FE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C2A94D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89E0BB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233A007" w14:textId="77777777" w:rsidR="00000000" w:rsidRDefault="00000000">
      <w:pPr>
        <w:spacing w:before="240" w:after="240"/>
        <w:rPr>
          <w:rFonts w:cs="Arial"/>
          <w:lang w:eastAsia="en-NZ"/>
        </w:rPr>
      </w:pPr>
      <w:r>
        <w:rPr>
          <w:rFonts w:cs="Arial"/>
          <w:lang w:eastAsia="en-NZ"/>
        </w:rPr>
        <w:t>The specifics of this audit included:</w:t>
      </w:r>
    </w:p>
    <w:p w14:paraId="018F09C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776097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365586E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David Lange Care Home</w:t>
      </w:r>
      <w:bookmarkEnd w:id="5"/>
    </w:p>
    <w:p w14:paraId="0A25101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4AE79A8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November 2024</w:t>
      </w:r>
      <w:bookmarkEnd w:id="7"/>
      <w:r w:rsidRPr="009418D4">
        <w:rPr>
          <w:rFonts w:cs="Arial"/>
        </w:rPr>
        <w:tab/>
        <w:t xml:space="preserve">End date: </w:t>
      </w:r>
      <w:bookmarkStart w:id="8" w:name="AuditEndDate"/>
      <w:r>
        <w:rPr>
          <w:rFonts w:cs="Arial"/>
        </w:rPr>
        <w:t>13 November 2024</w:t>
      </w:r>
      <w:bookmarkEnd w:id="8"/>
    </w:p>
    <w:p w14:paraId="321FE1C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C25FDCB" w14:textId="77777777" w:rsidR="0010212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81</w:t>
      </w:r>
      <w:bookmarkEnd w:id="10"/>
    </w:p>
    <w:p w14:paraId="28860E7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9E4D9A5" w14:textId="77777777" w:rsidR="00000000" w:rsidRDefault="00000000">
      <w:pPr>
        <w:pStyle w:val="Heading1"/>
        <w:rPr>
          <w:rFonts w:cs="Arial"/>
        </w:rPr>
      </w:pPr>
      <w:r>
        <w:rPr>
          <w:rFonts w:cs="Arial"/>
        </w:rPr>
        <w:lastRenderedPageBreak/>
        <w:t>Executive summary of the audit</w:t>
      </w:r>
    </w:p>
    <w:p w14:paraId="1B7E6B8E" w14:textId="77777777" w:rsidR="00000000" w:rsidRDefault="00000000">
      <w:pPr>
        <w:pStyle w:val="Heading2"/>
        <w:rPr>
          <w:rFonts w:cs="Arial"/>
        </w:rPr>
      </w:pPr>
      <w:r>
        <w:rPr>
          <w:rFonts w:cs="Arial"/>
        </w:rPr>
        <w:t>Introduction</w:t>
      </w:r>
    </w:p>
    <w:p w14:paraId="5BF0ED8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4D5C7D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8611F0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0EF72A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D0D81B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A35897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2E87BF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BE8A0B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66ACBE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0212B" w14:paraId="382151BB" w14:textId="77777777">
        <w:trPr>
          <w:cantSplit/>
          <w:tblHeader/>
        </w:trPr>
        <w:tc>
          <w:tcPr>
            <w:tcW w:w="1260" w:type="dxa"/>
            <w:tcBorders>
              <w:bottom w:val="single" w:sz="4" w:space="0" w:color="000000"/>
            </w:tcBorders>
            <w:vAlign w:val="center"/>
          </w:tcPr>
          <w:p w14:paraId="7A1DFA1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B10512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C05DDF8" w14:textId="77777777" w:rsidR="00000000" w:rsidRDefault="00000000">
            <w:pPr>
              <w:spacing w:before="60" w:after="60"/>
              <w:rPr>
                <w:rFonts w:eastAsia="Calibri"/>
                <w:b/>
                <w:szCs w:val="24"/>
              </w:rPr>
            </w:pPr>
            <w:r>
              <w:rPr>
                <w:rFonts w:eastAsia="Calibri"/>
                <w:b/>
                <w:szCs w:val="24"/>
              </w:rPr>
              <w:t>Definition</w:t>
            </w:r>
          </w:p>
        </w:tc>
      </w:tr>
      <w:tr w:rsidR="0010212B" w14:paraId="02602E62" w14:textId="77777777">
        <w:trPr>
          <w:cantSplit/>
          <w:trHeight w:val="964"/>
        </w:trPr>
        <w:tc>
          <w:tcPr>
            <w:tcW w:w="1260" w:type="dxa"/>
            <w:tcBorders>
              <w:bottom w:val="single" w:sz="4" w:space="0" w:color="000000"/>
            </w:tcBorders>
            <w:shd w:val="clear" w:color="0066FF" w:fill="0000FF"/>
            <w:vAlign w:val="center"/>
          </w:tcPr>
          <w:p w14:paraId="7149364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0B4C067"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145EB4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0212B" w14:paraId="7A84ECD3" w14:textId="77777777">
        <w:trPr>
          <w:cantSplit/>
          <w:trHeight w:val="964"/>
        </w:trPr>
        <w:tc>
          <w:tcPr>
            <w:tcW w:w="1260" w:type="dxa"/>
            <w:shd w:val="clear" w:color="33CC33" w:fill="00FF00"/>
            <w:vAlign w:val="center"/>
          </w:tcPr>
          <w:p w14:paraId="3EE0176E" w14:textId="77777777" w:rsidR="00000000" w:rsidRDefault="00000000">
            <w:pPr>
              <w:spacing w:before="60" w:after="60"/>
              <w:rPr>
                <w:rFonts w:eastAsia="Calibri"/>
                <w:szCs w:val="24"/>
              </w:rPr>
            </w:pPr>
          </w:p>
        </w:tc>
        <w:tc>
          <w:tcPr>
            <w:tcW w:w="7095" w:type="dxa"/>
            <w:shd w:val="clear" w:color="auto" w:fill="auto"/>
            <w:vAlign w:val="center"/>
          </w:tcPr>
          <w:p w14:paraId="35EFA8C9"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62AFEF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0212B" w14:paraId="4758C804" w14:textId="77777777">
        <w:trPr>
          <w:cantSplit/>
          <w:trHeight w:val="964"/>
        </w:trPr>
        <w:tc>
          <w:tcPr>
            <w:tcW w:w="1260" w:type="dxa"/>
            <w:tcBorders>
              <w:bottom w:val="single" w:sz="4" w:space="0" w:color="000000"/>
            </w:tcBorders>
            <w:shd w:val="clear" w:color="auto" w:fill="FFFF00"/>
            <w:vAlign w:val="center"/>
          </w:tcPr>
          <w:p w14:paraId="587E4E57" w14:textId="77777777" w:rsidR="00000000" w:rsidRDefault="00000000">
            <w:pPr>
              <w:spacing w:before="60" w:after="60"/>
              <w:rPr>
                <w:rFonts w:eastAsia="Calibri"/>
                <w:szCs w:val="24"/>
              </w:rPr>
            </w:pPr>
          </w:p>
        </w:tc>
        <w:tc>
          <w:tcPr>
            <w:tcW w:w="7095" w:type="dxa"/>
            <w:shd w:val="clear" w:color="auto" w:fill="auto"/>
            <w:vAlign w:val="center"/>
          </w:tcPr>
          <w:p w14:paraId="00904AD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A937E1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0212B" w14:paraId="1C39573D" w14:textId="77777777">
        <w:trPr>
          <w:cantSplit/>
          <w:trHeight w:val="964"/>
        </w:trPr>
        <w:tc>
          <w:tcPr>
            <w:tcW w:w="1260" w:type="dxa"/>
            <w:tcBorders>
              <w:bottom w:val="single" w:sz="4" w:space="0" w:color="000000"/>
            </w:tcBorders>
            <w:shd w:val="clear" w:color="auto" w:fill="FFC800"/>
            <w:vAlign w:val="center"/>
          </w:tcPr>
          <w:p w14:paraId="33FE255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7EB0C9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F4EC71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0212B" w14:paraId="7AE91340" w14:textId="77777777">
        <w:trPr>
          <w:cantSplit/>
          <w:trHeight w:val="964"/>
        </w:trPr>
        <w:tc>
          <w:tcPr>
            <w:tcW w:w="1260" w:type="dxa"/>
            <w:shd w:val="clear" w:color="auto" w:fill="FF0000"/>
            <w:vAlign w:val="center"/>
          </w:tcPr>
          <w:p w14:paraId="5ED47F5F" w14:textId="77777777" w:rsidR="00000000" w:rsidRDefault="00000000">
            <w:pPr>
              <w:spacing w:before="60" w:after="60"/>
              <w:rPr>
                <w:rFonts w:eastAsia="Calibri"/>
                <w:szCs w:val="24"/>
              </w:rPr>
            </w:pPr>
          </w:p>
        </w:tc>
        <w:tc>
          <w:tcPr>
            <w:tcW w:w="7095" w:type="dxa"/>
            <w:shd w:val="clear" w:color="auto" w:fill="auto"/>
            <w:vAlign w:val="center"/>
          </w:tcPr>
          <w:p w14:paraId="192752E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4A4374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A947F80" w14:textId="77777777" w:rsidR="00000000" w:rsidRDefault="00000000">
      <w:pPr>
        <w:pStyle w:val="Heading2"/>
        <w:spacing w:after="0"/>
        <w:rPr>
          <w:rFonts w:cs="Arial"/>
        </w:rPr>
      </w:pPr>
      <w:r>
        <w:rPr>
          <w:rFonts w:cs="Arial"/>
        </w:rPr>
        <w:t>General overview of the audit</w:t>
      </w:r>
    </w:p>
    <w:p w14:paraId="0DEC3815" w14:textId="77777777" w:rsidR="00000000" w:rsidRDefault="00000000">
      <w:pPr>
        <w:spacing w:before="240" w:line="276" w:lineRule="auto"/>
        <w:rPr>
          <w:rFonts w:eastAsia="Calibri"/>
        </w:rPr>
      </w:pPr>
      <w:bookmarkStart w:id="13" w:name="GeneralOverview"/>
      <w:r w:rsidRPr="00A4268A">
        <w:rPr>
          <w:rFonts w:eastAsia="Calibri"/>
        </w:rPr>
        <w:t xml:space="preserve">CHT Healthcare Trust (CHT) David Lange is certified to provide residential disability (physical), rest home and hospital (medical and geriatric) levels of care for up to 87 residents. There were 81 residents on the days of audit. </w:t>
      </w:r>
    </w:p>
    <w:p w14:paraId="3A30244B" w14:textId="77777777" w:rsidR="0010212B"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 Te Whatu Ora and Ministry of disabled people - Whaikaha. The audit process included the review of policies and procedures; the review of residents and staff files; observations; and interviews with residents, family/whānau, management, staff, and a nurse practitioner.</w:t>
      </w:r>
    </w:p>
    <w:p w14:paraId="63ED2098" w14:textId="77777777" w:rsidR="0010212B" w:rsidRPr="00A4268A" w:rsidRDefault="00000000">
      <w:pPr>
        <w:spacing w:before="240" w:line="276" w:lineRule="auto"/>
        <w:rPr>
          <w:rFonts w:eastAsia="Calibri"/>
        </w:rPr>
      </w:pPr>
      <w:r w:rsidRPr="00A4268A">
        <w:rPr>
          <w:rFonts w:eastAsia="Calibri"/>
        </w:rPr>
        <w:t>The care home manager (RN) is appropriately qualified and experienced and is supported by a clinical coordinator and an area manager.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1B084EC6" w14:textId="77777777" w:rsidR="0010212B" w:rsidRPr="00A4268A" w:rsidRDefault="00000000">
      <w:pPr>
        <w:spacing w:before="240" w:line="276" w:lineRule="auto"/>
        <w:rPr>
          <w:rFonts w:eastAsia="Calibri"/>
        </w:rPr>
      </w:pPr>
      <w:r w:rsidRPr="00A4268A">
        <w:rPr>
          <w:rFonts w:eastAsia="Calibri"/>
        </w:rPr>
        <w:t xml:space="preserve">This certification audit identified that the service meets the Standard. </w:t>
      </w:r>
    </w:p>
    <w:bookmarkEnd w:id="13"/>
    <w:p w14:paraId="28C2B675" w14:textId="77777777" w:rsidR="0010212B" w:rsidRPr="00A4268A" w:rsidRDefault="0010212B">
      <w:pPr>
        <w:spacing w:before="240" w:line="276" w:lineRule="auto"/>
        <w:rPr>
          <w:rFonts w:eastAsia="Calibri"/>
        </w:rPr>
      </w:pPr>
    </w:p>
    <w:p w14:paraId="50DE66A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212B" w14:paraId="10F29559" w14:textId="77777777" w:rsidTr="00A4268A">
        <w:trPr>
          <w:cantSplit/>
        </w:trPr>
        <w:tc>
          <w:tcPr>
            <w:tcW w:w="10206" w:type="dxa"/>
            <w:vAlign w:val="center"/>
          </w:tcPr>
          <w:p w14:paraId="7F148DFF"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298697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C1307E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123AEB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5583C44" w14:textId="77777777" w:rsidR="00000000" w:rsidRDefault="00000000">
      <w:pPr>
        <w:spacing w:before="240" w:line="276" w:lineRule="auto"/>
        <w:rPr>
          <w:rFonts w:eastAsia="Calibri"/>
        </w:rPr>
      </w:pPr>
      <w:bookmarkStart w:id="16" w:name="ConsumerRights"/>
      <w:r w:rsidRPr="00A4268A">
        <w:rPr>
          <w:rFonts w:eastAsia="Calibri"/>
        </w:rPr>
        <w:t xml:space="preserve">CHT David Lange provides an environment that supports resident rights and safe care. Staff demonstrated an understanding of residents' rights and obligations. There is a Māori health plan and a Pacific health plan. The service works to provide high-quality and effective services and care for residents. Residents receive services in a manner that considers their dignity, privacy, and independence. The service provides services and support to people in a way that is inclusive and respects their identity and their experiences. </w:t>
      </w:r>
    </w:p>
    <w:p w14:paraId="650CDABC" w14:textId="77777777" w:rsidR="0010212B" w:rsidRPr="00A4268A" w:rsidRDefault="00000000">
      <w:pPr>
        <w:spacing w:before="240" w:line="276" w:lineRule="auto"/>
        <w:rPr>
          <w:rFonts w:eastAsia="Calibri"/>
        </w:rPr>
      </w:pPr>
      <w:r w:rsidRPr="00A4268A">
        <w:rPr>
          <w:rFonts w:eastAsia="Calibri"/>
        </w:rPr>
        <w:t>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39305CED" w14:textId="77777777" w:rsidR="0010212B" w:rsidRPr="00A4268A" w:rsidRDefault="0010212B">
      <w:pPr>
        <w:spacing w:before="240" w:line="276" w:lineRule="auto"/>
        <w:rPr>
          <w:rFonts w:eastAsia="Calibri"/>
        </w:rPr>
      </w:pPr>
    </w:p>
    <w:p w14:paraId="0F69C8E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212B" w14:paraId="1F25F479" w14:textId="77777777" w:rsidTr="00A4268A">
        <w:trPr>
          <w:cantSplit/>
        </w:trPr>
        <w:tc>
          <w:tcPr>
            <w:tcW w:w="10206" w:type="dxa"/>
            <w:vAlign w:val="center"/>
          </w:tcPr>
          <w:p w14:paraId="684C8FA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C307FD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BA54A7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E207F81" w14:textId="77777777" w:rsidR="00000000" w:rsidRDefault="00000000">
      <w:pPr>
        <w:spacing w:before="240" w:line="276" w:lineRule="auto"/>
        <w:rPr>
          <w:rFonts w:eastAsia="Calibri"/>
        </w:rPr>
      </w:pPr>
      <w:bookmarkStart w:id="19" w:name="OrganisationalManagement"/>
      <w:r w:rsidRPr="00A4268A">
        <w:rPr>
          <w:rFonts w:eastAsia="Calibri"/>
        </w:rPr>
        <w:t xml:space="preserve">CHT Healthcare Trust has an overarching strategy map with clear business goals to support organisational values. The business plan includes a mission statement and operational objectives. The service has effective quality and risk management systems in place that takes a risk-based approach, and these systems meet the needs of residents and their staff. Quality improvement </w:t>
      </w:r>
      <w:r w:rsidRPr="00A4268A">
        <w:rPr>
          <w:rFonts w:eastAsia="Calibri"/>
        </w:rPr>
        <w:lastRenderedPageBreak/>
        <w:t xml:space="preserve">projects are implemented. Internal audits, meetings, and collation of data is completed, with corrective actions developed as indicated. Meeting schedules are maintained. </w:t>
      </w:r>
    </w:p>
    <w:p w14:paraId="0FC83E86" w14:textId="77777777" w:rsidR="0010212B" w:rsidRPr="00A4268A" w:rsidRDefault="00000000">
      <w:pPr>
        <w:spacing w:before="240" w:line="276" w:lineRule="auto"/>
        <w:rPr>
          <w:rFonts w:eastAsia="Calibri"/>
        </w:rPr>
      </w:pPr>
      <w:r w:rsidRPr="00A4268A">
        <w:rPr>
          <w:rFonts w:eastAsia="Calibri"/>
        </w:rPr>
        <w:t xml:space="preserve">A health and safety programme is implemented. Hazards are managed. Incident forms are documented, and results are analysed. There is a staffing and rostering policy documented. </w:t>
      </w:r>
    </w:p>
    <w:p w14:paraId="1013592C" w14:textId="77777777" w:rsidR="0010212B" w:rsidRPr="00A4268A" w:rsidRDefault="00000000">
      <w:pPr>
        <w:spacing w:before="240" w:line="276" w:lineRule="auto"/>
        <w:rPr>
          <w:rFonts w:eastAsia="Calibri"/>
        </w:rPr>
      </w:pPr>
      <w:r w:rsidRPr="00A4268A">
        <w:rPr>
          <w:rFonts w:eastAsia="Calibri"/>
        </w:rPr>
        <w:t xml:space="preserve">Human resources are managed in accordance with good employment practice. A role specific orientation programme and regular staff education and training are in place. The service ensures the collection, storage, and use of personal and health information of residents is secure, accessible, and confidential. </w:t>
      </w:r>
    </w:p>
    <w:bookmarkEnd w:id="19"/>
    <w:p w14:paraId="5150B331" w14:textId="77777777" w:rsidR="0010212B" w:rsidRPr="00A4268A" w:rsidRDefault="0010212B">
      <w:pPr>
        <w:spacing w:before="240" w:line="276" w:lineRule="auto"/>
        <w:rPr>
          <w:rFonts w:eastAsia="Calibri"/>
        </w:rPr>
      </w:pPr>
    </w:p>
    <w:p w14:paraId="1FF7403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212B" w14:paraId="14EE40AD" w14:textId="77777777" w:rsidTr="00A4268A">
        <w:trPr>
          <w:cantSplit/>
        </w:trPr>
        <w:tc>
          <w:tcPr>
            <w:tcW w:w="10206" w:type="dxa"/>
            <w:vAlign w:val="center"/>
          </w:tcPr>
          <w:p w14:paraId="6B67103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BE4E09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6891B6F"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333EE0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The nursing team is responsible for assessing, developing, and evaluating care plans. Care plans were individualised and based on the residents’ assessed needs. Interventions were appropriate and evaluated.</w:t>
      </w:r>
    </w:p>
    <w:p w14:paraId="4A3FAA28" w14:textId="77777777" w:rsidR="0010212B" w:rsidRPr="00A4268A" w:rsidRDefault="00000000" w:rsidP="00621629">
      <w:pPr>
        <w:spacing w:before="240" w:line="276" w:lineRule="auto"/>
        <w:rPr>
          <w:rFonts w:eastAsia="Calibri"/>
        </w:rPr>
      </w:pPr>
      <w:r w:rsidRPr="00A4268A">
        <w:rPr>
          <w:rFonts w:eastAsia="Calibri"/>
        </w:rPr>
        <w:t xml:space="preserve">Activities are planned to address the residents' needs and interests as individuals and in group settings. Activity plans are completed in consultation with family/whanau, residents, and staff. Residents and family/whānau expressed satisfaction with the activity programme in place. </w:t>
      </w:r>
    </w:p>
    <w:p w14:paraId="076FA709" w14:textId="77777777" w:rsidR="0010212B" w:rsidRPr="00A4268A" w:rsidRDefault="00000000" w:rsidP="00621629">
      <w:pPr>
        <w:spacing w:before="240" w:line="276" w:lineRule="auto"/>
        <w:rPr>
          <w:rFonts w:eastAsia="Calibri"/>
        </w:rPr>
      </w:pPr>
      <w:r w:rsidRPr="00A4268A">
        <w:rPr>
          <w:rFonts w:eastAsia="Calibri"/>
        </w:rPr>
        <w:t>There is a medicine management system in place. The organisation uses an electronic system to prescribe and administer medications. The general practitioners are responsible for all medication reviews. Staff involved in medication administration are assessed as competent to do so.</w:t>
      </w:r>
    </w:p>
    <w:p w14:paraId="6167CA53" w14:textId="77777777" w:rsidR="0010212B" w:rsidRPr="00A4268A" w:rsidRDefault="00000000" w:rsidP="00621629">
      <w:pPr>
        <w:spacing w:before="240" w:line="276" w:lineRule="auto"/>
        <w:rPr>
          <w:rFonts w:eastAsia="Calibri"/>
        </w:rPr>
      </w:pPr>
      <w:r w:rsidRPr="00A4268A">
        <w:rPr>
          <w:rFonts w:eastAsia="Calibri"/>
        </w:rPr>
        <w:lastRenderedPageBreak/>
        <w:t>The food service caters for residents’ specific dietary likes and dislikes. Residents’ nutritional requirements are met. Nutritional snacks are available for residents when required.</w:t>
      </w:r>
    </w:p>
    <w:p w14:paraId="65C9CBFC" w14:textId="77777777" w:rsidR="0010212B"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09A369BA" w14:textId="77777777" w:rsidR="0010212B" w:rsidRPr="00A4268A" w:rsidRDefault="0010212B" w:rsidP="00621629">
      <w:pPr>
        <w:spacing w:before="240" w:line="276" w:lineRule="auto"/>
        <w:rPr>
          <w:rFonts w:eastAsia="Calibri"/>
        </w:rPr>
      </w:pPr>
    </w:p>
    <w:p w14:paraId="5D1BBC9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212B" w14:paraId="06D5B602" w14:textId="77777777" w:rsidTr="00A4268A">
        <w:trPr>
          <w:cantSplit/>
        </w:trPr>
        <w:tc>
          <w:tcPr>
            <w:tcW w:w="10206" w:type="dxa"/>
            <w:vAlign w:val="center"/>
          </w:tcPr>
          <w:p w14:paraId="0C1FCE2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B3425A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A945034"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FB41968" w14:textId="77777777" w:rsidR="00000000" w:rsidRDefault="00000000">
      <w:pPr>
        <w:spacing w:before="240" w:line="276" w:lineRule="auto"/>
        <w:rPr>
          <w:rFonts w:eastAsia="Calibri"/>
        </w:rPr>
      </w:pPr>
      <w:bookmarkStart w:id="25" w:name="SafeAndAppropriateEnvironment"/>
      <w:r w:rsidRPr="00A4268A">
        <w:rPr>
          <w:rFonts w:eastAsia="Calibri"/>
        </w:rPr>
        <w:t>The three-story facility meets residents' needs and is clean and well-maintained. A preventative maintenance programme is being implemented. A current building warrant of fitness is in place. Clinical equipment has been tested as required. External areas are accessible and safe, provide shade and seating, and meet the needs of people with disabilities.</w:t>
      </w:r>
    </w:p>
    <w:p w14:paraId="4B3F8AD7" w14:textId="77777777" w:rsidR="0010212B" w:rsidRPr="00A4268A" w:rsidRDefault="00000000">
      <w:pPr>
        <w:spacing w:before="240" w:line="276" w:lineRule="auto"/>
        <w:rPr>
          <w:rFonts w:eastAsia="Calibri"/>
        </w:rPr>
      </w:pPr>
      <w:r w:rsidRPr="00A4268A">
        <w:rPr>
          <w:rFonts w:eastAsia="Calibri"/>
        </w:rPr>
        <w:t>Appropriate emergency equipment and supplies are available. There is an approved evacuation scheme, and fire drills are conducted six-monthly. Staff members on duty on each shift hold current first aid certificates. Staff, residents, and family/whānau understand emergency and security arrangements. Hazards are identified, and appropriate interventions are implemented. Residents reported a timely staff response to call bells. Security is maintained.</w:t>
      </w:r>
    </w:p>
    <w:bookmarkEnd w:id="25"/>
    <w:p w14:paraId="5FBE2EB3" w14:textId="77777777" w:rsidR="0010212B" w:rsidRPr="00A4268A" w:rsidRDefault="0010212B">
      <w:pPr>
        <w:spacing w:before="240" w:line="276" w:lineRule="auto"/>
        <w:rPr>
          <w:rFonts w:eastAsia="Calibri"/>
        </w:rPr>
      </w:pPr>
    </w:p>
    <w:p w14:paraId="1E1265A4"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212B" w14:paraId="231D7898" w14:textId="77777777" w:rsidTr="00A4268A">
        <w:trPr>
          <w:cantSplit/>
        </w:trPr>
        <w:tc>
          <w:tcPr>
            <w:tcW w:w="10206" w:type="dxa"/>
            <w:vAlign w:val="center"/>
          </w:tcPr>
          <w:p w14:paraId="42D20B8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F11612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8C8317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CA83011"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service providers and visitors. The infection control programme is implemented,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w:t>
      </w:r>
    </w:p>
    <w:p w14:paraId="1B48D5A5" w14:textId="77777777" w:rsidR="0010212B"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Covid-19 response plans are in place and the service has access to personal protective equipment supplies. There have been no outbreaks since the previous audit. </w:t>
      </w:r>
    </w:p>
    <w:p w14:paraId="5438C9C5" w14:textId="77777777" w:rsidR="0010212B" w:rsidRPr="00A4268A" w:rsidRDefault="00000000">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care home. Documented policies and procedures for the contracted cleaning and laundry services are implemented, with appropriate monitoring systems in place to evaluate the effectiveness of these services</w:t>
      </w:r>
    </w:p>
    <w:bookmarkEnd w:id="28"/>
    <w:p w14:paraId="21A17890" w14:textId="77777777" w:rsidR="0010212B" w:rsidRPr="00A4268A" w:rsidRDefault="0010212B">
      <w:pPr>
        <w:spacing w:before="240" w:line="276" w:lineRule="auto"/>
        <w:rPr>
          <w:rFonts w:eastAsia="Calibri"/>
        </w:rPr>
      </w:pPr>
    </w:p>
    <w:p w14:paraId="4A9AF8AA"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0212B" w14:paraId="3FA6971E" w14:textId="77777777" w:rsidTr="00A4268A">
        <w:trPr>
          <w:cantSplit/>
        </w:trPr>
        <w:tc>
          <w:tcPr>
            <w:tcW w:w="10206" w:type="dxa"/>
            <w:vAlign w:val="center"/>
          </w:tcPr>
          <w:p w14:paraId="36426F1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DADB82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C7F6DD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5004006"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The service considers least restrictive practices, implementing de-escalation techniques and alternative interventions, and only uses an approved restraint as the last resort. At the time of the audit the service had no residents using restraint. Restraint minimisation is included as part of the mandatory training plan and orientation programme.</w:t>
      </w:r>
    </w:p>
    <w:bookmarkEnd w:id="31"/>
    <w:p w14:paraId="25A51620" w14:textId="77777777" w:rsidR="0010212B" w:rsidRPr="00A4268A" w:rsidRDefault="0010212B">
      <w:pPr>
        <w:spacing w:before="240" w:line="276" w:lineRule="auto"/>
        <w:rPr>
          <w:rFonts w:eastAsia="Calibri"/>
        </w:rPr>
      </w:pPr>
    </w:p>
    <w:p w14:paraId="494E8B7D" w14:textId="77777777" w:rsidR="00000000" w:rsidRDefault="00000000" w:rsidP="000E6E02">
      <w:pPr>
        <w:pStyle w:val="Heading2"/>
        <w:spacing w:before="0"/>
        <w:rPr>
          <w:rFonts w:cs="Arial"/>
        </w:rPr>
      </w:pPr>
      <w:r>
        <w:rPr>
          <w:rFonts w:cs="Arial"/>
        </w:rPr>
        <w:t>Summary of attainment</w:t>
      </w:r>
    </w:p>
    <w:p w14:paraId="654A074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0212B" w14:paraId="69DB5697" w14:textId="77777777">
        <w:tc>
          <w:tcPr>
            <w:tcW w:w="1384" w:type="dxa"/>
            <w:vAlign w:val="center"/>
          </w:tcPr>
          <w:p w14:paraId="6406634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41C240A" w14:textId="77777777" w:rsidR="00000000" w:rsidRDefault="00000000">
            <w:pPr>
              <w:keepNext/>
              <w:spacing w:before="60" w:after="60"/>
              <w:jc w:val="center"/>
              <w:rPr>
                <w:rFonts w:cs="Arial"/>
                <w:b/>
                <w:sz w:val="20"/>
                <w:szCs w:val="20"/>
              </w:rPr>
            </w:pPr>
            <w:r>
              <w:rPr>
                <w:rFonts w:cs="Arial"/>
                <w:b/>
                <w:sz w:val="20"/>
                <w:szCs w:val="20"/>
              </w:rPr>
              <w:t>Continuous Improvement</w:t>
            </w:r>
          </w:p>
          <w:p w14:paraId="269F6DC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D430C1C" w14:textId="77777777" w:rsidR="00000000" w:rsidRDefault="00000000">
            <w:pPr>
              <w:keepNext/>
              <w:spacing w:before="60" w:after="60"/>
              <w:jc w:val="center"/>
              <w:rPr>
                <w:rFonts w:cs="Arial"/>
                <w:b/>
                <w:sz w:val="20"/>
                <w:szCs w:val="20"/>
              </w:rPr>
            </w:pPr>
            <w:r>
              <w:rPr>
                <w:rFonts w:cs="Arial"/>
                <w:b/>
                <w:sz w:val="20"/>
                <w:szCs w:val="20"/>
              </w:rPr>
              <w:t>Fully Attained</w:t>
            </w:r>
          </w:p>
          <w:p w14:paraId="20347D7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8BD27C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BABBAF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63035A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28709A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18B331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4342C9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09F3C8C"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7E2CC2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2BEF9C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380A8E0" w14:textId="77777777" w:rsidR="00000000" w:rsidRDefault="00000000">
            <w:pPr>
              <w:keepNext/>
              <w:spacing w:before="60" w:after="60"/>
              <w:jc w:val="center"/>
              <w:rPr>
                <w:rFonts w:cs="Arial"/>
                <w:b/>
                <w:sz w:val="20"/>
                <w:szCs w:val="20"/>
              </w:rPr>
            </w:pPr>
            <w:r>
              <w:rPr>
                <w:rFonts w:cs="Arial"/>
                <w:b/>
                <w:sz w:val="20"/>
                <w:szCs w:val="20"/>
              </w:rPr>
              <w:t>(PA Critical)</w:t>
            </w:r>
          </w:p>
        </w:tc>
      </w:tr>
      <w:tr w:rsidR="0010212B" w14:paraId="5BBD7E1B" w14:textId="77777777">
        <w:tc>
          <w:tcPr>
            <w:tcW w:w="1384" w:type="dxa"/>
            <w:vAlign w:val="center"/>
          </w:tcPr>
          <w:p w14:paraId="1E95C80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3289BD2"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7EEC63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E3720C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3F1EC7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309F14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F799B9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752BA30"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0212B" w14:paraId="56D562CB" w14:textId="77777777">
        <w:tc>
          <w:tcPr>
            <w:tcW w:w="1384" w:type="dxa"/>
            <w:vAlign w:val="center"/>
          </w:tcPr>
          <w:p w14:paraId="0F9BB44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35F621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D4371A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170</w:t>
            </w:r>
            <w:bookmarkEnd w:id="40"/>
          </w:p>
        </w:tc>
        <w:tc>
          <w:tcPr>
            <w:tcW w:w="1843" w:type="dxa"/>
            <w:vAlign w:val="center"/>
          </w:tcPr>
          <w:p w14:paraId="7F6B4D2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27BFAA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94BD41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D13BCF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944FE1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33BF1C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0212B" w14:paraId="008D4A59" w14:textId="77777777">
        <w:tc>
          <w:tcPr>
            <w:tcW w:w="1384" w:type="dxa"/>
            <w:vAlign w:val="center"/>
          </w:tcPr>
          <w:p w14:paraId="3DB7CFB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FA95B1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F17EAC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397A0D3" w14:textId="77777777" w:rsidR="00000000" w:rsidRDefault="00000000">
            <w:pPr>
              <w:keepNext/>
              <w:spacing w:before="60" w:after="60"/>
              <w:jc w:val="center"/>
              <w:rPr>
                <w:rFonts w:cs="Arial"/>
                <w:b/>
                <w:sz w:val="20"/>
                <w:szCs w:val="20"/>
              </w:rPr>
            </w:pPr>
            <w:r>
              <w:rPr>
                <w:rFonts w:cs="Arial"/>
                <w:b/>
                <w:sz w:val="20"/>
                <w:szCs w:val="20"/>
              </w:rPr>
              <w:t>Unattained Low Risk</w:t>
            </w:r>
          </w:p>
          <w:p w14:paraId="2B019D2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7F6236D" w14:textId="77777777" w:rsidR="00000000" w:rsidRDefault="00000000">
            <w:pPr>
              <w:keepNext/>
              <w:spacing w:before="60" w:after="60"/>
              <w:jc w:val="center"/>
              <w:rPr>
                <w:rFonts w:cs="Arial"/>
                <w:b/>
                <w:sz w:val="20"/>
                <w:szCs w:val="20"/>
              </w:rPr>
            </w:pPr>
            <w:r>
              <w:rPr>
                <w:rFonts w:cs="Arial"/>
                <w:b/>
                <w:sz w:val="20"/>
                <w:szCs w:val="20"/>
              </w:rPr>
              <w:t>Unattained Moderate Risk</w:t>
            </w:r>
          </w:p>
          <w:p w14:paraId="38B9F30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0AD12B5" w14:textId="77777777" w:rsidR="00000000" w:rsidRDefault="00000000">
            <w:pPr>
              <w:keepNext/>
              <w:spacing w:before="60" w:after="60"/>
              <w:jc w:val="center"/>
              <w:rPr>
                <w:rFonts w:cs="Arial"/>
                <w:b/>
                <w:sz w:val="20"/>
                <w:szCs w:val="20"/>
              </w:rPr>
            </w:pPr>
            <w:r>
              <w:rPr>
                <w:rFonts w:cs="Arial"/>
                <w:b/>
                <w:sz w:val="20"/>
                <w:szCs w:val="20"/>
              </w:rPr>
              <w:t>Unattained High Risk</w:t>
            </w:r>
          </w:p>
          <w:p w14:paraId="1AB3885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48147BD" w14:textId="77777777" w:rsidR="00000000" w:rsidRDefault="00000000">
            <w:pPr>
              <w:keepNext/>
              <w:spacing w:before="60" w:after="60"/>
              <w:jc w:val="center"/>
              <w:rPr>
                <w:rFonts w:cs="Arial"/>
                <w:b/>
                <w:sz w:val="20"/>
                <w:szCs w:val="20"/>
              </w:rPr>
            </w:pPr>
            <w:r>
              <w:rPr>
                <w:rFonts w:cs="Arial"/>
                <w:b/>
                <w:sz w:val="20"/>
                <w:szCs w:val="20"/>
              </w:rPr>
              <w:t>Unattained Critical Risk</w:t>
            </w:r>
          </w:p>
          <w:p w14:paraId="1EAA2655" w14:textId="77777777" w:rsidR="00000000" w:rsidRDefault="00000000">
            <w:pPr>
              <w:keepNext/>
              <w:spacing w:before="60" w:after="60"/>
              <w:jc w:val="center"/>
              <w:rPr>
                <w:rFonts w:cs="Arial"/>
                <w:b/>
                <w:sz w:val="20"/>
                <w:szCs w:val="20"/>
              </w:rPr>
            </w:pPr>
            <w:r>
              <w:rPr>
                <w:rFonts w:cs="Arial"/>
                <w:b/>
                <w:sz w:val="20"/>
                <w:szCs w:val="20"/>
              </w:rPr>
              <w:t>(UA Critical)</w:t>
            </w:r>
          </w:p>
        </w:tc>
      </w:tr>
      <w:tr w:rsidR="0010212B" w14:paraId="1C312B07" w14:textId="77777777">
        <w:tc>
          <w:tcPr>
            <w:tcW w:w="1384" w:type="dxa"/>
            <w:vAlign w:val="center"/>
          </w:tcPr>
          <w:p w14:paraId="4769E60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4AADFD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A59B748"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ED93B3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EC29D8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B2316D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0212B" w14:paraId="7DC181F6" w14:textId="77777777">
        <w:tc>
          <w:tcPr>
            <w:tcW w:w="1384" w:type="dxa"/>
            <w:vAlign w:val="center"/>
          </w:tcPr>
          <w:p w14:paraId="254C5FF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E0B72C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840396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2E6117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F39945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EFBD25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3A3AE3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95EFA3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BB1534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CD512C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1356"/>
        <w:gridCol w:w="6334"/>
      </w:tblGrid>
      <w:tr w:rsidR="0010212B" w14:paraId="6D009560" w14:textId="77777777">
        <w:tc>
          <w:tcPr>
            <w:tcW w:w="0" w:type="auto"/>
          </w:tcPr>
          <w:p w14:paraId="053E2E6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D87755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0AD8CD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0212B" w14:paraId="55BAD878" w14:textId="77777777">
        <w:tc>
          <w:tcPr>
            <w:tcW w:w="0" w:type="auto"/>
          </w:tcPr>
          <w:p w14:paraId="4A6F877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3AC1F1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D32A1A8" w14:textId="77777777" w:rsidR="00000000" w:rsidRPr="00BE00C7" w:rsidRDefault="00000000" w:rsidP="00BE00C7">
            <w:pPr>
              <w:pStyle w:val="OutcomeDescription"/>
              <w:spacing w:before="120" w:after="120"/>
              <w:rPr>
                <w:rFonts w:cs="Arial"/>
                <w:lang w:eastAsia="en-NZ"/>
              </w:rPr>
            </w:pPr>
          </w:p>
        </w:tc>
        <w:tc>
          <w:tcPr>
            <w:tcW w:w="0" w:type="auto"/>
          </w:tcPr>
          <w:p w14:paraId="4A7089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490A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The service currently has residents who identify as Māori. CHT is committed to respecting the self-determination, cultural values, and beliefs of Māori residents and family/whānau and evidence is documented in the resident care plan and evidenced in practice. There are clear processes to include tikanga in everyday practice. Staff have completed a cultural training around Te Tiriti o Waitangi. </w:t>
            </w:r>
          </w:p>
          <w:p w14:paraId="3F2C8E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Links have been established with local iwi coordinators, Māori ministers and advocate, current residents, their family/whānau and staff. The service also links with Māori staff and residents’ family/whānau who can provide interpreter support for residents if required. Residents and family/whānau engage in providing input into the resident’s care planning, their activities and their dietary needs. The service can also access kaumātua from Health NZ - Te Whatu Ora for support and guidance. Māori assessments are completed for residents who identify as Māori. </w:t>
            </w:r>
          </w:p>
          <w:p w14:paraId="2B575F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confirmed that they support increasing Māori capacity by employing more Māori staff members when they apply for employment opportunities at CHT David Lange. The CHT David </w:t>
            </w:r>
            <w:r w:rsidRPr="00BE00C7">
              <w:rPr>
                <w:rFonts w:cs="Arial"/>
                <w:lang w:eastAsia="en-NZ"/>
              </w:rPr>
              <w:lastRenderedPageBreak/>
              <w:t xml:space="preserve">Lange business plan documents a commitment and responsiveness to a culturally diverse workforce. At the time of the audit, there were staff members who identify as Māori. </w:t>
            </w:r>
          </w:p>
          <w:p w14:paraId="51E5E4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signage throughout in Māori and the Health and Disability Commissioner (HDC) Code of Health and Disability Services Consumers’ Rights (the Code) is displayed in Māori, sign language and English with pamphlets available.</w:t>
            </w:r>
          </w:p>
          <w:p w14:paraId="7B86F1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16 staff (five healthcare assistants, two registered nurses [RNs], one enrolled nurse [EN], one unit coordinator, two cleaners, one kitchen manager, one maintenance technician, one diversional therapist and two activity assistants) and four managers (care home manager, clinical coordinator, area manager and property maintenance manager) and documentation reviewed described how care is based on the resident’s individual values and beliefs. </w:t>
            </w:r>
          </w:p>
          <w:p w14:paraId="02E2E6BF" w14:textId="77777777" w:rsidR="00000000" w:rsidRPr="00BE00C7" w:rsidRDefault="00000000" w:rsidP="00BE00C7">
            <w:pPr>
              <w:pStyle w:val="OutcomeDescription"/>
              <w:spacing w:before="120" w:after="120"/>
              <w:rPr>
                <w:rFonts w:cs="Arial"/>
                <w:lang w:eastAsia="en-NZ"/>
              </w:rPr>
            </w:pPr>
          </w:p>
        </w:tc>
      </w:tr>
      <w:tr w:rsidR="0010212B" w14:paraId="73F8B007" w14:textId="77777777">
        <w:tc>
          <w:tcPr>
            <w:tcW w:w="0" w:type="auto"/>
          </w:tcPr>
          <w:p w14:paraId="7C0F5E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4A706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6B6A981" w14:textId="77777777" w:rsidR="00000000" w:rsidRPr="00BE00C7" w:rsidRDefault="00000000" w:rsidP="00BE00C7">
            <w:pPr>
              <w:pStyle w:val="OutcomeDescription"/>
              <w:spacing w:before="120" w:after="120"/>
              <w:rPr>
                <w:rFonts w:cs="Arial"/>
                <w:lang w:eastAsia="en-NZ"/>
              </w:rPr>
            </w:pPr>
          </w:p>
        </w:tc>
        <w:tc>
          <w:tcPr>
            <w:tcW w:w="0" w:type="auto"/>
          </w:tcPr>
          <w:p w14:paraId="689191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8036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CHT Pacific health plan. The aim is to uphold the principles of Pacific people by acknowledging respectful relationships, valuing families, and providing high quality healthcare.</w:t>
            </w:r>
          </w:p>
          <w:p w14:paraId="58AC2CB3" w14:textId="77777777" w:rsidR="00000000"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There were almost 50% residents identifying as Pasifika at the time of the audit. The residents’ family/whānau are involved in all aspects of care, particularly in nursing and medical decisions, satisfaction of the service and recognition of cultural needs. Interviews with seven residents (three rest home and four hospital residents, including one young person with disability [YPD]), four family/whānau (all hospital) and one YPD family/whānau (interviewed remotely by the consumer auditor) confirm that individual cultural beliefs and values, knowledge, arts, morals, and personality are respected.</w:t>
            </w:r>
          </w:p>
          <w:p w14:paraId="603BB7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David Lange actively consults with current Pacific employees and ministers from various Pacific church groups to ensure connectivity within the region to increase knowledge, awareness and understanding of the needs of Pacific people. </w:t>
            </w:r>
          </w:p>
          <w:p w14:paraId="6E0064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w:t>
            </w:r>
            <w:r w:rsidRPr="00BE00C7">
              <w:rPr>
                <w:rFonts w:cs="Arial"/>
                <w:lang w:eastAsia="en-NZ"/>
              </w:rPr>
              <w:lastRenderedPageBreak/>
              <w:t>Disability Code of Rights (the Code) are accessible in a range of Pacific languages. There are staff currently employed that identify as Pasifika. The service continues to provide equitable employment opportunities for the Pacific community.</w:t>
            </w:r>
          </w:p>
          <w:p w14:paraId="202985A4" w14:textId="77777777" w:rsidR="00000000" w:rsidRPr="00BE00C7" w:rsidRDefault="00000000" w:rsidP="00BE00C7">
            <w:pPr>
              <w:pStyle w:val="OutcomeDescription"/>
              <w:spacing w:before="120" w:after="120"/>
              <w:rPr>
                <w:rFonts w:cs="Arial"/>
                <w:lang w:eastAsia="en-NZ"/>
              </w:rPr>
            </w:pPr>
          </w:p>
        </w:tc>
      </w:tr>
      <w:tr w:rsidR="0010212B" w14:paraId="2762F3C9" w14:textId="77777777">
        <w:tc>
          <w:tcPr>
            <w:tcW w:w="0" w:type="auto"/>
          </w:tcPr>
          <w:p w14:paraId="2685F9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CBCA3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BC7247F" w14:textId="77777777" w:rsidR="00000000" w:rsidRPr="00BE00C7" w:rsidRDefault="00000000" w:rsidP="00BE00C7">
            <w:pPr>
              <w:pStyle w:val="OutcomeDescription"/>
              <w:spacing w:before="120" w:after="120"/>
              <w:rPr>
                <w:rFonts w:cs="Arial"/>
                <w:lang w:eastAsia="en-NZ"/>
              </w:rPr>
            </w:pPr>
          </w:p>
        </w:tc>
        <w:tc>
          <w:tcPr>
            <w:tcW w:w="0" w:type="auto"/>
          </w:tcPr>
          <w:p w14:paraId="51D01E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2104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HDC Code of Health and Disability Services Consumers’ Rights (the Code) is displayed in English, sign language and te reo Māori. Details relating to the Code are included in the information that is provided to new residents and their family/whānau. The care home manager, clinical coordinator, unit coordinator or registered nurses discuss aspects of the Code with residents and their family/whānau on admission. Family/whānau are invited to attend. Residents and family/whānau interviewed reported that the service is upholding the residents’ rights. Interactions observed between staff and residents during the audit were respectful. Information about the Nationwide Health and Disability Advocacy Service and the resident advocacy is available at the entrance to the care home and in the entry pack of information provided to residents and their family/whānau.</w:t>
            </w:r>
          </w:p>
          <w:p w14:paraId="65ACD5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links to spiritual supports. Staff receive education in relation to the Code at orientation and through the annual training programme, which includes (but is not limited to) understanding the role of advocacy services. Advocacy services are linked to the complaints process, as sighted in the information pack given to residents on admission. The service recognises Māori mana motuhake through its Māori health plan and staff could describe how they fully support the values and beliefs of any Māori residents and family/whānau.</w:t>
            </w:r>
          </w:p>
          <w:p w14:paraId="3284B00F" w14:textId="77777777" w:rsidR="00000000" w:rsidRPr="00BE00C7" w:rsidRDefault="00000000" w:rsidP="00BE00C7">
            <w:pPr>
              <w:pStyle w:val="OutcomeDescription"/>
              <w:spacing w:before="120" w:after="120"/>
              <w:rPr>
                <w:rFonts w:cs="Arial"/>
                <w:lang w:eastAsia="en-NZ"/>
              </w:rPr>
            </w:pPr>
          </w:p>
        </w:tc>
      </w:tr>
      <w:tr w:rsidR="0010212B" w14:paraId="076576BE" w14:textId="77777777">
        <w:tc>
          <w:tcPr>
            <w:tcW w:w="0" w:type="auto"/>
          </w:tcPr>
          <w:p w14:paraId="1A2F32A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FB7C3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7CE4FD9" w14:textId="77777777" w:rsidR="00000000" w:rsidRPr="00BE00C7" w:rsidRDefault="00000000" w:rsidP="00BE00C7">
            <w:pPr>
              <w:pStyle w:val="OutcomeDescription"/>
              <w:spacing w:before="120" w:after="120"/>
              <w:rPr>
                <w:rFonts w:cs="Arial"/>
                <w:lang w:eastAsia="en-NZ"/>
              </w:rPr>
            </w:pPr>
          </w:p>
        </w:tc>
        <w:tc>
          <w:tcPr>
            <w:tcW w:w="0" w:type="auto"/>
          </w:tcPr>
          <w:p w14:paraId="70DA37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84E4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healthcare assistants interviewed described how they support residents to choose what they want to do each day. Residents are encouraged to make decisions about whether they would like family/whānau members to be involved in their care or other forms of support. Residents have control and choice over activities they participate in. The CHT David Lange annual training plan demonstrates training that is responsive to the diverse needs of people across the service. It was observed that residents are treated </w:t>
            </w:r>
            <w:r w:rsidRPr="00BE00C7">
              <w:rPr>
                <w:rFonts w:cs="Arial"/>
                <w:lang w:eastAsia="en-NZ"/>
              </w:rPr>
              <w:lastRenderedPageBreak/>
              <w:t xml:space="preserve">with dignity and respect. The service promotes care that is holistic and collective in nature through educating staff about te ao Māori and listening to tāngata whaikaha when planning or changing services. </w:t>
            </w:r>
          </w:p>
          <w:p w14:paraId="4B39A4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family/whānau interviews, including those for YPD residents (interviewed by the consumer auditor remotely), confirmed that residents are treated with respect, their dignity maintained, supported to maintain their cultural identity including being spoken to in their own language. Feedback including compliments is regularly shared at residents’ and staff meetings. A sexuality and intimacy policy is in place, with training part of the education schedule. At the time of the audit, there were two couples receiving care and living in the double/shared rooms. In addition, interview with resident spouses confirmed that they were provided with sleep over opportunities as and when required. </w:t>
            </w:r>
          </w:p>
          <w:p w14:paraId="7D5DC9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stated they respect each resident’s right to have space for intimate relationships. Family/whānau interviewed were positive about the service in relation to each resident’s values and beliefs being considered and met. Resident files and care plans identified residents preferred names. Values and beliefs information is gathered on admission with family involvement and is integrated into the residents' care plans. Spiritual needs are identified. A spirituality policy is in place. Residents are encouraged and supported to participate in te ao Māori through the activities plan. Staff were observed to use person-centred and respectful language with residents. </w:t>
            </w:r>
          </w:p>
          <w:p w14:paraId="1207B5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Privacy is ensured and independence is encouraged. Family/whānau interviewed stated that they enjoy coming and going as they please to visit the resident and they felt welcomed. Values and beliefs information is gathered on admission with family involvement and is integrated into the residents' care plans. Spiritual needs are identified, church services are held, and spiritual support is available. A spirituality policy is in place. The management team confirmed that cultural diversity is embedded at CHT David Lange, and this was confirmed during interviews with staff. Te reo Māori is celebrated, and staff are encouraged and supported with correct pronunciation. Te reo Māori resources are available on the education platform. Cultural awareness training is provided annually and covers Te Tiriti o </w:t>
            </w:r>
            <w:r w:rsidRPr="00BE00C7">
              <w:rPr>
                <w:rFonts w:cs="Arial"/>
                <w:lang w:eastAsia="en-NZ"/>
              </w:rPr>
              <w:lastRenderedPageBreak/>
              <w:t>Waitangi, health equity and tikanga Māori.</w:t>
            </w:r>
          </w:p>
          <w:p w14:paraId="4CD44B9C" w14:textId="77777777" w:rsidR="00000000" w:rsidRPr="00BE00C7" w:rsidRDefault="00000000" w:rsidP="00BE00C7">
            <w:pPr>
              <w:pStyle w:val="OutcomeDescription"/>
              <w:spacing w:before="120" w:after="120"/>
              <w:rPr>
                <w:rFonts w:cs="Arial"/>
                <w:lang w:eastAsia="en-NZ"/>
              </w:rPr>
            </w:pPr>
          </w:p>
        </w:tc>
      </w:tr>
      <w:tr w:rsidR="0010212B" w14:paraId="61ECE40C" w14:textId="77777777">
        <w:tc>
          <w:tcPr>
            <w:tcW w:w="0" w:type="auto"/>
          </w:tcPr>
          <w:p w14:paraId="5A890D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6C65D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3085BA9" w14:textId="77777777" w:rsidR="00000000" w:rsidRPr="00BE00C7" w:rsidRDefault="00000000" w:rsidP="00BE00C7">
            <w:pPr>
              <w:pStyle w:val="OutcomeDescription"/>
              <w:spacing w:before="120" w:after="120"/>
              <w:rPr>
                <w:rFonts w:cs="Arial"/>
                <w:lang w:eastAsia="en-NZ"/>
              </w:rPr>
            </w:pPr>
          </w:p>
        </w:tc>
        <w:tc>
          <w:tcPr>
            <w:tcW w:w="0" w:type="auto"/>
          </w:tcPr>
          <w:p w14:paraId="42B116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CBFB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and neglect policy is being implemented. The policy is a set of standards and outlines the behaviours and conduct that all staff employed at CHT David Lange are expected to uphold. CHT organisational policies prevent any form of discrimination, coercion, harassment, or any other exploitation. CHT as an organisation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w:t>
            </w:r>
          </w:p>
          <w:p w14:paraId="128590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held responsible for creating a positive, inclusive and a safe working environment. Cultural diversity is acknowledged, and staff are educated on systemic racism and the understanding of injustices through policy and the code of conduct. CHT Māori Health Plan includes strategies to abolishing institutional racism. Staff complete education on orientation and annually as per the training plan on how to identify abuse and neglect. Staff are educated on how to value the older person, showing them respect and dignity. All residents and family/whānau interviewed confirmed that the staff are very caring, supportive, and respectful. </w:t>
            </w:r>
          </w:p>
          <w:p w14:paraId="28FE9400"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vetting checks are completed as part of the employment process. The service implements a process to manage residents’ comfort funds. Professional boundaries are defined in job descriptions. Interviews with the clinical coordinator, unit coordinator, registered nurses, enrolled nurses and healthcare assistants confirmed their understanding of professional boundaries, including the boundaries of their role and responsibilities. There are short, and long-term objectives in the CHT Māori health plan and cultural policy that provides a framework and guide to improving Māori health and a leadership commitment to address inequities.</w:t>
            </w:r>
          </w:p>
          <w:p w14:paraId="4980814B" w14:textId="77777777" w:rsidR="00000000" w:rsidRPr="00BE00C7" w:rsidRDefault="00000000" w:rsidP="00BE00C7">
            <w:pPr>
              <w:pStyle w:val="OutcomeDescription"/>
              <w:spacing w:before="120" w:after="120"/>
              <w:rPr>
                <w:rFonts w:cs="Arial"/>
                <w:lang w:eastAsia="en-NZ"/>
              </w:rPr>
            </w:pPr>
          </w:p>
        </w:tc>
      </w:tr>
      <w:tr w:rsidR="0010212B" w14:paraId="2B2B71E5" w14:textId="77777777">
        <w:tc>
          <w:tcPr>
            <w:tcW w:w="0" w:type="auto"/>
          </w:tcPr>
          <w:p w14:paraId="57F59D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04A1EB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2D624A3" w14:textId="77777777" w:rsidR="00000000" w:rsidRPr="00BE00C7" w:rsidRDefault="00000000" w:rsidP="00BE00C7">
            <w:pPr>
              <w:pStyle w:val="OutcomeDescription"/>
              <w:spacing w:before="120" w:after="120"/>
              <w:rPr>
                <w:rFonts w:cs="Arial"/>
                <w:lang w:eastAsia="en-NZ"/>
              </w:rPr>
            </w:pPr>
          </w:p>
        </w:tc>
        <w:tc>
          <w:tcPr>
            <w:tcW w:w="0" w:type="auto"/>
          </w:tcPr>
          <w:p w14:paraId="7C4865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7227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relatives </w:t>
            </w:r>
            <w:r w:rsidRPr="00BE00C7">
              <w:rPr>
                <w:rFonts w:cs="Arial"/>
                <w:lang w:eastAsia="en-NZ"/>
              </w:rPr>
              <w:lastRenderedPageBreak/>
              <w:t xml:space="preserve">on admission. Monthly resident meetings identify feedback from residents and consequent follow up by the service. Minutes are shared with family/whānau and residents who may not have been able to attend. Policies and procedures relating to accident/incidents, complaints, and open disclosure alert staff to their responsibility to notify next of kin of any adverse event that occurs. Electronic accident/incident forms have a section to indicate if next of kin have been informed (or not). This is also documented in the progress notes. The accident/incident forms reviewed identified next of kin are kept informed; this was confirmed through the interviews with family/whānau. </w:t>
            </w:r>
          </w:p>
          <w:p w14:paraId="365E1D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in addition to staff members who speak the residents’ languages. At the time of the audit there was one resident who could not speak English where the use of cue cards, family and staff interpreters were used.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Health New Zealand - Te Whatu Ora Health specialist services. </w:t>
            </w:r>
          </w:p>
          <w:p w14:paraId="53986F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delivery of care includes a multidisciplinary team and residents and family/whānau provide consent and are communicated with regarding services involved. The management team were able to describe an implemented process around providing residents with time for discussion around care, time to consider decisions, and opportunities for further discussion, if required. Residents and family/whānau interviewed confirm they know what is happening within the care home and felt informed regarding events and changes through regular communication and newsletters.</w:t>
            </w:r>
          </w:p>
          <w:p w14:paraId="1A00C8FE" w14:textId="77777777" w:rsidR="00000000" w:rsidRPr="00BE00C7" w:rsidRDefault="00000000" w:rsidP="00BE00C7">
            <w:pPr>
              <w:pStyle w:val="OutcomeDescription"/>
              <w:spacing w:before="120" w:after="120"/>
              <w:rPr>
                <w:rFonts w:cs="Arial"/>
                <w:lang w:eastAsia="en-NZ"/>
              </w:rPr>
            </w:pPr>
          </w:p>
        </w:tc>
      </w:tr>
      <w:tr w:rsidR="0010212B" w14:paraId="3E1173CD" w14:textId="77777777">
        <w:tc>
          <w:tcPr>
            <w:tcW w:w="0" w:type="auto"/>
          </w:tcPr>
          <w:p w14:paraId="3CBD2B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046D1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w:t>
            </w:r>
            <w:r w:rsidRPr="00BE00C7">
              <w:rPr>
                <w:rFonts w:cs="Arial"/>
                <w:lang w:eastAsia="en-NZ"/>
              </w:rPr>
              <w:lastRenderedPageBreak/>
              <w:t>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7E606F9" w14:textId="77777777" w:rsidR="00000000" w:rsidRPr="00BE00C7" w:rsidRDefault="00000000" w:rsidP="00BE00C7">
            <w:pPr>
              <w:pStyle w:val="OutcomeDescription"/>
              <w:spacing w:before="120" w:after="120"/>
              <w:rPr>
                <w:rFonts w:cs="Arial"/>
                <w:lang w:eastAsia="en-NZ"/>
              </w:rPr>
            </w:pPr>
          </w:p>
        </w:tc>
        <w:tc>
          <w:tcPr>
            <w:tcW w:w="0" w:type="auto"/>
          </w:tcPr>
          <w:p w14:paraId="4EA682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F124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Resident files reviewed included informed consent and van consent forms signed by either the resident or powers of attorney/welfare guardians. Consent forms for </w:t>
            </w:r>
            <w:r w:rsidRPr="00BE00C7">
              <w:rPr>
                <w:rFonts w:cs="Arial"/>
                <w:lang w:eastAsia="en-NZ"/>
              </w:rPr>
              <w:lastRenderedPageBreak/>
              <w:t>vaccinations were also on file where appropriate. Residents and relatives interviewed could describe what informed consent was and their rights around choice. There is an advance directive policy.</w:t>
            </w:r>
          </w:p>
          <w:p w14:paraId="1204FA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shared goals of care in place. The service follows relevant best practice tikanga guidelines, welcoming the involvement of family/whānau in decision-making, where the person receiving services wants them to be involved. Discussions with residents and relatives confirmed that they are involved in the decision-making process, and in the planning of care. Admission agreements had been signed and sighted for all the files reviewed. Copies of enduring power of attorneys (EPOAs) or welfare guardianship were in resident files where available. </w:t>
            </w:r>
          </w:p>
          <w:p w14:paraId="640C11BD" w14:textId="77777777" w:rsidR="00000000" w:rsidRPr="00BE00C7" w:rsidRDefault="00000000" w:rsidP="00BE00C7">
            <w:pPr>
              <w:pStyle w:val="OutcomeDescription"/>
              <w:spacing w:before="120" w:after="120"/>
              <w:rPr>
                <w:rFonts w:cs="Arial"/>
                <w:lang w:eastAsia="en-NZ"/>
              </w:rPr>
            </w:pPr>
          </w:p>
        </w:tc>
      </w:tr>
      <w:tr w:rsidR="0010212B" w14:paraId="6C986331" w14:textId="77777777">
        <w:tc>
          <w:tcPr>
            <w:tcW w:w="0" w:type="auto"/>
          </w:tcPr>
          <w:p w14:paraId="3E9447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99281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491F245" w14:textId="77777777" w:rsidR="00000000" w:rsidRPr="00BE00C7" w:rsidRDefault="00000000" w:rsidP="00BE00C7">
            <w:pPr>
              <w:pStyle w:val="OutcomeDescription"/>
              <w:spacing w:before="120" w:after="120"/>
              <w:rPr>
                <w:rFonts w:cs="Arial"/>
                <w:lang w:eastAsia="en-NZ"/>
              </w:rPr>
            </w:pPr>
          </w:p>
        </w:tc>
        <w:tc>
          <w:tcPr>
            <w:tcW w:w="0" w:type="auto"/>
          </w:tcPr>
          <w:p w14:paraId="4E082A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5B8C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care home manager maintains a record of all complaints, both verbal and written using a complaint register. Documentation including follow-up letters and resolution demonstrates that complaints are being managed in accordance with guidelines set by the Health and Disability Commissioner (HDC). Five complaints have been lodged since last audit in October 2023. All were of a minor nature and with no specific trends. There have been no external complaints. </w:t>
            </w:r>
          </w:p>
          <w:p w14:paraId="15303B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a variety of avenues they can choose from to make a complaint or express a concern. Resident meetings are held quarterly and create a platform where concerns can be raised. During interviews with family/whānau, they confirmed the care home manager is available to listen to concerns and acts promptly on issues raised. Residents and family/whānau making a complaint can involve an independent support person in the process if they choose. </w:t>
            </w:r>
          </w:p>
          <w:p w14:paraId="76791C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support resources for Māori is available to staff to assist Māori in the complaints process. Māori residents are supported to ensure an equitable complaints process. The management team acknowledged the understanding that for Māori, there is a preference for face-to-face communication. Staff are informed of complaints (and </w:t>
            </w:r>
            <w:r w:rsidRPr="00BE00C7">
              <w:rPr>
                <w:rFonts w:cs="Arial"/>
                <w:lang w:eastAsia="en-NZ"/>
              </w:rPr>
              <w:lastRenderedPageBreak/>
              <w:t>any subsequent corrective actions) in the staff, quality health and safety and registered nurse meetings (minutes sighted). Any higher risk complaints would be managed with the support of the area manager.</w:t>
            </w:r>
          </w:p>
          <w:p w14:paraId="1F5720F7" w14:textId="77777777" w:rsidR="00000000" w:rsidRPr="00BE00C7" w:rsidRDefault="00000000" w:rsidP="00BE00C7">
            <w:pPr>
              <w:pStyle w:val="OutcomeDescription"/>
              <w:spacing w:before="120" w:after="120"/>
              <w:rPr>
                <w:rFonts w:cs="Arial"/>
                <w:lang w:eastAsia="en-NZ"/>
              </w:rPr>
            </w:pPr>
          </w:p>
        </w:tc>
      </w:tr>
      <w:tr w:rsidR="0010212B" w14:paraId="4AA84586" w14:textId="77777777">
        <w:tc>
          <w:tcPr>
            <w:tcW w:w="0" w:type="auto"/>
          </w:tcPr>
          <w:p w14:paraId="2D2249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76055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5AF37D1" w14:textId="77777777" w:rsidR="00000000" w:rsidRPr="00BE00C7" w:rsidRDefault="00000000" w:rsidP="00BE00C7">
            <w:pPr>
              <w:pStyle w:val="OutcomeDescription"/>
              <w:spacing w:before="120" w:after="120"/>
              <w:rPr>
                <w:rFonts w:cs="Arial"/>
                <w:lang w:eastAsia="en-NZ"/>
              </w:rPr>
            </w:pPr>
          </w:p>
        </w:tc>
        <w:tc>
          <w:tcPr>
            <w:tcW w:w="0" w:type="auto"/>
          </w:tcPr>
          <w:p w14:paraId="0DFD42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F80E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David Lange is one of 21 care homes owned and operated by CHT Healthcare Trust, a charitable, not for profit organisation. The care home is built on three levels and certified to provide hospital (geriatric and medical) rest home and residential disability (physical) care for up to 87 residents. All the rooms are dual purpose with ten double/shared rooms spread across all three floors. The care home is divided into 23 beds on the ground floor (Orion community with two double/shared rooms); 42 beds on level one shared between Pegasus community (20 beds with three double/shared rooms) and Phoenix community (22 beds with two double/shared rooms); and 22 beds on level two (Gemini community with three double/shared rooms). </w:t>
            </w:r>
          </w:p>
          <w:p w14:paraId="125163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81 residents: 34 rest home residents including six under the long-term support chronic health contract (LTS-CHC); and 47 hospital residents including one resident on a young person with a disability (YPD) contract, three residents on Accident Compensation Corporation (ACC) funding, one resident on respite, and three on the LTS-CHC. All other residents were under the age-related residential care contract (ARRC). </w:t>
            </w:r>
          </w:p>
          <w:p w14:paraId="577149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has an overarching five-year strategy map (ending March 2029) with clear business goals to support organisational values. One of CHT’s key business goals is to provide equal access to aged care services. They aim to achieve this by providing affordable care and by enhancing physical and mental wellbeing of their residents. CHT premium rates and room sizes are in line with those principles, supporting their goal. The 2024-2025 business plan being implemented includes a mission statement and operational objectives with site specific goals related to (but not limited to) budgeted occupancy; complaints management; resident satisfaction; customer engagement; maintaining quality gardens and staff retention and satisfaction. The care home manager reports on these areas monthly </w:t>
            </w:r>
            <w:r w:rsidRPr="00BE00C7">
              <w:rPr>
                <w:rFonts w:cs="Arial"/>
                <w:lang w:eastAsia="en-NZ"/>
              </w:rPr>
              <w:lastRenderedPageBreak/>
              <w:t xml:space="preserve">to the area manager. </w:t>
            </w:r>
          </w:p>
          <w:p w14:paraId="301474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of CHT Healthcare Trust consists of seven trustees. Each of the trustees contributes their own areas of expertise to the Board, including legal, accounting, medical, human resources, marketing, and business management. The Chairperson of the Board is also an experienced director and chairs other organisational Boards. The area manager interviewed explained the strategic plan, its reflection of collaboration with Māori, which aligns with Manatū Hauora Ministry of Health strategies and addresses barriers to equitable service delivery. </w:t>
            </w:r>
          </w:p>
          <w:p w14:paraId="1BCE87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CHT’s Māori health plan incorporates the principles of Te Tiriti o Waitangi, including partnership in recognising all cultures as partners and valuing each culture for the contributions they bring. Cultural advisors at the governance level ensure Māori have meaningful representation to have substantive input into organisational operational policies. CHT’s Māori Health Plan has a set of actions to address barriers to Māori accessing care and employment within CHT. The principles of these actions are also applied to people with disabilities. One of the actions from the Māori health plan is to develop meaningful relationships with kaumātua/kuia/koroua at governance, operational and service level. CHT have established a Māori working party to complement this action, including respected kaumātua. The Board and executive team have attended cultural training to ensure they are able to demonstrate expertise in Te Tiriti, health equity, and cultural safety. </w:t>
            </w:r>
          </w:p>
          <w:p w14:paraId="5D2FCB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Board sub committees that are involved in the quality and risk management system: the Quality, Health &amp; Safety Committee (QHSC), and the Audit and Risk Committee. The Quality, Health &amp; Safety Committee (QHSC), reports to the Board and monitors CHT’s compliance with its policies and procedures on quality, health and safety, and relevant legislation and contractual requirements, as a part of its responsibilities. The quality programme includes a quality programme policy, and quality goals (including site specific business goals) that are reviewed monthly in unit review meetings (management meetings), as well as being discussed in the monthly staff and registered nurse meetings and quarterly quality health and safety meetings. The Audit and Risk Committee assists the Board in </w:t>
            </w:r>
            <w:r w:rsidRPr="00BE00C7">
              <w:rPr>
                <w:rFonts w:cs="Arial"/>
                <w:lang w:eastAsia="en-NZ"/>
              </w:rPr>
              <w:lastRenderedPageBreak/>
              <w:t xml:space="preserve">fulfilling its responsibilities relating to accounting and reporting, and risk management practices. </w:t>
            </w:r>
          </w:p>
          <w:p w14:paraId="0D9178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CHT clinical quality lead provides oversight of the organisational clinical governance working alongside the area managers to ensure a strong clinical quality culture. The four area managers provide clinical oversight for the care facilities within their region. A detailed analysis of clinical data related to each care homes is prepared and sent to the Board prior to every board meeting. The data is included in the Quality Health and Safety Committee report. The clinical data is compared both internally as well as externally against the national clinical benchmarking data. The reports forwarded to the Board provide an opportunity for discussions around issues raised and any corrective actions taken.</w:t>
            </w:r>
          </w:p>
          <w:p w14:paraId="20D13E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manager, a registered nurse with a current practicing certificate, has been at David Lange since November 2014 and in the care home manager’s role from November 2022. The care home manager is supported by an experienced clinical coordinator who has been in the role for two years and has been working at David Lange since 2018. They are both supported by the area manager, CHT clinical quality lead and an experienced care team. The care home manager and clinical coordinator have completed more than eight hours of training related to managing an aged care facility and includes a leadership course, employment relations, code of right, work health and safety, privacy related training, CHT specific business, infection control, cultural, and restraint training.</w:t>
            </w:r>
          </w:p>
          <w:p w14:paraId="16475C2F" w14:textId="77777777" w:rsidR="00000000" w:rsidRPr="00BE00C7" w:rsidRDefault="00000000" w:rsidP="00BE00C7">
            <w:pPr>
              <w:pStyle w:val="OutcomeDescription"/>
              <w:spacing w:before="120" w:after="120"/>
              <w:rPr>
                <w:rFonts w:cs="Arial"/>
                <w:lang w:eastAsia="en-NZ"/>
              </w:rPr>
            </w:pPr>
          </w:p>
        </w:tc>
      </w:tr>
      <w:tr w:rsidR="0010212B" w14:paraId="36D47FC5" w14:textId="77777777">
        <w:tc>
          <w:tcPr>
            <w:tcW w:w="0" w:type="auto"/>
          </w:tcPr>
          <w:p w14:paraId="348006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E7FF7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w:t>
            </w:r>
            <w:r w:rsidRPr="00BE00C7">
              <w:rPr>
                <w:rFonts w:cs="Arial"/>
                <w:lang w:eastAsia="en-NZ"/>
              </w:rPr>
              <w:lastRenderedPageBreak/>
              <w:t>improvement that take a risk-based approach, and these systems meet the needs of people using the services and our health care and support workers.</w:t>
            </w:r>
          </w:p>
          <w:p w14:paraId="7E3C0159" w14:textId="77777777" w:rsidR="00000000" w:rsidRPr="00BE00C7" w:rsidRDefault="00000000" w:rsidP="00BE00C7">
            <w:pPr>
              <w:pStyle w:val="OutcomeDescription"/>
              <w:spacing w:before="120" w:after="120"/>
              <w:rPr>
                <w:rFonts w:cs="Arial"/>
                <w:lang w:eastAsia="en-NZ"/>
              </w:rPr>
            </w:pPr>
          </w:p>
        </w:tc>
        <w:tc>
          <w:tcPr>
            <w:tcW w:w="0" w:type="auto"/>
          </w:tcPr>
          <w:p w14:paraId="5F0CA3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EEFB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David Lange has an established quality and risk management programme. The quality and risk management systems include performance monitoring through internal audits and through the collection of clinical indicator data. Clinical indicator data (e.g., falls, skin tears, infections, medications) is collected, analysed at care home level, and benchmarked within the organisation and nationally with other aged care providers. Meeting minutes reviewed evidence quality data is shared in staff meetings. Internal audits are completed six-monthly by the area manager (last completed October 2024). Corrective actions are documented to address service improvements, </w:t>
            </w:r>
            <w:r w:rsidRPr="00BE00C7">
              <w:rPr>
                <w:rFonts w:cs="Arial"/>
                <w:lang w:eastAsia="en-NZ"/>
              </w:rPr>
              <w:lastRenderedPageBreak/>
              <w:t xml:space="preserve">with evidence of progress and sign off when achieved. </w:t>
            </w:r>
          </w:p>
          <w:p w14:paraId="2543D7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monthly staff meetings and quarterly quality health and safety meetings provide an avenue for discussions in relation to (but not limited to) quality data; health and safety; infection control/pandemic strategies; complaints; compliments; staffing; and education. Resident/family satisfaction surveys are completed monthly, with a selection invited each month (on the anniversary of the resident’s admission), with the aim of covering all residents and family/whānau in a calendar year. The response rate has been very low. With a goal of achieving greater than 80% satisfaction across all the areas, the September year to date rolling responses reviewed reflects overall satisfaction with the service with a likelihood to recommend the service at 100%, satisfaction with care 83% and friendliness 100%. </w:t>
            </w:r>
          </w:p>
          <w:p w14:paraId="36AEC4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improvement plans have been documented and include monitoring of progress on clinical indicators such as pressure injuries (to reduce the number of incidents) and improve residents’ quality of life. These have included a multi-disciplinary approach and resident specific management plans to promote healing without complication for those admitted with pressure injuries and minimise the risk of developing pressure injuries for residents assessed to be at risk. </w:t>
            </w:r>
          </w:p>
          <w:p w14:paraId="69A90D86"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safety is embedded in the quality system. Tāngata whaikaha has meaningful representation through the monthly resident and family/whānau meetings and six-monthly care plan review meetings.</w:t>
            </w:r>
          </w:p>
          <w:p w14:paraId="1578AE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A document control system is in place. Policies are regularly reviewed and reflect updates to the Ngā Paerewa Standard (NZS 8134:2021). Staff have completed a range of training, including cultural awareness training, to ensure a high quality of service is delivered to all residents within the service. </w:t>
            </w:r>
          </w:p>
          <w:p w14:paraId="51C4FF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being implemented led by a health and safety committee of three staff (one on parental leave at the time of audit). Two of three representatives have completed the required external training for health and safety officers and the remaining one is scheduled to attend the next training when back from parental leave. Hazard identification forms and an up-to-date hazard register were sighted (last reviewed 27 September 2024). In the event of a </w:t>
            </w:r>
            <w:r w:rsidRPr="00BE00C7">
              <w:rPr>
                <w:rFonts w:cs="Arial"/>
                <w:lang w:eastAsia="en-NZ"/>
              </w:rPr>
              <w:lastRenderedPageBreak/>
              <w:t xml:space="preserve">staff accident or incident, a debrief process is documented on the accident/incident form. There have been no significant staff related incidents since last audit. Health and safety training begins at orientation and continues annually. </w:t>
            </w:r>
          </w:p>
          <w:p w14:paraId="0D7FE95A" w14:textId="77777777" w:rsidR="00000000" w:rsidRPr="00BE00C7" w:rsidRDefault="00000000" w:rsidP="00BE00C7">
            <w:pPr>
              <w:pStyle w:val="OutcomeDescription"/>
              <w:spacing w:before="120" w:after="120"/>
              <w:rPr>
                <w:rFonts w:cs="Arial"/>
                <w:lang w:eastAsia="en-NZ"/>
              </w:rPr>
            </w:pPr>
            <w:r w:rsidRPr="00BE00C7">
              <w:rPr>
                <w:rFonts w:cs="Arial"/>
                <w:lang w:eastAsia="en-NZ"/>
              </w:rPr>
              <w:t>Accident/incident forms reviewed indicated that the electronic forms are completed in full and are signed off by the care home manager or clinical coordinator. Incident and accident data is collated monthly and analysed by both the care home manager and the area manager. Results are discussed in the staff and quality health and safety meetings.</w:t>
            </w:r>
          </w:p>
          <w:p w14:paraId="7F27EB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care home manager evidenced their awareness of the requirement to notify relevant authorities in relation to essential notifications. Section 31 notifications sent related to RN staffing shortages on three specific dates (4 July, 1 October and 31 October 2024), police involvement with a resident absconding and a report to Health Quality Safety Commission (HQSC) of a fracture in July 2024. There have been no outbreaks since last audit. </w:t>
            </w:r>
          </w:p>
          <w:p w14:paraId="398823DC" w14:textId="77777777" w:rsidR="00000000" w:rsidRPr="00BE00C7" w:rsidRDefault="00000000" w:rsidP="00BE00C7">
            <w:pPr>
              <w:pStyle w:val="OutcomeDescription"/>
              <w:spacing w:before="120" w:after="120"/>
              <w:rPr>
                <w:rFonts w:cs="Arial"/>
                <w:lang w:eastAsia="en-NZ"/>
              </w:rPr>
            </w:pPr>
          </w:p>
        </w:tc>
      </w:tr>
      <w:tr w:rsidR="0010212B" w14:paraId="486BE194" w14:textId="77777777">
        <w:tc>
          <w:tcPr>
            <w:tcW w:w="0" w:type="auto"/>
          </w:tcPr>
          <w:p w14:paraId="113682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32742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41FA714" w14:textId="77777777" w:rsidR="00000000" w:rsidRPr="00BE00C7" w:rsidRDefault="00000000" w:rsidP="00BE00C7">
            <w:pPr>
              <w:pStyle w:val="OutcomeDescription"/>
              <w:spacing w:before="120" w:after="120"/>
              <w:rPr>
                <w:rFonts w:cs="Arial"/>
                <w:lang w:eastAsia="en-NZ"/>
              </w:rPr>
            </w:pPr>
          </w:p>
        </w:tc>
        <w:tc>
          <w:tcPr>
            <w:tcW w:w="0" w:type="auto"/>
          </w:tcPr>
          <w:p w14:paraId="0D5976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2868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appropriate coverage for the effective delivery of care and support. The registered nurses, enrolled nurses, the activities coordinators, diversional therapist and a selection of healthcare assistants hold current first aid certificates. There is a first aid trained staff member on duty 24/7. Interviews with staff confirmed that their workload is manageable. Vacant shifts are covered by available healthcare assistants, registered nurses, casual, or bureau staff. No registered nurse vacancies were reported at the time of the audit. Out of hours on-call 24/7 cover is shared between the care home manager and clinical coordinator. The clinical coordinator, supported by the area manager, will perform the care home manager’s role in their absence. Staff and residents are informed when there are changes to staffing levels, evidenced in staff interviews and resident meeting minutes. </w:t>
            </w:r>
          </w:p>
          <w:p w14:paraId="7547C0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and clinical coordinator are both available from Monday to Friday. The roster reviewed evidenced registered </w:t>
            </w:r>
            <w:r w:rsidRPr="00BE00C7">
              <w:rPr>
                <w:rFonts w:cs="Arial"/>
                <w:lang w:eastAsia="en-NZ"/>
              </w:rPr>
              <w:lastRenderedPageBreak/>
              <w:t xml:space="preserve">nurse cover 24/7. The number of healthcare assistants on each shift is sufficient for the acuity, layout of the care home, support with the workload and to provide safe and timely care on all shifts. </w:t>
            </w:r>
          </w:p>
          <w:p w14:paraId="5CBA83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(through the Dayforce electronic learning management system and clinical topics), which includes cultural awareness training. Staff have completed cultural awareness training online which included the provision of safe cultural care, Māori world view and the Treaty of Waitangi. The training content provided resources to staff to encourage participation in learning opportunities that provide them with up-to-date information on Māori health outcomes and disparities, and health equity. External training opportunities for care staff include training through Health New Zealand - Te Whatu Ora, hospice and the organisation’s online training portal, which can be accessed on personal devices. </w:t>
            </w:r>
          </w:p>
          <w:p w14:paraId="7A5897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Forty-seven healthcare assistants are employed, 39 of whom have achieved a level 3 NZQA qualification or higher. The CHT David Lange orientation programme ensure core competencies and compulsory knowledge/topics are addressed. All staff are required to complete competency assessments as part of their orientation. All healthcare assistants are required to complete annual competencies for moving and handling. A record of completion is maintained on an electronic register. </w:t>
            </w:r>
          </w:p>
          <w:p w14:paraId="33B20A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registered nurse specific competencies include syringe driver and interRAI assessment competency. Eleven of the sixteen registered nurses (including the clinical coordinator) are interRAI trained. Registered nurses are encouraged to attend in-service training and have completed training around infection control, including Covid-19 preparedness, effective communication in the care setting, and management of diabetes, dementia, and delirium. Registered nurses are also encouraged to attend external training, webinars and zoom training where available. All staff, including registered nurses and enrolled nurses attend relevant staff and registered nurse meetings when possible. </w:t>
            </w:r>
          </w:p>
          <w:p w14:paraId="5056C3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wellness is encouraged through participation in health and wellbeing activities. Signage supporting the Employee Assistance Programme (EAP) were posted and visible in staff locations. The workplace union delegates, staff and management collaborate to ensure a positive workplace culture.</w:t>
            </w:r>
          </w:p>
          <w:p w14:paraId="2B8C8234" w14:textId="77777777" w:rsidR="00000000" w:rsidRPr="00BE00C7" w:rsidRDefault="00000000" w:rsidP="00BE00C7">
            <w:pPr>
              <w:pStyle w:val="OutcomeDescription"/>
              <w:spacing w:before="120" w:after="120"/>
              <w:rPr>
                <w:rFonts w:cs="Arial"/>
                <w:lang w:eastAsia="en-NZ"/>
              </w:rPr>
            </w:pPr>
          </w:p>
        </w:tc>
      </w:tr>
      <w:tr w:rsidR="0010212B" w14:paraId="7802FF40" w14:textId="77777777">
        <w:tc>
          <w:tcPr>
            <w:tcW w:w="0" w:type="auto"/>
          </w:tcPr>
          <w:p w14:paraId="6DB9B8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8EF34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BBF9508" w14:textId="77777777" w:rsidR="00000000" w:rsidRPr="00BE00C7" w:rsidRDefault="00000000" w:rsidP="00BE00C7">
            <w:pPr>
              <w:pStyle w:val="OutcomeDescription"/>
              <w:spacing w:before="120" w:after="120"/>
              <w:rPr>
                <w:rFonts w:cs="Arial"/>
                <w:lang w:eastAsia="en-NZ"/>
              </w:rPr>
            </w:pPr>
          </w:p>
        </w:tc>
        <w:tc>
          <w:tcPr>
            <w:tcW w:w="0" w:type="auto"/>
          </w:tcPr>
          <w:p w14:paraId="5FC53A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58D4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Nine staff files reviewed (one activity coordinator, four healthcare assistants [including one health and safety representative], one enrolled nurse, one registered nurse, one administrator, one clinical coordinator) evidenced implementation of the recruitment process, employment contracts, police vetting checks and completed orientation. There are job descriptions in place for all positions that includes outcomes, accountability, responsibilities, and functions to be achieved for each position. All staff who have been employed for over one year have an annual appraisal completed.</w:t>
            </w:r>
          </w:p>
          <w:p w14:paraId="66DB8E94"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(but not limited to) nurse practitioner, dietician, podiatrist, pharmacists and physiotherapist.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enrolled nurses and healthcare assistants to provide a culturally safe environment for Māori. Information held about staff is kept secure, and confidential. Ethnicity data is identified for staff, and an employee ethnicity database is available. Following any staff incident/accident, evidence of debriefing and follow-up action taken are documented. Wellbeing support is provided to staff.</w:t>
            </w:r>
          </w:p>
          <w:p w14:paraId="0FF9AA32" w14:textId="77777777" w:rsidR="00000000" w:rsidRPr="00BE00C7" w:rsidRDefault="00000000" w:rsidP="00BE00C7">
            <w:pPr>
              <w:pStyle w:val="OutcomeDescription"/>
              <w:spacing w:before="120" w:after="120"/>
              <w:rPr>
                <w:rFonts w:cs="Arial"/>
                <w:lang w:eastAsia="en-NZ"/>
              </w:rPr>
            </w:pPr>
          </w:p>
        </w:tc>
      </w:tr>
      <w:tr w:rsidR="0010212B" w14:paraId="341C9196" w14:textId="77777777">
        <w:tc>
          <w:tcPr>
            <w:tcW w:w="0" w:type="auto"/>
          </w:tcPr>
          <w:p w14:paraId="260738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7E0409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r>
            <w:r w:rsidRPr="00BE00C7">
              <w:rPr>
                <w:rFonts w:cs="Arial"/>
                <w:lang w:eastAsia="en-NZ"/>
              </w:rPr>
              <w:lastRenderedPageBreak/>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BF78D19" w14:textId="77777777" w:rsidR="00000000" w:rsidRPr="00BE00C7" w:rsidRDefault="00000000" w:rsidP="00BE00C7">
            <w:pPr>
              <w:pStyle w:val="OutcomeDescription"/>
              <w:spacing w:before="120" w:after="120"/>
              <w:rPr>
                <w:rFonts w:cs="Arial"/>
                <w:lang w:eastAsia="en-NZ"/>
              </w:rPr>
            </w:pPr>
          </w:p>
        </w:tc>
        <w:tc>
          <w:tcPr>
            <w:tcW w:w="0" w:type="auto"/>
          </w:tcPr>
          <w:p w14:paraId="62ED03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B2C6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a mixture of hard copy and an electronic format. Electronic information is regularly backed-up using cloud-based technology and password protection. There is a documented CHT </w:t>
            </w:r>
            <w:r w:rsidRPr="00BE00C7">
              <w:rPr>
                <w:rFonts w:cs="Arial"/>
                <w:lang w:eastAsia="en-NZ"/>
              </w:rPr>
              <w:lastRenderedPageBreak/>
              <w:t xml:space="preserve">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w:t>
            </w:r>
          </w:p>
          <w:p w14:paraId="1A7A227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archived files are securely stored in a locked room or backed-up on the electronic system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care home manager (supported by CHT’s area manager) is the privacy officer and there is a pathway of communication and approval to release health information. The service is not responsible for National Health Index registration.</w:t>
            </w:r>
          </w:p>
          <w:p w14:paraId="5A8825BC" w14:textId="77777777" w:rsidR="00000000" w:rsidRPr="00BE00C7" w:rsidRDefault="00000000" w:rsidP="00BE00C7">
            <w:pPr>
              <w:pStyle w:val="OutcomeDescription"/>
              <w:spacing w:before="120" w:after="120"/>
              <w:rPr>
                <w:rFonts w:cs="Arial"/>
                <w:lang w:eastAsia="en-NZ"/>
              </w:rPr>
            </w:pPr>
          </w:p>
        </w:tc>
      </w:tr>
      <w:tr w:rsidR="0010212B" w14:paraId="02616882" w14:textId="77777777">
        <w:tc>
          <w:tcPr>
            <w:tcW w:w="0" w:type="auto"/>
          </w:tcPr>
          <w:p w14:paraId="4709FD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557F1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9E27EDB" w14:textId="77777777" w:rsidR="00000000" w:rsidRPr="00BE00C7" w:rsidRDefault="00000000" w:rsidP="00BE00C7">
            <w:pPr>
              <w:pStyle w:val="OutcomeDescription"/>
              <w:spacing w:before="120" w:after="120"/>
              <w:rPr>
                <w:rFonts w:cs="Arial"/>
                <w:lang w:eastAsia="en-NZ"/>
              </w:rPr>
            </w:pPr>
          </w:p>
        </w:tc>
        <w:tc>
          <w:tcPr>
            <w:tcW w:w="0" w:type="auto"/>
          </w:tcPr>
          <w:p w14:paraId="0129A0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0036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entry and decline to entry policy.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Exclusions from the service are included in the admission agreement. Family/whānau and residents interviewed stated that they have received the information pack and have received sufficient information prior to and on entry to the service. Admission criteria is based on the assessed need of the resident and the contracts under which the service operates. The care home manager and clinical coordinator are available to answer any questions regarding the admission process and a waiting list is managed.</w:t>
            </w:r>
          </w:p>
          <w:p w14:paraId="643311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manager reported that all potential residents who are declined entry are recorded. When an entry is declined, family/whānau and residents are informed of the reason for this and other options or alternative services. The resident and family/whānau are referred to the referring agency to ensure the person will be admitted to the appropriate service provider.</w:t>
            </w:r>
          </w:p>
          <w:p w14:paraId="16273D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organisation has a process to combine a collection of ethnicity data from all residents and the analysis of same for the purposes of identifying entry and decline rates for Māori. The service, with the assistance of the CHT Healthcare Trust head office, increases links to local Māori health practitioners and Māori health organisations to improve health outcomes for Māori residents.</w:t>
            </w:r>
          </w:p>
          <w:p w14:paraId="7A7454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coordinator confirmed that that Māori health practitioners and traditional Māori healers for residents and family/whānau who may benefit from these interventions, are consulted when required.</w:t>
            </w:r>
          </w:p>
          <w:p w14:paraId="5BD12ABC" w14:textId="77777777" w:rsidR="00000000" w:rsidRPr="00BE00C7" w:rsidRDefault="00000000" w:rsidP="00BE00C7">
            <w:pPr>
              <w:pStyle w:val="OutcomeDescription"/>
              <w:spacing w:before="120" w:after="120"/>
              <w:rPr>
                <w:rFonts w:cs="Arial"/>
                <w:lang w:eastAsia="en-NZ"/>
              </w:rPr>
            </w:pPr>
          </w:p>
        </w:tc>
      </w:tr>
      <w:tr w:rsidR="0010212B" w14:paraId="0B313BC6" w14:textId="77777777">
        <w:tc>
          <w:tcPr>
            <w:tcW w:w="0" w:type="auto"/>
          </w:tcPr>
          <w:p w14:paraId="6DF300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E67B8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C0F6AE3" w14:textId="77777777" w:rsidR="00000000" w:rsidRPr="00BE00C7" w:rsidRDefault="00000000" w:rsidP="00BE00C7">
            <w:pPr>
              <w:pStyle w:val="OutcomeDescription"/>
              <w:spacing w:before="120" w:after="120"/>
              <w:rPr>
                <w:rFonts w:cs="Arial"/>
                <w:lang w:eastAsia="en-NZ"/>
              </w:rPr>
            </w:pPr>
          </w:p>
        </w:tc>
        <w:tc>
          <w:tcPr>
            <w:tcW w:w="0" w:type="auto"/>
          </w:tcPr>
          <w:p w14:paraId="46842F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31556C" w14:textId="77777777" w:rsidR="00000000" w:rsidRPr="00BE00C7" w:rsidRDefault="00000000" w:rsidP="00BE00C7">
            <w:pPr>
              <w:pStyle w:val="OutcomeDescription"/>
              <w:spacing w:before="120" w:after="120"/>
              <w:rPr>
                <w:rFonts w:cs="Arial"/>
                <w:lang w:eastAsia="en-NZ"/>
              </w:rPr>
            </w:pPr>
            <w:r w:rsidRPr="00BE00C7">
              <w:rPr>
                <w:rFonts w:cs="Arial"/>
                <w:lang w:eastAsia="en-NZ"/>
              </w:rPr>
              <w:t>Nine files were reviewed, and these included three rest home level of care residents, including one resident on a long-term support chronic conditions contract (LTS-CHC), four hospital level of care residents including one funded through ACC, a respite resident and one funded through LTS-CHC. The registered nurses are responsible for conducting all assessments and for the development of care plans. Initial assessments and interRAI assessments were all completed within the required timeframes. Initial care plans were developed, and long-term care plans were all linked to interRAI assessments, with all triggered outcomes scores identified. There is evidence of resident and family/whānau involvement in the interRAI assessments and long-term care plans reviewed, and this was documented in progress notes. The younger resident on a YPD contract`s care plan integrated normal routine, hobbies, and social wellbeing. Family/ whanau interviewed stated the communication is excellent.</w:t>
            </w:r>
          </w:p>
          <w:p w14:paraId="77A6F4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reported that the interventions that occurred and developed were appropriate and effective. All assessment tools included consideration of residents’ lived experiences, cultural needs, values, and beliefs. The care plans document the activities of daily living, support required, and residents’ health issues. All residents had identified activities of choice and were actively supported to engage with help from staff. Staff interviewed were able to describe in detail interventions, care and support required to ensure safe resident care, and in addition, were able to describe interventions provided that contributed to the overall health </w:t>
            </w:r>
            <w:r w:rsidRPr="00BE00C7">
              <w:rPr>
                <w:rFonts w:cs="Arial"/>
                <w:lang w:eastAsia="en-NZ"/>
              </w:rPr>
              <w:lastRenderedPageBreak/>
              <w:t>and wellbeing of the residents.</w:t>
            </w:r>
          </w:p>
          <w:p w14:paraId="5B03FA57" w14:textId="77777777" w:rsidR="00000000" w:rsidRPr="00BE00C7" w:rsidRDefault="00000000" w:rsidP="00BE00C7">
            <w:pPr>
              <w:pStyle w:val="OutcomeDescription"/>
              <w:spacing w:before="120" w:after="120"/>
              <w:rPr>
                <w:rFonts w:cs="Arial"/>
                <w:lang w:eastAsia="en-NZ"/>
              </w:rPr>
            </w:pPr>
            <w:r w:rsidRPr="00BE00C7">
              <w:rPr>
                <w:rFonts w:cs="Arial"/>
                <w:lang w:eastAsia="en-NZ"/>
              </w:rPr>
              <w:t>A nurse practitioner (NP) visits the service weekly, and a GP provides remote services weekly and three-monthly reviews.</w:t>
            </w:r>
          </w:p>
          <w:p w14:paraId="42A7AF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InterRAI assessments, input from the NP, GP and allied services, as well as staff, resident and family/whanau consultation provide the basis for care planning. Where progress was different from expected, the service, in collaboration with residents or family/whānau, responded by initiating changes to the care plans. The goals sampled in the care plans reflected identified residents’ strengths and goals. The evaluations included the degree of progress towards achieving their agreed goals. There were detailed documented strategies to maintain and promote residents’ independent wellbeing. The clinical coordinator (CC) reported that all referrals for residents who need behavioural support are sought from other agencies as required. </w:t>
            </w:r>
          </w:p>
          <w:p w14:paraId="3602B26F"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input was sought within an appropriate timeframe, orders were being followed, and care was person-centred. This was confirmed in the files reviewed and in interviews conducted with the staff. Completed medical records were sighted in all files sampled. Files sampled identified service integration with other members of the health team. The NP expressed satisfaction with the clinical care provided.</w:t>
            </w:r>
          </w:p>
          <w:p w14:paraId="2084162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an in-depth handover is shared between the staff between each shift. Interviewed staff stated that they were updated daily regarding each resident’s condition. Progress notes were completed, and more often, if there were any resident health condition changes. A multidisciplinary approach promotes continuity in service delivery, including the GPs, registered nurses, physiotherapists, activities staff, kitchen staff, care staff and other allied health team members, residents, and family/whānau. Any change in condition is reported to the CC, NP and registered nurses, as evidenced in the records sampled.</w:t>
            </w:r>
          </w:p>
          <w:p w14:paraId="0651C6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completes a range of monitoring charts as needed, examples include weight monitoring; blood glucose monitoring; behaviour monitoring charts; bowel charts; and food intake and output charts. Neurological observations are completed for unwitnessed falls or head injuries. All incident reports reviewed evidenced timely </w:t>
            </w:r>
            <w:r w:rsidRPr="00BE00C7">
              <w:rPr>
                <w:rFonts w:cs="Arial"/>
                <w:lang w:eastAsia="en-NZ"/>
              </w:rPr>
              <w:lastRenderedPageBreak/>
              <w:t>nursing follow up.</w:t>
            </w:r>
          </w:p>
          <w:p w14:paraId="0A3D0141"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five residents with a total of six active wounds between them including one pressure injury. The clinical coordinator is the wound champion and maintains oversight of all wounds. The clinical coordinator stated that staff have access to a wide range of wound care products on site and can access specialist products as needed. A wound care specialist is also available to the service.</w:t>
            </w:r>
          </w:p>
          <w:p w14:paraId="6165BF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care plan in place supports residents and family/whānau, as applicable, to identify their own pae ora outcomes in their care and support wellbeing. Tikanga principles are included within the Māori health care plan. The CC reported that any barriers that prevent tāngata whaikaha and whānau from independently accessing information or services would be identified, and strategies to manage these would be documented. The staff confirmed they understood the process to support residents and family/whānau. Residents at the service of Māori descent have this documented in their care plans. The cultural safety assessment process validates Māori healing methodologies, such as karakia, and spiritual assistance. Cultural assessments are completed by staff who have completed cultural safety training.</w:t>
            </w:r>
          </w:p>
          <w:p w14:paraId="1349A450" w14:textId="77777777" w:rsidR="00000000" w:rsidRPr="00BE00C7" w:rsidRDefault="00000000" w:rsidP="00A61FCA">
            <w:pPr>
              <w:pStyle w:val="OutcomeDescription"/>
              <w:spacing w:before="120" w:after="120"/>
              <w:rPr>
                <w:rFonts w:cs="Arial"/>
                <w:lang w:eastAsia="en-NZ"/>
              </w:rPr>
            </w:pPr>
          </w:p>
        </w:tc>
      </w:tr>
      <w:tr w:rsidR="0010212B" w14:paraId="6E578C4A" w14:textId="77777777">
        <w:tc>
          <w:tcPr>
            <w:tcW w:w="0" w:type="auto"/>
          </w:tcPr>
          <w:p w14:paraId="7ACEE2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DE4DA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F8CBA91" w14:textId="77777777" w:rsidR="00000000" w:rsidRPr="00BE00C7" w:rsidRDefault="00000000" w:rsidP="00BE00C7">
            <w:pPr>
              <w:pStyle w:val="OutcomeDescription"/>
              <w:spacing w:before="120" w:after="120"/>
              <w:rPr>
                <w:rFonts w:cs="Arial"/>
                <w:lang w:eastAsia="en-NZ"/>
              </w:rPr>
            </w:pPr>
          </w:p>
        </w:tc>
        <w:tc>
          <w:tcPr>
            <w:tcW w:w="0" w:type="auto"/>
          </w:tcPr>
          <w:p w14:paraId="54DE5B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600C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employs a team of three activity staff: two activity coordinators and one diversional therapist. A varied activity programme is planned monthly and published weekly. Activities are provided five days a week. There are activity suggestions documented for weekends with resources provided. The activity staff provide activities across the three floors of the service, residents can choose to join in any of the activities provided. The activity programme is formulated by the activities team in consultation with the residents, family/whānau, and care staff. This ensures that the activities are varied and appropriate for residents' assessed needs, including those requiring hospital, YPD, and rest home level of care.</w:t>
            </w:r>
          </w:p>
          <w:p w14:paraId="0CD251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is a specific programme for the younger people. This includes (as examples) magazine club, aromatherapy, happy hours and </w:t>
            </w:r>
            <w:r w:rsidRPr="00BE00C7">
              <w:rPr>
                <w:rFonts w:cs="Arial"/>
                <w:lang w:eastAsia="en-NZ"/>
              </w:rPr>
              <w:lastRenderedPageBreak/>
              <w:t>community trips. The YPD programme is developed in association with younger residents and is focussed on enabling resident to make their own choices for their lifestyle.</w:t>
            </w:r>
          </w:p>
          <w:p w14:paraId="7B8A14F7"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progress notes and activity participating register were completed daily. The residents participated in activities on the audit days that were appropriate to their group settings. The planned activities and community connections were suitable for the residents. Activities on the planners included quizzes; bingo; memory games; Anzac; table games; sing-along; painting; card games; movies; baking; scrabble; exercises; and community activities. Daily exercises are led by the activity staff and a resident. There are regular outings and drives for all residents, the activity staff describes a focus on community linkages, this includes bringing the community in for residents who are unable to leave the facility; examples include: church services, pet therapy and entertainment.</w:t>
            </w:r>
          </w:p>
          <w:p w14:paraId="7B5330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monthly meetings provide a forum for feedback relating to activities. </w:t>
            </w:r>
          </w:p>
          <w:p w14:paraId="416C36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staff reported that opportunities for Māori and family/whānau to participate in te ao Māori are facilitated through community engagements with traditional leaders and by celebrating religious and cultural festivals and Māori language week.</w:t>
            </w:r>
          </w:p>
          <w:p w14:paraId="6F791B00" w14:textId="77777777" w:rsidR="00000000" w:rsidRPr="00BE00C7" w:rsidRDefault="00000000" w:rsidP="00BE00C7">
            <w:pPr>
              <w:pStyle w:val="OutcomeDescription"/>
              <w:spacing w:before="120" w:after="120"/>
              <w:rPr>
                <w:rFonts w:cs="Arial"/>
                <w:lang w:eastAsia="en-NZ"/>
              </w:rPr>
            </w:pPr>
            <w:r w:rsidRPr="00BE00C7">
              <w:rPr>
                <w:rFonts w:cs="Arial"/>
                <w:lang w:eastAsia="en-NZ"/>
              </w:rPr>
              <w:t>EPOA/whānau/family and residents reported overall satisfaction with the level and variety of activities provided.</w:t>
            </w:r>
          </w:p>
          <w:p w14:paraId="140DBEA5" w14:textId="77777777" w:rsidR="00000000" w:rsidRPr="00BE00C7" w:rsidRDefault="00000000" w:rsidP="00BE00C7">
            <w:pPr>
              <w:pStyle w:val="OutcomeDescription"/>
              <w:spacing w:before="120" w:after="120"/>
              <w:rPr>
                <w:rFonts w:cs="Arial"/>
                <w:lang w:eastAsia="en-NZ"/>
              </w:rPr>
            </w:pPr>
          </w:p>
        </w:tc>
      </w:tr>
      <w:tr w:rsidR="0010212B" w14:paraId="11EED12D" w14:textId="77777777">
        <w:tc>
          <w:tcPr>
            <w:tcW w:w="0" w:type="auto"/>
          </w:tcPr>
          <w:p w14:paraId="2FADF6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FDA7E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C3CD7C0" w14:textId="77777777" w:rsidR="00000000" w:rsidRPr="00BE00C7" w:rsidRDefault="00000000" w:rsidP="00BE00C7">
            <w:pPr>
              <w:pStyle w:val="OutcomeDescription"/>
              <w:spacing w:before="120" w:after="120"/>
              <w:rPr>
                <w:rFonts w:cs="Arial"/>
                <w:lang w:eastAsia="en-NZ"/>
              </w:rPr>
            </w:pPr>
          </w:p>
        </w:tc>
        <w:tc>
          <w:tcPr>
            <w:tcW w:w="0" w:type="auto"/>
          </w:tcPr>
          <w:p w14:paraId="052DB85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05C8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The system describes medication prescribing, dispensing, administration, review, and reconciliation. Administration records are maintained. Medications are supplied to the facility from a contracted pharmacy. The GPs complete three-monthly medication reviews. </w:t>
            </w:r>
          </w:p>
          <w:p w14:paraId="66E61F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18 medication charts were reviewed from across the service. Indications for use are documented for pro re nata (PRN) medications, including over-the-counter medications and supplements on the medication charts. Allergies are documented, and all photos uploaded </w:t>
            </w:r>
            <w:r w:rsidRPr="00BE00C7">
              <w:rPr>
                <w:rFonts w:cs="Arial"/>
                <w:lang w:eastAsia="en-NZ"/>
              </w:rPr>
              <w:lastRenderedPageBreak/>
              <w:t>on the electronic medication management system are current. Eye drops are dated on opening. The effectiveness of PRN medications has been consistently documented in the electronic medication management system and progress notes.</w:t>
            </w:r>
          </w:p>
          <w:p w14:paraId="255B72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is conducted by the nursing team when a resident is transferred back to the service from the hospital or any external appointments and when new stock arrives from the pharmacy. The nursing team check medicines against the prescription. Medication competencies are current and have been completed in the last 12 months for all staff administering medicines. Medication incidents are completed in the event of a drug error, and corrective actions taken. A sample of these were reviewed during the audit. There were no expired or unwanted medicines. Expired medicines are returned to the pharmacy promptly. Monitoring medicine fridges and medication room temperatures is conducted regularly, and deviations from normal are reported and attended to promptly. </w:t>
            </w:r>
          </w:p>
          <w:p w14:paraId="404327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was observed administering medications safely and correctly. Medications were stored safely and securely in the trolleys, locked treatment room, and cupboards. Appropriate processes were in place to ensure residents who were self-administering medicines did so safely. There were no residents who self-administer medications. A self-medication policy is in place. There were no standing orders in use. Over-the-counter medication and supplements are considered by the prescriber as part of the person’s medication, as noted on the day of audit. </w:t>
            </w:r>
          </w:p>
          <w:p w14:paraId="6B5EBF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family/whānau are supported to understand their medicine when required. The NP stated that when requested by Māori, appropriate support and advice would be provided. There are processes in place to assist residents to access medication in association with the GP service and pharmacy. For the younger person currently using the service all medications are prescribed and available. </w:t>
            </w:r>
          </w:p>
          <w:p w14:paraId="2CE96C5C" w14:textId="77777777" w:rsidR="00000000" w:rsidRPr="00BE00C7" w:rsidRDefault="00000000" w:rsidP="00BE00C7">
            <w:pPr>
              <w:pStyle w:val="OutcomeDescription"/>
              <w:spacing w:before="120" w:after="120"/>
              <w:rPr>
                <w:rFonts w:cs="Arial"/>
                <w:lang w:eastAsia="en-NZ"/>
              </w:rPr>
            </w:pPr>
          </w:p>
        </w:tc>
      </w:tr>
      <w:tr w:rsidR="0010212B" w14:paraId="5AEE6BC3" w14:textId="77777777">
        <w:tc>
          <w:tcPr>
            <w:tcW w:w="0" w:type="auto"/>
          </w:tcPr>
          <w:p w14:paraId="11DB77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B7D8C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A7209CB" w14:textId="77777777" w:rsidR="00000000" w:rsidRPr="00BE00C7" w:rsidRDefault="00000000" w:rsidP="00BE00C7">
            <w:pPr>
              <w:pStyle w:val="OutcomeDescription"/>
              <w:spacing w:before="120" w:after="120"/>
              <w:rPr>
                <w:rFonts w:cs="Arial"/>
                <w:lang w:eastAsia="en-NZ"/>
              </w:rPr>
            </w:pPr>
          </w:p>
        </w:tc>
        <w:tc>
          <w:tcPr>
            <w:tcW w:w="0" w:type="auto"/>
          </w:tcPr>
          <w:p w14:paraId="53EE60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E6B7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outsourced. A chef oversees the food services </w:t>
            </w:r>
            <w:r w:rsidRPr="00BE00C7">
              <w:rPr>
                <w:rFonts w:cs="Arial"/>
                <w:lang w:eastAsia="en-NZ"/>
              </w:rPr>
              <w:lastRenderedPageBreak/>
              <w:t>with support from the area manager. The kitchen service complies with current food safety legislation and guidelines. The chef reported that all food and baking are prepared and cooked on site. Food is prepared in line with recognised nutritional guidelines for older people. The food control plan expires on 7 April 2025. A registered dietitian who the organisation employs reviewed the menu, and it was current. Kitchen staff have current food handling certificates.</w:t>
            </w:r>
          </w:p>
          <w:p w14:paraId="001F28C1"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residents' dietary needs. Residents have a nutrition profile developed on admission, identifying dietary requirements, likes, and dislikes. All alternatives are catered for as required. There are specialised utensils available if required. The residents’ weights are monitored at least monthly, and supplements are provided to residents with identified weight loss issues. The chef reported that all CHT facilities use the ‘replenish, energy and protein’ (REAP) programme. Snacks and drinks are available for residents throughout the day and at night when required.</w:t>
            </w:r>
          </w:p>
          <w:p w14:paraId="466B2D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clean, tidy, and well-stocked. Regular cleaning is undertaken, and all services comply with current legislation and guidelines. Labels and dates were on all containers. Thermometer calibrations were completed every three months. Records of temperature monitoring of food, chiller, fridges, and freezers are maintained. All food is delivered to the respective wings in scan boxes. All decanted food had records of use-by dates recorded on the containers, and no expired items were sighted. Family/whānau and residents interviewed indicated satisfaction with the food service. </w:t>
            </w:r>
          </w:p>
          <w:p w14:paraId="18BAD372" w14:textId="77777777" w:rsidR="00000000" w:rsidRPr="00BE00C7" w:rsidRDefault="00000000" w:rsidP="00BE00C7">
            <w:pPr>
              <w:pStyle w:val="OutcomeDescription"/>
              <w:spacing w:before="120" w:after="120"/>
              <w:rPr>
                <w:rFonts w:cs="Arial"/>
                <w:lang w:eastAsia="en-NZ"/>
              </w:rPr>
            </w:pPr>
            <w:r w:rsidRPr="00BE00C7">
              <w:rPr>
                <w:rFonts w:cs="Arial"/>
                <w:lang w:eastAsia="en-NZ"/>
              </w:rPr>
              <w:t>Mealtimes were observed during the audit. Residents received the support they needed and were given enough time to eat their meals in an unhurried fashion.</w:t>
            </w:r>
          </w:p>
          <w:p w14:paraId="524E6F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staff reported that the service prepares food that is culturally specific to different cultures. This includes menu options that are culturally specific to te ao Māori. Also, ' boil-ups,’ hāngi, Māori bread, and pork were included on the menu, and these are offered to any residents who identify as Māori when required. </w:t>
            </w:r>
          </w:p>
          <w:p w14:paraId="26105089" w14:textId="77777777" w:rsidR="00000000" w:rsidRPr="00BE00C7" w:rsidRDefault="00000000" w:rsidP="00BE00C7">
            <w:pPr>
              <w:pStyle w:val="OutcomeDescription"/>
              <w:spacing w:before="120" w:after="120"/>
              <w:rPr>
                <w:rFonts w:cs="Arial"/>
                <w:lang w:eastAsia="en-NZ"/>
              </w:rPr>
            </w:pPr>
          </w:p>
        </w:tc>
      </w:tr>
      <w:tr w:rsidR="0010212B" w14:paraId="0CD1F058" w14:textId="77777777">
        <w:tc>
          <w:tcPr>
            <w:tcW w:w="0" w:type="auto"/>
          </w:tcPr>
          <w:p w14:paraId="07A909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ADBA8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7EAE3D5" w14:textId="77777777" w:rsidR="00000000" w:rsidRPr="00BE00C7" w:rsidRDefault="00000000" w:rsidP="00BE00C7">
            <w:pPr>
              <w:pStyle w:val="OutcomeDescription"/>
              <w:spacing w:before="120" w:after="120"/>
              <w:rPr>
                <w:rFonts w:cs="Arial"/>
                <w:lang w:eastAsia="en-NZ"/>
              </w:rPr>
            </w:pPr>
          </w:p>
        </w:tc>
        <w:tc>
          <w:tcPr>
            <w:tcW w:w="0" w:type="auto"/>
          </w:tcPr>
          <w:p w14:paraId="693334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6F0F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for managing the discharge and transfer from services. The CC reported that discharges normally go into similar facilities. The nursing team oversees discharges and manages the process until exit. All this is conducted in consultation with the resident, family/whānau, and other external agencies. Risks are identified and managed as required. </w:t>
            </w:r>
          </w:p>
          <w:p w14:paraId="7BB12836" w14:textId="77777777" w:rsidR="00000000" w:rsidRPr="00BE00C7" w:rsidRDefault="00000000" w:rsidP="00BE00C7">
            <w:pPr>
              <w:pStyle w:val="OutcomeDescription"/>
              <w:spacing w:before="120" w:after="120"/>
              <w:rPr>
                <w:rFonts w:cs="Arial"/>
                <w:lang w:eastAsia="en-NZ"/>
              </w:rPr>
            </w:pPr>
            <w:r w:rsidRPr="00BE00C7">
              <w:rPr>
                <w:rFonts w:cs="Arial"/>
                <w:lang w:eastAsia="en-NZ"/>
              </w:rPr>
              <w:t>A discharge or transition plan is developed in conjunction with the residents and family/whānau (where appropriate) and documented on the residents’ file. Residents and family/whānau are advised of their options to access other health and disability services and social support or kaupapa Māori agencies, where indicated or requested. Referrals to other allied health providers were completed, and the resident's safety was identified. Upon discharge, current and old notes are collated and scanned into the resident’s electronic management system. If a subsequent GP requires a resident’s information, a written request is required to transfer the file.</w:t>
            </w:r>
          </w:p>
          <w:p w14:paraId="566093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reviewed files contained evidence of residents referred to other specialist services, such as podiatrists, gerontology nurse specialists, and physiotherapists. Residents and their family/whānau are involved in all discharges to and from the service, and there was sufficient evidence in the residents’ records to confirm this.</w:t>
            </w:r>
          </w:p>
          <w:p w14:paraId="520E61FC" w14:textId="77777777" w:rsidR="00000000" w:rsidRPr="00BE00C7" w:rsidRDefault="00000000" w:rsidP="00BE00C7">
            <w:pPr>
              <w:pStyle w:val="OutcomeDescription"/>
              <w:spacing w:before="120" w:after="120"/>
              <w:rPr>
                <w:rFonts w:cs="Arial"/>
                <w:lang w:eastAsia="en-NZ"/>
              </w:rPr>
            </w:pPr>
          </w:p>
        </w:tc>
      </w:tr>
      <w:tr w:rsidR="0010212B" w14:paraId="5B3FBF1F" w14:textId="77777777">
        <w:tc>
          <w:tcPr>
            <w:tcW w:w="0" w:type="auto"/>
          </w:tcPr>
          <w:p w14:paraId="6CFE13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A484D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2D4A317" w14:textId="77777777" w:rsidR="00000000" w:rsidRPr="00BE00C7" w:rsidRDefault="00000000" w:rsidP="00BE00C7">
            <w:pPr>
              <w:pStyle w:val="OutcomeDescription"/>
              <w:spacing w:before="120" w:after="120"/>
              <w:rPr>
                <w:rFonts w:cs="Arial"/>
                <w:lang w:eastAsia="en-NZ"/>
              </w:rPr>
            </w:pPr>
          </w:p>
        </w:tc>
        <w:tc>
          <w:tcPr>
            <w:tcW w:w="0" w:type="auto"/>
          </w:tcPr>
          <w:p w14:paraId="6281AD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E53E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current warrant of fitness that expires April 2025. The physical environment supports the independence of the residents. Corridors have safety rails and promote safe mobility, and there are lifts between the three floors. Residents were observed moving freely in their respective wings with mobility aids. There are large lounges for communal gatherings and activities at the facility. Quiet spaces for residents and their family/whānau to utilise are available inside and on the deck open area outside.</w:t>
            </w:r>
          </w:p>
          <w:p w14:paraId="2C8F19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planned maintenance schedule includes electrical testing and tagging of electrical equipment, resident equipment checks, and calibrations of the weighing scales and clinical equipment. The scales were checked annually. Hot water temperatures were monitored monthly, and the reviewed records were within the recommended </w:t>
            </w:r>
            <w:r w:rsidRPr="00BE00C7">
              <w:rPr>
                <w:rFonts w:cs="Arial"/>
                <w:lang w:eastAsia="en-NZ"/>
              </w:rPr>
              <w:lastRenderedPageBreak/>
              <w:t>ranges. The maintenance officer and certified tradespeople carry out reactive maintenance where required. The maintenance officer works full time at David Lange and is supported by a property maintenance manager.</w:t>
            </w:r>
          </w:p>
          <w:p w14:paraId="08CB1185"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Maintenance requests are logged online or through a maintenance request book at the reception. The environmental temperature is monitored, and processes are implemented to manage significant temperature changes.</w:t>
            </w:r>
          </w:p>
          <w:p w14:paraId="716BCD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communal toilets and shower facilities have a system indicating whether they are engaged or vacant. All the washing areas have free-flowing soap and paper towels in the toilet areas. </w:t>
            </w:r>
          </w:p>
          <w:p w14:paraId="4FBDF5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areas are easily accessible to the residents. The furnishings and seating are appropriate for the consumer group. Residents interviewed reported being able to move around the facility, and staff assisted them when required. Activities take place in the lounge area. </w:t>
            </w:r>
          </w:p>
          <w:p w14:paraId="457A94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rooms are personalised according to their preferences. There are ten shared rooms, each room has a privacy curtain and two call bells. Residents and or family / whanau consent to the shared room when moving to the service and accepting the room. Shower rooms, and toilets are suitable sizes to accommodate mobility equipment. All rooms have external windows to provide natural light, appropriate ventilation, and heating. </w:t>
            </w:r>
          </w:p>
          <w:p w14:paraId="0AB20A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grounds and external areas were well maintained. External areas are independently accessible to residents. All outdoor areas have seating and shade. Safe access is provided to all communal areas. No residents smoked on the audit days.</w:t>
            </w:r>
          </w:p>
          <w:p w14:paraId="6B459A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maintenance officer reported that when there is a planned development for new buildings, there shall be consultation and co-design of the environments, to ensure that they reflect the aspirations and identity of Māori.</w:t>
            </w:r>
          </w:p>
          <w:p w14:paraId="684FDF8B" w14:textId="77777777" w:rsidR="00000000" w:rsidRPr="00BE00C7" w:rsidRDefault="00000000" w:rsidP="00BE00C7">
            <w:pPr>
              <w:pStyle w:val="OutcomeDescription"/>
              <w:spacing w:before="120" w:after="120"/>
              <w:rPr>
                <w:rFonts w:cs="Arial"/>
                <w:lang w:eastAsia="en-NZ"/>
              </w:rPr>
            </w:pPr>
          </w:p>
        </w:tc>
      </w:tr>
      <w:tr w:rsidR="0010212B" w14:paraId="3E30F984" w14:textId="77777777">
        <w:tc>
          <w:tcPr>
            <w:tcW w:w="0" w:type="auto"/>
          </w:tcPr>
          <w:p w14:paraId="3793EA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08963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that if there is an emergency, my service provider </w:t>
            </w:r>
            <w:r w:rsidRPr="00BE00C7">
              <w:rPr>
                <w:rFonts w:cs="Arial"/>
                <w:lang w:eastAsia="en-NZ"/>
              </w:rPr>
              <w:lastRenderedPageBreak/>
              <w:t>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1B28796" w14:textId="77777777" w:rsidR="00000000" w:rsidRPr="00BE00C7" w:rsidRDefault="00000000" w:rsidP="00BE00C7">
            <w:pPr>
              <w:pStyle w:val="OutcomeDescription"/>
              <w:spacing w:before="120" w:after="120"/>
              <w:rPr>
                <w:rFonts w:cs="Arial"/>
                <w:lang w:eastAsia="en-NZ"/>
              </w:rPr>
            </w:pPr>
          </w:p>
        </w:tc>
        <w:tc>
          <w:tcPr>
            <w:tcW w:w="0" w:type="auto"/>
          </w:tcPr>
          <w:p w14:paraId="69087B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8260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and guidelines for emergency planning, preparation, and response are displayed and easily accessible by staff. Civil defence planning guides the facility in preparing for disasters and describes </w:t>
            </w:r>
            <w:r w:rsidRPr="00BE00C7">
              <w:rPr>
                <w:rFonts w:cs="Arial"/>
                <w:lang w:eastAsia="en-NZ"/>
              </w:rPr>
              <w:lastRenderedPageBreak/>
              <w:t>the procedures to be followed in a fire or other emergency. The Fire and Emergency New Zealand service approved a fire evacuation plan that was in place and is currently in effect. A trial evacuation drills are conducted every six months and added to the annual training programme. The staff orientation programme includes fire and security training.</w:t>
            </w:r>
          </w:p>
          <w:p w14:paraId="75BC35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fire exit doors, and the main car park area is the designated assembly point. An external contractor checks all fire equipment within the required timeframes. A civil defence plan is in place. There are adequate supplies in the event of a civil defence emergency, including food, water, candles, torches, incontinence products, a generator, and a gas BBQ to meet the requirements for 87 residents and rostered staff. The amount of emergency water available meets the National Emergency Management Agency recommendations for the region. Emergency lighting is available and is regularly tested. The registered nurses and a selection of care staff hold current first aid certificates. There are first aid-trained staff members on duty 24/7. The staff interviewed confirmed their awareness of the emergency procedures.</w:t>
            </w:r>
          </w:p>
          <w:p w14:paraId="506DF7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working call bell system used by the residents, family/whānau, and staff members to summon assistance. All residents have access to a call bell, which the maintenance officer checks monthly. Call bell audits were completed as per the audit schedule. Residents and family/whānau confirmed that staff responds to calls promptly.</w:t>
            </w:r>
          </w:p>
          <w:p w14:paraId="25B15697"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Doors are locked at predetermined times in the evenings, and family/whānau and residents know how to alert staff when they need access to the facility after hours.</w:t>
            </w:r>
          </w:p>
          <w:p w14:paraId="1F53AA63" w14:textId="77777777" w:rsidR="00000000" w:rsidRPr="00BE00C7" w:rsidRDefault="00000000" w:rsidP="00BE00C7">
            <w:pPr>
              <w:pStyle w:val="OutcomeDescription"/>
              <w:spacing w:before="120" w:after="120"/>
              <w:rPr>
                <w:rFonts w:cs="Arial"/>
                <w:lang w:eastAsia="en-NZ"/>
              </w:rPr>
            </w:pPr>
            <w:r w:rsidRPr="00BE00C7">
              <w:rPr>
                <w:rFonts w:cs="Arial"/>
                <w:lang w:eastAsia="en-NZ"/>
              </w:rPr>
              <w:t>A visitors' policy and guidelines are available to ensure resident safety and wellbeing are not compromised by visitors to the service. Visitors and contractors are required to sign in and out of visitors’ registers.</w:t>
            </w:r>
          </w:p>
          <w:p w14:paraId="67BC4F09" w14:textId="77777777" w:rsidR="00000000" w:rsidRPr="00BE00C7" w:rsidRDefault="00000000" w:rsidP="00BE00C7">
            <w:pPr>
              <w:pStyle w:val="OutcomeDescription"/>
              <w:spacing w:before="120" w:after="120"/>
              <w:rPr>
                <w:rFonts w:cs="Arial"/>
                <w:lang w:eastAsia="en-NZ"/>
              </w:rPr>
            </w:pPr>
          </w:p>
        </w:tc>
      </w:tr>
      <w:tr w:rsidR="0010212B" w14:paraId="16B14CEA" w14:textId="77777777">
        <w:tc>
          <w:tcPr>
            <w:tcW w:w="0" w:type="auto"/>
          </w:tcPr>
          <w:p w14:paraId="77E110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03D06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030BEAB" w14:textId="77777777" w:rsidR="00000000" w:rsidRPr="00BE00C7" w:rsidRDefault="00000000" w:rsidP="00BE00C7">
            <w:pPr>
              <w:pStyle w:val="OutcomeDescription"/>
              <w:spacing w:before="120" w:after="120"/>
              <w:rPr>
                <w:rFonts w:cs="Arial"/>
                <w:lang w:eastAsia="en-NZ"/>
              </w:rPr>
            </w:pPr>
          </w:p>
        </w:tc>
        <w:tc>
          <w:tcPr>
            <w:tcW w:w="0" w:type="auto"/>
          </w:tcPr>
          <w:p w14:paraId="390F54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1B3D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and antimicrobial stewardship (AMS) programme is linked into the electronic quality risk and incident reporting system. </w:t>
            </w:r>
            <w:r w:rsidRPr="00BE00C7">
              <w:rPr>
                <w:rFonts w:cs="Arial"/>
                <w:lang w:eastAsia="en-NZ"/>
              </w:rPr>
              <w:lastRenderedPageBreak/>
              <w:t xml:space="preserve">The infection control and AMS programme is reviewed annually by Bug Control, and they meet annually with all CHT infection control staff following this review. Infection control audits are conducted. </w:t>
            </w:r>
          </w:p>
          <w:p w14:paraId="5C1AA8FC"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rates are presented and discussed at the staff, registered nurse and quality health and safety meetings. Infection control data is also sent to CHT head office, where it is reported at monthly Board meetings. The data is also benchmarked with other CHT care homes. Results of benchmarking are presented back to the care home electronically and discussed with staff. This information is also displayed on staff noticeboards. Infection control is part of the strategic and quality plans.</w:t>
            </w:r>
          </w:p>
          <w:p w14:paraId="05D1A4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an infection prevention clinical nurse specialist from Bug Control and Health New Zealand – Te Whatu Ora. The service monitors compliance on antibiotic and antimicrobial use through evaluation and monitoring of medication prescribing charts, prescriptions, medical notes, as well as the prescribing patterns of medical practitioners.</w:t>
            </w:r>
          </w:p>
          <w:p w14:paraId="56AB99AC"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if unwell. Hand sanitisers are strategically placed around the care home. Residents and staff are offered vaccinations as required.</w:t>
            </w:r>
          </w:p>
          <w:p w14:paraId="10332F7B" w14:textId="77777777" w:rsidR="00000000" w:rsidRPr="00BE00C7" w:rsidRDefault="00000000" w:rsidP="00BE00C7">
            <w:pPr>
              <w:pStyle w:val="OutcomeDescription"/>
              <w:spacing w:before="120" w:after="120"/>
              <w:rPr>
                <w:rFonts w:cs="Arial"/>
                <w:lang w:eastAsia="en-NZ"/>
              </w:rPr>
            </w:pPr>
          </w:p>
        </w:tc>
      </w:tr>
      <w:tr w:rsidR="0010212B" w14:paraId="78F6088A" w14:textId="77777777">
        <w:tc>
          <w:tcPr>
            <w:tcW w:w="0" w:type="auto"/>
          </w:tcPr>
          <w:p w14:paraId="2AE06E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EFEAE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B759DAE" w14:textId="77777777" w:rsidR="00000000" w:rsidRPr="00BE00C7" w:rsidRDefault="00000000" w:rsidP="00BE00C7">
            <w:pPr>
              <w:pStyle w:val="OutcomeDescription"/>
              <w:spacing w:before="120" w:after="120"/>
              <w:rPr>
                <w:rFonts w:cs="Arial"/>
                <w:lang w:eastAsia="en-NZ"/>
              </w:rPr>
            </w:pPr>
          </w:p>
        </w:tc>
        <w:tc>
          <w:tcPr>
            <w:tcW w:w="0" w:type="auto"/>
          </w:tcPr>
          <w:p w14:paraId="3A2EE4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F601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coordinator is responsible for providing oversight of infection control and the AMS programme across the service. The job description outlines the responsibility of the role. The infection control programme, its content and detail, is appropriate for the size, complexity and degree of risk associated with the service. The service has an outbreak and pandemic response plan (incorporating Covid-19), which includes preparation, planning and the management of outbreaks. There is ample personal protective equipment, with extra stocks available as required. There is a process to ensure stock gets rotated and checked for expiry dates. </w:t>
            </w:r>
          </w:p>
          <w:p w14:paraId="7F97E4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resource nurse (IFCRN), the clinical coordinator, has completed external online infection control education. There is good external support from the nurse practitioner, laboratory, Bug Control, and Health New Zealand – Te Whatu Ora infection control </w:t>
            </w:r>
            <w:r w:rsidRPr="00BE00C7">
              <w:rPr>
                <w:rFonts w:cs="Arial"/>
                <w:lang w:eastAsia="en-NZ"/>
              </w:rPr>
              <w:lastRenderedPageBreak/>
              <w:t xml:space="preserve">nurse specialist. The IFCRN has input to purchasing supplies and equipment. </w:t>
            </w:r>
          </w:p>
          <w:p w14:paraId="0116A1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online infection control manual from Bug Control outlines a comprehensive range of policies, standards and guidelines and includes defining roles, responsibilities and oversight, training, and education of staff. Policies and procedures are reviewed by Bug Control in consultation with infection control resource nurses. Policies are available to staff.</w:t>
            </w:r>
          </w:p>
          <w:p w14:paraId="5C4230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All shared equipment is appropriately disinfected between use, and internal audits have been updated to include this. The service incorporates te reo Māori information around infection control for Māori residents, Māori protocols are adhered to, and staff are able to describe these practices, acknowledging the spirit of Te Tiriti.</w:t>
            </w:r>
          </w:p>
          <w:p w14:paraId="7250D7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CHT David Lange is committed to the ongoing education of staff and residents. Infection prevention and control is part of staff orientation and included in the annual training plan. Resident education occurs as part of the daily cares. Residents and family/whānau were kept informed and updated on pandemic policies and procedures through resident meetings, newsletters, and emails.</w:t>
            </w:r>
          </w:p>
          <w:p w14:paraId="2256DA00" w14:textId="77777777" w:rsidR="00000000" w:rsidRPr="00BE00C7" w:rsidRDefault="00000000" w:rsidP="00BE00C7">
            <w:pPr>
              <w:pStyle w:val="OutcomeDescription"/>
              <w:spacing w:before="120" w:after="120"/>
              <w:rPr>
                <w:rFonts w:cs="Arial"/>
                <w:lang w:eastAsia="en-NZ"/>
              </w:rPr>
            </w:pPr>
          </w:p>
        </w:tc>
      </w:tr>
      <w:tr w:rsidR="0010212B" w14:paraId="07B69FD9" w14:textId="77777777">
        <w:tc>
          <w:tcPr>
            <w:tcW w:w="0" w:type="auto"/>
          </w:tcPr>
          <w:p w14:paraId="11B28E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A1060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158659F" w14:textId="77777777" w:rsidR="00000000" w:rsidRPr="00BE00C7" w:rsidRDefault="00000000" w:rsidP="00BE00C7">
            <w:pPr>
              <w:pStyle w:val="OutcomeDescription"/>
              <w:spacing w:before="120" w:after="120"/>
              <w:rPr>
                <w:rFonts w:cs="Arial"/>
                <w:lang w:eastAsia="en-NZ"/>
              </w:rPr>
            </w:pPr>
          </w:p>
        </w:tc>
        <w:tc>
          <w:tcPr>
            <w:tcW w:w="0" w:type="auto"/>
          </w:tcPr>
          <w:p w14:paraId="273F49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FDEF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and monitors compliance on antibiotic and antimicrobial use through evaluation and monitoring of medication prescribing charts, prescriptions, and medical notes. The nurse practitioner reviews antimicrobial use monthly with the clinical team. The antimicrobial policy is appropriate for the size, scope, and complexity of the resident cohort. </w:t>
            </w:r>
          </w:p>
          <w:p w14:paraId="45DC882F"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rates are collated monthly and reported to the quality, health and safety and infection control meetings, as well as CHT head office. Prophylactic use of antibiotics is not considered to be appropriate and is discouraged.</w:t>
            </w:r>
          </w:p>
          <w:p w14:paraId="38614C3D" w14:textId="77777777" w:rsidR="00000000" w:rsidRPr="00BE00C7" w:rsidRDefault="00000000" w:rsidP="00BE00C7">
            <w:pPr>
              <w:pStyle w:val="OutcomeDescription"/>
              <w:spacing w:before="120" w:after="120"/>
              <w:rPr>
                <w:rFonts w:cs="Arial"/>
                <w:lang w:eastAsia="en-NZ"/>
              </w:rPr>
            </w:pPr>
          </w:p>
        </w:tc>
      </w:tr>
      <w:tr w:rsidR="0010212B" w14:paraId="68AFD3C1" w14:textId="77777777">
        <w:tc>
          <w:tcPr>
            <w:tcW w:w="0" w:type="auto"/>
          </w:tcPr>
          <w:p w14:paraId="041EF9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359BA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44EAD6B" w14:textId="77777777" w:rsidR="00000000" w:rsidRPr="00BE00C7" w:rsidRDefault="00000000" w:rsidP="00BE00C7">
            <w:pPr>
              <w:pStyle w:val="OutcomeDescription"/>
              <w:spacing w:before="120" w:after="120"/>
              <w:rPr>
                <w:rFonts w:cs="Arial"/>
                <w:lang w:eastAsia="en-NZ"/>
              </w:rPr>
            </w:pPr>
          </w:p>
        </w:tc>
        <w:tc>
          <w:tcPr>
            <w:tcW w:w="0" w:type="auto"/>
          </w:tcPr>
          <w:p w14:paraId="295FA7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A8E9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data is collected for all infections based on signs, symptoms, and definition of infection. Infections are entered into the infection register on the electronic resident management system. Surveillance of all infections (including organisms) is entered onto a monthly infection summary. This data is monitored and analysed for trends, monthly and annually. Infection control surveillance is discussed at quality health and safety and staff meetings and sent to CHT head office. </w:t>
            </w:r>
          </w:p>
          <w:p w14:paraId="4C1A9E4B" w14:textId="77777777" w:rsidR="00000000" w:rsidRPr="00BE00C7" w:rsidRDefault="00000000" w:rsidP="00BE00C7">
            <w:pPr>
              <w:pStyle w:val="OutcomeDescription"/>
              <w:spacing w:before="120" w:after="120"/>
              <w:rPr>
                <w:rFonts w:cs="Arial"/>
                <w:lang w:eastAsia="en-NZ"/>
              </w:rPr>
            </w:pPr>
            <w:r w:rsidRPr="00BE00C7">
              <w:rPr>
                <w:rFonts w:cs="Arial"/>
                <w:lang w:eastAsia="en-NZ"/>
              </w:rPr>
              <w:t>Meeting minutes and graphs are displayed for staff. Action plans are required for any infection rates of concern. This includes sighted training related to multi-drug-resistant organisms (MDRO) in response to the two residents with MDRO infections. The service captures ethnicity data on admission and incorporates this into surveillance methods and data captured around infections. Internal infection control audits are completed with corrective actions for areas of improvement. The service receives email notifications and alerts from CHT head office and Health New Zealand - Te Whatu Ora for any community concerns.</w:t>
            </w:r>
          </w:p>
          <w:p w14:paraId="34377F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outbreaks since the last audit. Interview with the IFCRN confirmed CHT David Lange’s preparedness for outbreak management including cohort nursing, use of PPE appropriately and reporting requirements. The care home has a documented pandemic plan and Covid-19 Response Framework. The IFCRN explained that staff are well trained to respond rapidly. There are processes in place to ensure that residents, family/whānau are kept informed in case of outbreak. Visitors to the care home are asked not to visit if they are unwell. </w:t>
            </w:r>
          </w:p>
          <w:p w14:paraId="501FA2A7" w14:textId="77777777" w:rsidR="00000000" w:rsidRPr="00BE00C7" w:rsidRDefault="00000000" w:rsidP="00BE00C7">
            <w:pPr>
              <w:pStyle w:val="OutcomeDescription"/>
              <w:spacing w:before="120" w:after="120"/>
              <w:rPr>
                <w:rFonts w:cs="Arial"/>
                <w:lang w:eastAsia="en-NZ"/>
              </w:rPr>
            </w:pPr>
          </w:p>
        </w:tc>
      </w:tr>
      <w:tr w:rsidR="0010212B" w14:paraId="2E17C25E" w14:textId="77777777">
        <w:tc>
          <w:tcPr>
            <w:tcW w:w="0" w:type="auto"/>
          </w:tcPr>
          <w:p w14:paraId="3C5B935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02F5C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r>
            <w:r w:rsidRPr="00BE00C7">
              <w:rPr>
                <w:rFonts w:cs="Arial"/>
                <w:lang w:eastAsia="en-NZ"/>
              </w:rPr>
              <w:lastRenderedPageBreak/>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3ED0478" w14:textId="77777777" w:rsidR="00000000" w:rsidRPr="00BE00C7" w:rsidRDefault="00000000" w:rsidP="00BE00C7">
            <w:pPr>
              <w:pStyle w:val="OutcomeDescription"/>
              <w:spacing w:before="120" w:after="120"/>
              <w:rPr>
                <w:rFonts w:cs="Arial"/>
                <w:lang w:eastAsia="en-NZ"/>
              </w:rPr>
            </w:pPr>
          </w:p>
        </w:tc>
        <w:tc>
          <w:tcPr>
            <w:tcW w:w="0" w:type="auto"/>
          </w:tcPr>
          <w:p w14:paraId="46D164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FD2A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kept in a secure cupboard on the cleaning trolley and the trolley is kept in a locked cupboard when not in use. Safety datasheets and product sheets are available. </w:t>
            </w:r>
            <w:r w:rsidRPr="00BE00C7">
              <w:rPr>
                <w:rFonts w:cs="Arial"/>
                <w:lang w:eastAsia="en-NZ"/>
              </w:rPr>
              <w:lastRenderedPageBreak/>
              <w:t>Sharp’s containers are available and meet the hazardous substances regulations for containers. Gloves, aprons, and masks are available for staff, and they were observed to be wearing these as they carried out their duties on the days of audit. Eye protection (goggles and face shields) is available. Staff have completed chemical safety training (last completed in September 2024). A chemical provider monitors the effectiveness of chemicals. Cleaning is done by on-site cleaners who are contracted by an external service. There are sluice rooms (with a sanitiser) in each wing for the disposal of soiled water or waste. The sluice rooms are kept closed when not in use.</w:t>
            </w:r>
          </w:p>
          <w:p w14:paraId="3060D2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for CHT David Lange is processed off site by a contracted service. All dirty laundry is sorted into appropriate colour coded bags by care staff and left at the collection point (ground floor) for the external contractor to pick up. There are defined clean/dirty areas for the pickup and drop off, with a separate room dedicated to the receipt and sorting of clean laundry including linen. There is a daily receipt of clean laundry which is sorted out and delivered to resident’s rooms by the care staff. The numerous linen cupboards were well stocked. </w:t>
            </w:r>
          </w:p>
          <w:p w14:paraId="0D8B3B29"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Cleaning and laundry services are monitored through the internal auditing system which is reviewed by the infection control coordinator. The two cleaners interviewed had a good understanding about cleaning processes and requirements related to infection prevention and control. Residents and family/whānau interviewed were satisfied with the standard of cleanliness and laundry services.</w:t>
            </w:r>
          </w:p>
          <w:p w14:paraId="3169420D" w14:textId="77777777" w:rsidR="00000000" w:rsidRPr="00BE00C7" w:rsidRDefault="00000000" w:rsidP="00BE00C7">
            <w:pPr>
              <w:pStyle w:val="OutcomeDescription"/>
              <w:spacing w:before="120" w:after="120"/>
              <w:rPr>
                <w:rFonts w:cs="Arial"/>
                <w:lang w:eastAsia="en-NZ"/>
              </w:rPr>
            </w:pPr>
          </w:p>
        </w:tc>
      </w:tr>
      <w:tr w:rsidR="0010212B" w14:paraId="59FA0FDD" w14:textId="77777777">
        <w:tc>
          <w:tcPr>
            <w:tcW w:w="0" w:type="auto"/>
          </w:tcPr>
          <w:p w14:paraId="60885B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A209A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FC3110E" w14:textId="77777777" w:rsidR="00000000" w:rsidRPr="00BE00C7" w:rsidRDefault="00000000" w:rsidP="00BE00C7">
            <w:pPr>
              <w:pStyle w:val="OutcomeDescription"/>
              <w:spacing w:before="120" w:after="120"/>
              <w:rPr>
                <w:rFonts w:cs="Arial"/>
                <w:lang w:eastAsia="en-NZ"/>
              </w:rPr>
            </w:pPr>
          </w:p>
        </w:tc>
        <w:tc>
          <w:tcPr>
            <w:tcW w:w="0" w:type="auto"/>
          </w:tcPr>
          <w:p w14:paraId="79723D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B1E5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current restraint policy in place. Its aim is to maintain a restraint-free environment. The governance group demonstrated a commitment to this, supported by the management team. At the time of the audit, no residents were using a restraint. Documentation confirmed that restraint was discussed at staff meetings, reported in the management reports, and presented to the Board.</w:t>
            </w:r>
          </w:p>
          <w:p w14:paraId="79C343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and procedures reviewed meet the requirements of the standards. The registered nurse is the restraint coordinator who provides support and oversight should restraint be required in the </w:t>
            </w:r>
            <w:r w:rsidRPr="00BE00C7">
              <w:rPr>
                <w:rFonts w:cs="Arial"/>
                <w:lang w:eastAsia="en-NZ"/>
              </w:rPr>
              <w:lastRenderedPageBreak/>
              <w:t>future. There is a job description that outlines the role. Staff have been trained in the least restrictive practice, safe restraint practice, alternative cultural-specific interventions, and de-escalation techniques as part of the education programme.</w:t>
            </w:r>
          </w:p>
          <w:p w14:paraId="53055D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approval for any use of restraint in the first instance would be put forward to the management. The management meets every month to discuss whether restraint is to be used. The team would consider approval of any restraint, approval of the method of restraint, guidelines, education of staff, observations, and evaluation, and they would ensure that the correct equipment was used. The restraint coordinator described how there would be close consultation with the resident and the family/whanau throughout the assessment, implementation and review processes to ensure their voice was heard. </w:t>
            </w:r>
          </w:p>
          <w:p w14:paraId="0FD89A8E"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protocols are covered in the facility's orientation programme and the education programme. Restraint use is identified as part of the quality programme and reported at all levels of the organisation.</w:t>
            </w:r>
          </w:p>
          <w:p w14:paraId="03ADF5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commitment to staff training is ongoing. In the last year, all staff have completed annual training on de-escalation and managing challenging behaviour, ensuring they are prepared for any situation that may arise.</w:t>
            </w:r>
          </w:p>
          <w:p w14:paraId="43B6E19D" w14:textId="77777777" w:rsidR="00000000" w:rsidRPr="00BE00C7" w:rsidRDefault="00000000" w:rsidP="00BE00C7">
            <w:pPr>
              <w:pStyle w:val="OutcomeDescription"/>
              <w:spacing w:before="120" w:after="120"/>
              <w:rPr>
                <w:rFonts w:cs="Arial"/>
                <w:lang w:eastAsia="en-NZ"/>
              </w:rPr>
            </w:pPr>
          </w:p>
        </w:tc>
      </w:tr>
    </w:tbl>
    <w:p w14:paraId="693F643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FF50832" w14:textId="77777777" w:rsidR="00000000" w:rsidRDefault="00000000">
      <w:pPr>
        <w:pStyle w:val="Heading1"/>
        <w:rPr>
          <w:rFonts w:cs="Arial"/>
        </w:rPr>
      </w:pPr>
      <w:r>
        <w:rPr>
          <w:rFonts w:cs="Arial"/>
        </w:rPr>
        <w:lastRenderedPageBreak/>
        <w:t>Specific results for criterion where corrective actions are required</w:t>
      </w:r>
    </w:p>
    <w:p w14:paraId="36483B0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C0E809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3673DE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0212B" w14:paraId="66397029" w14:textId="77777777">
        <w:tc>
          <w:tcPr>
            <w:tcW w:w="0" w:type="auto"/>
          </w:tcPr>
          <w:p w14:paraId="4ABD963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490B21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E0D8E25" w14:textId="77777777" w:rsidR="00000000" w:rsidRDefault="00000000">
      <w:pPr>
        <w:pStyle w:val="Heading1"/>
        <w:rPr>
          <w:rFonts w:cs="Arial"/>
        </w:rPr>
      </w:pPr>
      <w:r>
        <w:rPr>
          <w:rFonts w:cs="Arial"/>
        </w:rPr>
        <w:lastRenderedPageBreak/>
        <w:t>Specific results for criterion where a continuous improvement has been recorded</w:t>
      </w:r>
    </w:p>
    <w:p w14:paraId="6913279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EE19E8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08C358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0212B" w14:paraId="2CD73FF6" w14:textId="77777777">
        <w:tc>
          <w:tcPr>
            <w:tcW w:w="0" w:type="auto"/>
          </w:tcPr>
          <w:p w14:paraId="2DEE5FA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8BD9B1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CF4335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22FF6" w14:textId="77777777" w:rsidR="00DD45ED" w:rsidRDefault="00DD45ED">
      <w:r>
        <w:separator/>
      </w:r>
    </w:p>
  </w:endnote>
  <w:endnote w:type="continuationSeparator" w:id="0">
    <w:p w14:paraId="1AB5ECF2" w14:textId="77777777" w:rsidR="00DD45ED" w:rsidRDefault="00DD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0367" w14:textId="77777777" w:rsidR="00000000" w:rsidRDefault="00000000">
    <w:pPr>
      <w:pStyle w:val="Footer"/>
    </w:pPr>
  </w:p>
  <w:p w14:paraId="62BA57F0" w14:textId="77777777" w:rsidR="00000000" w:rsidRDefault="00000000"/>
  <w:p w14:paraId="21CC840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E66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CHT Healthcare Trust - David Lange Care Home</w:t>
    </w:r>
    <w:bookmarkEnd w:id="59"/>
    <w:r>
      <w:rPr>
        <w:rFonts w:cs="Arial"/>
        <w:sz w:val="16"/>
        <w:szCs w:val="20"/>
      </w:rPr>
      <w:tab/>
      <w:t xml:space="preserve">Date of Audit: </w:t>
    </w:r>
    <w:bookmarkStart w:id="60" w:name="AuditStartDate1"/>
    <w:r>
      <w:rPr>
        <w:rFonts w:cs="Arial"/>
        <w:sz w:val="16"/>
        <w:szCs w:val="20"/>
      </w:rPr>
      <w:t>12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0BA10A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1A3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E81E8" w14:textId="77777777" w:rsidR="00DD45ED" w:rsidRDefault="00DD45ED">
      <w:r>
        <w:separator/>
      </w:r>
    </w:p>
  </w:footnote>
  <w:footnote w:type="continuationSeparator" w:id="0">
    <w:p w14:paraId="0800C15B" w14:textId="77777777" w:rsidR="00DD45ED" w:rsidRDefault="00DD4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B292" w14:textId="77777777" w:rsidR="00000000" w:rsidRDefault="00000000">
    <w:pPr>
      <w:pStyle w:val="Header"/>
    </w:pPr>
  </w:p>
  <w:p w14:paraId="554A719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2FF3" w14:textId="77777777" w:rsidR="00000000" w:rsidRDefault="00000000">
    <w:pPr>
      <w:pStyle w:val="Header"/>
    </w:pPr>
  </w:p>
  <w:p w14:paraId="01913E7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BD8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7E048F4">
      <w:start w:val="1"/>
      <w:numFmt w:val="decimal"/>
      <w:lvlText w:val="%1."/>
      <w:lvlJc w:val="left"/>
      <w:pPr>
        <w:ind w:left="360" w:hanging="360"/>
      </w:pPr>
    </w:lvl>
    <w:lvl w:ilvl="1" w:tplc="4E0A6730" w:tentative="1">
      <w:start w:val="1"/>
      <w:numFmt w:val="lowerLetter"/>
      <w:lvlText w:val="%2."/>
      <w:lvlJc w:val="left"/>
      <w:pPr>
        <w:ind w:left="1080" w:hanging="360"/>
      </w:pPr>
    </w:lvl>
    <w:lvl w:ilvl="2" w:tplc="0B483F54" w:tentative="1">
      <w:start w:val="1"/>
      <w:numFmt w:val="lowerRoman"/>
      <w:lvlText w:val="%3."/>
      <w:lvlJc w:val="right"/>
      <w:pPr>
        <w:ind w:left="1800" w:hanging="180"/>
      </w:pPr>
    </w:lvl>
    <w:lvl w:ilvl="3" w:tplc="F4146DD2" w:tentative="1">
      <w:start w:val="1"/>
      <w:numFmt w:val="decimal"/>
      <w:lvlText w:val="%4."/>
      <w:lvlJc w:val="left"/>
      <w:pPr>
        <w:ind w:left="2520" w:hanging="360"/>
      </w:pPr>
    </w:lvl>
    <w:lvl w:ilvl="4" w:tplc="810668CC" w:tentative="1">
      <w:start w:val="1"/>
      <w:numFmt w:val="lowerLetter"/>
      <w:lvlText w:val="%5."/>
      <w:lvlJc w:val="left"/>
      <w:pPr>
        <w:ind w:left="3240" w:hanging="360"/>
      </w:pPr>
    </w:lvl>
    <w:lvl w:ilvl="5" w:tplc="B1B6460A" w:tentative="1">
      <w:start w:val="1"/>
      <w:numFmt w:val="lowerRoman"/>
      <w:lvlText w:val="%6."/>
      <w:lvlJc w:val="right"/>
      <w:pPr>
        <w:ind w:left="3960" w:hanging="180"/>
      </w:pPr>
    </w:lvl>
    <w:lvl w:ilvl="6" w:tplc="49189A6A" w:tentative="1">
      <w:start w:val="1"/>
      <w:numFmt w:val="decimal"/>
      <w:lvlText w:val="%7."/>
      <w:lvlJc w:val="left"/>
      <w:pPr>
        <w:ind w:left="4680" w:hanging="360"/>
      </w:pPr>
    </w:lvl>
    <w:lvl w:ilvl="7" w:tplc="49247F1C" w:tentative="1">
      <w:start w:val="1"/>
      <w:numFmt w:val="lowerLetter"/>
      <w:lvlText w:val="%8."/>
      <w:lvlJc w:val="left"/>
      <w:pPr>
        <w:ind w:left="5400" w:hanging="360"/>
      </w:pPr>
    </w:lvl>
    <w:lvl w:ilvl="8" w:tplc="CD4ECD6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AF2F808">
      <w:start w:val="1"/>
      <w:numFmt w:val="bullet"/>
      <w:lvlText w:val=""/>
      <w:lvlJc w:val="left"/>
      <w:pPr>
        <w:ind w:left="720" w:hanging="360"/>
      </w:pPr>
      <w:rPr>
        <w:rFonts w:ascii="Symbol" w:hAnsi="Symbol" w:hint="default"/>
      </w:rPr>
    </w:lvl>
    <w:lvl w:ilvl="1" w:tplc="0AE8CB66" w:tentative="1">
      <w:start w:val="1"/>
      <w:numFmt w:val="bullet"/>
      <w:lvlText w:val="o"/>
      <w:lvlJc w:val="left"/>
      <w:pPr>
        <w:ind w:left="1440" w:hanging="360"/>
      </w:pPr>
      <w:rPr>
        <w:rFonts w:ascii="Courier New" w:hAnsi="Courier New" w:cs="Courier New" w:hint="default"/>
      </w:rPr>
    </w:lvl>
    <w:lvl w:ilvl="2" w:tplc="8BCCACF6" w:tentative="1">
      <w:start w:val="1"/>
      <w:numFmt w:val="bullet"/>
      <w:lvlText w:val=""/>
      <w:lvlJc w:val="left"/>
      <w:pPr>
        <w:ind w:left="2160" w:hanging="360"/>
      </w:pPr>
      <w:rPr>
        <w:rFonts w:ascii="Wingdings" w:hAnsi="Wingdings" w:hint="default"/>
      </w:rPr>
    </w:lvl>
    <w:lvl w:ilvl="3" w:tplc="031CC430" w:tentative="1">
      <w:start w:val="1"/>
      <w:numFmt w:val="bullet"/>
      <w:lvlText w:val=""/>
      <w:lvlJc w:val="left"/>
      <w:pPr>
        <w:ind w:left="2880" w:hanging="360"/>
      </w:pPr>
      <w:rPr>
        <w:rFonts w:ascii="Symbol" w:hAnsi="Symbol" w:hint="default"/>
      </w:rPr>
    </w:lvl>
    <w:lvl w:ilvl="4" w:tplc="222A07D4" w:tentative="1">
      <w:start w:val="1"/>
      <w:numFmt w:val="bullet"/>
      <w:lvlText w:val="o"/>
      <w:lvlJc w:val="left"/>
      <w:pPr>
        <w:ind w:left="3600" w:hanging="360"/>
      </w:pPr>
      <w:rPr>
        <w:rFonts w:ascii="Courier New" w:hAnsi="Courier New" w:cs="Courier New" w:hint="default"/>
      </w:rPr>
    </w:lvl>
    <w:lvl w:ilvl="5" w:tplc="CD8871A0" w:tentative="1">
      <w:start w:val="1"/>
      <w:numFmt w:val="bullet"/>
      <w:lvlText w:val=""/>
      <w:lvlJc w:val="left"/>
      <w:pPr>
        <w:ind w:left="4320" w:hanging="360"/>
      </w:pPr>
      <w:rPr>
        <w:rFonts w:ascii="Wingdings" w:hAnsi="Wingdings" w:hint="default"/>
      </w:rPr>
    </w:lvl>
    <w:lvl w:ilvl="6" w:tplc="7ED05AA6" w:tentative="1">
      <w:start w:val="1"/>
      <w:numFmt w:val="bullet"/>
      <w:lvlText w:val=""/>
      <w:lvlJc w:val="left"/>
      <w:pPr>
        <w:ind w:left="5040" w:hanging="360"/>
      </w:pPr>
      <w:rPr>
        <w:rFonts w:ascii="Symbol" w:hAnsi="Symbol" w:hint="default"/>
      </w:rPr>
    </w:lvl>
    <w:lvl w:ilvl="7" w:tplc="272AE6B8" w:tentative="1">
      <w:start w:val="1"/>
      <w:numFmt w:val="bullet"/>
      <w:lvlText w:val="o"/>
      <w:lvlJc w:val="left"/>
      <w:pPr>
        <w:ind w:left="5760" w:hanging="360"/>
      </w:pPr>
      <w:rPr>
        <w:rFonts w:ascii="Courier New" w:hAnsi="Courier New" w:cs="Courier New" w:hint="default"/>
      </w:rPr>
    </w:lvl>
    <w:lvl w:ilvl="8" w:tplc="A00A0842" w:tentative="1">
      <w:start w:val="1"/>
      <w:numFmt w:val="bullet"/>
      <w:lvlText w:val=""/>
      <w:lvlJc w:val="left"/>
      <w:pPr>
        <w:ind w:left="6480" w:hanging="360"/>
      </w:pPr>
      <w:rPr>
        <w:rFonts w:ascii="Wingdings" w:hAnsi="Wingdings" w:hint="default"/>
      </w:rPr>
    </w:lvl>
  </w:abstractNum>
  <w:num w:numId="1" w16cid:durableId="123233538">
    <w:abstractNumId w:val="1"/>
  </w:num>
  <w:num w:numId="2" w16cid:durableId="16274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2B"/>
    <w:rsid w:val="0010212B"/>
    <w:rsid w:val="00A61FCA"/>
    <w:rsid w:val="00DD45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8812"/>
  <w15:docId w15:val="{9449074E-A62D-4160-A0CA-27700C02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13504</Words>
  <Characters>76976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2025-01-23T19:29:00Z</dcterms:created>
  <dcterms:modified xsi:type="dcterms:W3CDTF">2025-01-23T19:29:00Z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