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302F" w14:textId="77777777" w:rsidR="00000000" w:rsidRDefault="00000000">
      <w:pPr>
        <w:pStyle w:val="Heading1"/>
        <w:rPr>
          <w:rFonts w:cs="Arial"/>
        </w:rPr>
      </w:pPr>
      <w:bookmarkStart w:id="0" w:name="PRMS_RIName"/>
      <w:r>
        <w:rPr>
          <w:rFonts w:cs="Arial"/>
        </w:rPr>
        <w:t>Heritage Lifecare Limited - George Manning Lifecare</w:t>
      </w:r>
      <w:bookmarkEnd w:id="0"/>
    </w:p>
    <w:p w14:paraId="34144508" w14:textId="77777777" w:rsidR="00000000" w:rsidRDefault="00000000">
      <w:pPr>
        <w:pStyle w:val="Heading2"/>
        <w:spacing w:after="0"/>
        <w:rPr>
          <w:rFonts w:cs="Arial"/>
        </w:rPr>
      </w:pPr>
      <w:r>
        <w:rPr>
          <w:rFonts w:cs="Arial"/>
        </w:rPr>
        <w:t>Introduction</w:t>
      </w:r>
    </w:p>
    <w:p w14:paraId="08A9021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6C249C7"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695492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8256D8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E7018C" w14:textId="77777777" w:rsidR="00000000" w:rsidRDefault="00000000">
      <w:pPr>
        <w:spacing w:before="240" w:after="240"/>
        <w:rPr>
          <w:rFonts w:cs="Arial"/>
          <w:lang w:eastAsia="en-NZ"/>
        </w:rPr>
      </w:pPr>
      <w:r>
        <w:rPr>
          <w:rFonts w:cs="Arial"/>
          <w:lang w:eastAsia="en-NZ"/>
        </w:rPr>
        <w:t>The specifics of this audit included:</w:t>
      </w:r>
    </w:p>
    <w:p w14:paraId="6F33323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A1A90C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8319EB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George Manning Lifecare</w:t>
      </w:r>
      <w:bookmarkEnd w:id="5"/>
    </w:p>
    <w:p w14:paraId="72A31D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6AB344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December 2024</w:t>
      </w:r>
      <w:bookmarkEnd w:id="7"/>
      <w:r w:rsidRPr="009418D4">
        <w:rPr>
          <w:rFonts w:cs="Arial"/>
        </w:rPr>
        <w:tab/>
        <w:t xml:space="preserve">End date: </w:t>
      </w:r>
      <w:bookmarkStart w:id="8" w:name="AuditEndDate"/>
      <w:r>
        <w:rPr>
          <w:rFonts w:cs="Arial"/>
        </w:rPr>
        <w:t>11 December 2024</w:t>
      </w:r>
      <w:bookmarkEnd w:id="8"/>
    </w:p>
    <w:p w14:paraId="2102905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A684B1E" w14:textId="77777777" w:rsidR="001E6D2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64</w:t>
      </w:r>
      <w:bookmarkEnd w:id="10"/>
    </w:p>
    <w:p w14:paraId="0E16C53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A98D0FC" w14:textId="77777777" w:rsidR="00000000" w:rsidRDefault="00000000">
      <w:pPr>
        <w:pStyle w:val="Heading1"/>
        <w:rPr>
          <w:rFonts w:cs="Arial"/>
        </w:rPr>
      </w:pPr>
      <w:r>
        <w:rPr>
          <w:rFonts w:cs="Arial"/>
        </w:rPr>
        <w:lastRenderedPageBreak/>
        <w:t>Executive summary of the audit</w:t>
      </w:r>
    </w:p>
    <w:p w14:paraId="73960CA4" w14:textId="77777777" w:rsidR="00000000" w:rsidRDefault="00000000">
      <w:pPr>
        <w:pStyle w:val="Heading2"/>
        <w:rPr>
          <w:rFonts w:cs="Arial"/>
        </w:rPr>
      </w:pPr>
      <w:r>
        <w:rPr>
          <w:rFonts w:cs="Arial"/>
        </w:rPr>
        <w:t>Introduction</w:t>
      </w:r>
    </w:p>
    <w:p w14:paraId="5E6FD92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EA847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E86DC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C8F72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1BEC7C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F01BAC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067870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EB4523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6C1E72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E6D23" w14:paraId="2C84B042" w14:textId="77777777">
        <w:trPr>
          <w:cantSplit/>
          <w:tblHeader/>
        </w:trPr>
        <w:tc>
          <w:tcPr>
            <w:tcW w:w="1260" w:type="dxa"/>
            <w:tcBorders>
              <w:bottom w:val="single" w:sz="4" w:space="0" w:color="000000"/>
            </w:tcBorders>
            <w:vAlign w:val="center"/>
          </w:tcPr>
          <w:p w14:paraId="37CED7B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536083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4E6923A" w14:textId="77777777" w:rsidR="00000000" w:rsidRDefault="00000000">
            <w:pPr>
              <w:spacing w:before="60" w:after="60"/>
              <w:rPr>
                <w:rFonts w:eastAsia="Calibri"/>
                <w:b/>
                <w:szCs w:val="24"/>
              </w:rPr>
            </w:pPr>
            <w:r>
              <w:rPr>
                <w:rFonts w:eastAsia="Calibri"/>
                <w:b/>
                <w:szCs w:val="24"/>
              </w:rPr>
              <w:t>Definition</w:t>
            </w:r>
          </w:p>
        </w:tc>
      </w:tr>
      <w:tr w:rsidR="001E6D23" w14:paraId="2D747159" w14:textId="77777777">
        <w:trPr>
          <w:cantSplit/>
          <w:trHeight w:val="964"/>
        </w:trPr>
        <w:tc>
          <w:tcPr>
            <w:tcW w:w="1260" w:type="dxa"/>
            <w:tcBorders>
              <w:bottom w:val="single" w:sz="4" w:space="0" w:color="000000"/>
            </w:tcBorders>
            <w:shd w:val="clear" w:color="0066FF" w:fill="0000FF"/>
            <w:vAlign w:val="center"/>
          </w:tcPr>
          <w:p w14:paraId="796AB11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D1976E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4F3865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E6D23" w14:paraId="14522CFC" w14:textId="77777777">
        <w:trPr>
          <w:cantSplit/>
          <w:trHeight w:val="964"/>
        </w:trPr>
        <w:tc>
          <w:tcPr>
            <w:tcW w:w="1260" w:type="dxa"/>
            <w:shd w:val="clear" w:color="33CC33" w:fill="00FF00"/>
            <w:vAlign w:val="center"/>
          </w:tcPr>
          <w:p w14:paraId="672D2557" w14:textId="77777777" w:rsidR="00000000" w:rsidRDefault="00000000">
            <w:pPr>
              <w:spacing w:before="60" w:after="60"/>
              <w:rPr>
                <w:rFonts w:eastAsia="Calibri"/>
                <w:szCs w:val="24"/>
              </w:rPr>
            </w:pPr>
          </w:p>
        </w:tc>
        <w:tc>
          <w:tcPr>
            <w:tcW w:w="7095" w:type="dxa"/>
            <w:shd w:val="clear" w:color="auto" w:fill="auto"/>
            <w:vAlign w:val="center"/>
          </w:tcPr>
          <w:p w14:paraId="49FE7BC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DF873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E6D23" w14:paraId="2B0DF88B" w14:textId="77777777">
        <w:trPr>
          <w:cantSplit/>
          <w:trHeight w:val="964"/>
        </w:trPr>
        <w:tc>
          <w:tcPr>
            <w:tcW w:w="1260" w:type="dxa"/>
            <w:tcBorders>
              <w:bottom w:val="single" w:sz="4" w:space="0" w:color="000000"/>
            </w:tcBorders>
            <w:shd w:val="clear" w:color="auto" w:fill="FFFF00"/>
            <w:vAlign w:val="center"/>
          </w:tcPr>
          <w:p w14:paraId="2F946C48" w14:textId="77777777" w:rsidR="00000000" w:rsidRDefault="00000000">
            <w:pPr>
              <w:spacing w:before="60" w:after="60"/>
              <w:rPr>
                <w:rFonts w:eastAsia="Calibri"/>
                <w:szCs w:val="24"/>
              </w:rPr>
            </w:pPr>
          </w:p>
        </w:tc>
        <w:tc>
          <w:tcPr>
            <w:tcW w:w="7095" w:type="dxa"/>
            <w:shd w:val="clear" w:color="auto" w:fill="auto"/>
            <w:vAlign w:val="center"/>
          </w:tcPr>
          <w:p w14:paraId="6C0ACA7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507106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E6D23" w14:paraId="3006D364" w14:textId="77777777">
        <w:trPr>
          <w:cantSplit/>
          <w:trHeight w:val="964"/>
        </w:trPr>
        <w:tc>
          <w:tcPr>
            <w:tcW w:w="1260" w:type="dxa"/>
            <w:tcBorders>
              <w:bottom w:val="single" w:sz="4" w:space="0" w:color="000000"/>
            </w:tcBorders>
            <w:shd w:val="clear" w:color="auto" w:fill="FFC800"/>
            <w:vAlign w:val="center"/>
          </w:tcPr>
          <w:p w14:paraId="5204C95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AC9DB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52C500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E6D23" w14:paraId="38FC0163" w14:textId="77777777">
        <w:trPr>
          <w:cantSplit/>
          <w:trHeight w:val="964"/>
        </w:trPr>
        <w:tc>
          <w:tcPr>
            <w:tcW w:w="1260" w:type="dxa"/>
            <w:shd w:val="clear" w:color="auto" w:fill="FF0000"/>
            <w:vAlign w:val="center"/>
          </w:tcPr>
          <w:p w14:paraId="10E87BAC" w14:textId="77777777" w:rsidR="00000000" w:rsidRDefault="00000000">
            <w:pPr>
              <w:spacing w:before="60" w:after="60"/>
              <w:rPr>
                <w:rFonts w:eastAsia="Calibri"/>
                <w:szCs w:val="24"/>
              </w:rPr>
            </w:pPr>
          </w:p>
        </w:tc>
        <w:tc>
          <w:tcPr>
            <w:tcW w:w="7095" w:type="dxa"/>
            <w:shd w:val="clear" w:color="auto" w:fill="auto"/>
            <w:vAlign w:val="center"/>
          </w:tcPr>
          <w:p w14:paraId="41DD2EE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D5C4CD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6CDF86D" w14:textId="77777777" w:rsidR="00000000" w:rsidRDefault="00000000">
      <w:pPr>
        <w:pStyle w:val="Heading2"/>
        <w:spacing w:after="0"/>
        <w:rPr>
          <w:rFonts w:cs="Arial"/>
        </w:rPr>
      </w:pPr>
      <w:r>
        <w:rPr>
          <w:rFonts w:cs="Arial"/>
        </w:rPr>
        <w:t>General overview of the audit</w:t>
      </w:r>
    </w:p>
    <w:p w14:paraId="16C02FB0" w14:textId="77777777" w:rsidR="00000000" w:rsidRDefault="00000000">
      <w:pPr>
        <w:spacing w:before="240" w:line="276" w:lineRule="auto"/>
        <w:rPr>
          <w:rFonts w:eastAsia="Calibri"/>
        </w:rPr>
      </w:pPr>
      <w:bookmarkStart w:id="13" w:name="GeneralOverview"/>
      <w:r w:rsidRPr="00A4268A">
        <w:rPr>
          <w:rFonts w:eastAsia="Calibri"/>
        </w:rPr>
        <w:t>Heritage Lifecare Limited (HLL) owns and operates George Manning Lifecare. The facility provides rest home and hospital services for up to 88 residents and is managed by a care home manager with support from a regional manager.</w:t>
      </w:r>
    </w:p>
    <w:p w14:paraId="65F22E5B" w14:textId="77777777" w:rsidR="001E6D23"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residents’ and staff files, observations and interviews with residents, family members, members of the governance group, managers, staff, a contracted allied health provider and a general practitioner.  </w:t>
      </w:r>
    </w:p>
    <w:p w14:paraId="16E93479" w14:textId="77777777" w:rsidR="001E6D23" w:rsidRPr="00A4268A" w:rsidRDefault="00000000">
      <w:pPr>
        <w:spacing w:before="240" w:line="276" w:lineRule="auto"/>
        <w:rPr>
          <w:rFonts w:eastAsia="Calibri"/>
        </w:rPr>
      </w:pPr>
      <w:r w:rsidRPr="00A4268A">
        <w:rPr>
          <w:rFonts w:eastAsia="Calibri"/>
        </w:rPr>
        <w:t>Strengths of the service included long serving staff with a commitment to providing good care. No areas requiring improvement were identified during the audit.</w:t>
      </w:r>
    </w:p>
    <w:bookmarkEnd w:id="13"/>
    <w:p w14:paraId="0B8ED084" w14:textId="77777777" w:rsidR="001E6D23" w:rsidRPr="00A4268A" w:rsidRDefault="001E6D23">
      <w:pPr>
        <w:spacing w:before="240" w:line="276" w:lineRule="auto"/>
        <w:rPr>
          <w:rFonts w:eastAsia="Calibri"/>
        </w:rPr>
      </w:pPr>
    </w:p>
    <w:p w14:paraId="00E2012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6D23" w14:paraId="796B36D1" w14:textId="77777777" w:rsidTr="00A4268A">
        <w:trPr>
          <w:cantSplit/>
        </w:trPr>
        <w:tc>
          <w:tcPr>
            <w:tcW w:w="10206" w:type="dxa"/>
            <w:vAlign w:val="center"/>
          </w:tcPr>
          <w:p w14:paraId="79537E5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323113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58848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E0500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122F00E" w14:textId="77777777" w:rsidR="00000000" w:rsidRDefault="00000000">
      <w:pPr>
        <w:spacing w:before="240" w:line="276" w:lineRule="auto"/>
        <w:rPr>
          <w:rFonts w:eastAsia="Calibri"/>
        </w:rPr>
      </w:pPr>
      <w:bookmarkStart w:id="16" w:name="ConsumerRights"/>
      <w:r w:rsidRPr="00A4268A">
        <w:rPr>
          <w:rFonts w:eastAsia="Calibri"/>
        </w:rPr>
        <w:lastRenderedPageBreak/>
        <w:t>George Manning Lifecare works collaboratively to support and encourage a Māori world view of health in service delivery. Māori are provided with equitable and effective services based on Te Tiriti o Waitangi and the principles of mana motuhake.</w:t>
      </w:r>
    </w:p>
    <w:p w14:paraId="546013F0" w14:textId="77777777" w:rsidR="001E6D23" w:rsidRPr="00A4268A" w:rsidRDefault="00000000">
      <w:pPr>
        <w:spacing w:before="240" w:line="276" w:lineRule="auto"/>
        <w:rPr>
          <w:rFonts w:eastAsia="Calibri"/>
        </w:rPr>
      </w:pPr>
      <w:r w:rsidRPr="00A4268A">
        <w:rPr>
          <w:rFonts w:eastAsia="Calibri"/>
        </w:rPr>
        <w:t>Pacific peoples can be provided with services that recognise their worldviews and are culturally safe.</w:t>
      </w:r>
    </w:p>
    <w:p w14:paraId="04E9C9A3" w14:textId="77777777" w:rsidR="001E6D23"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17E937D3" w14:textId="77777777" w:rsidR="001E6D23"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were provided as needed. Whānau and legal representatives participate in decision-making that complies with the law. Advance directives were followed wherever possible.</w:t>
      </w:r>
    </w:p>
    <w:p w14:paraId="690F69AC" w14:textId="77777777" w:rsidR="001E6D23"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0F55EB64" w14:textId="77777777" w:rsidR="001E6D23" w:rsidRPr="00A4268A" w:rsidRDefault="001E6D23">
      <w:pPr>
        <w:spacing w:before="240" w:line="276" w:lineRule="auto"/>
        <w:rPr>
          <w:rFonts w:eastAsia="Calibri"/>
        </w:rPr>
      </w:pPr>
    </w:p>
    <w:p w14:paraId="6E34112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6D23" w14:paraId="5749C535" w14:textId="77777777" w:rsidTr="00A4268A">
        <w:trPr>
          <w:cantSplit/>
        </w:trPr>
        <w:tc>
          <w:tcPr>
            <w:tcW w:w="10206" w:type="dxa"/>
            <w:vAlign w:val="center"/>
          </w:tcPr>
          <w:p w14:paraId="5E81E27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7DB154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CD0BC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41F5C18"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021CD665" w14:textId="77777777" w:rsidR="001E6D23"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275993B8" w14:textId="77777777" w:rsidR="001E6D23" w:rsidRPr="00A4268A" w:rsidRDefault="00000000">
      <w:pPr>
        <w:spacing w:before="240" w:line="276" w:lineRule="auto"/>
        <w:rPr>
          <w:rFonts w:eastAsia="Calibri"/>
        </w:rPr>
      </w:pPr>
      <w:r w:rsidRPr="00A4268A">
        <w:rPr>
          <w:rFonts w:eastAsia="Calibri"/>
        </w:rPr>
        <w:lastRenderedPageBreak/>
        <w:t>The quality and risk management systems are focused on improving service delivery and care using a risk-based approach. Residents and whānau provide regular feedback and staff participate in quality activities. An integrated approach includes collection and analysis of quality improvement data, identifies trends and leads to improvements. Actual and potential risks are identified and mitigated.</w:t>
      </w:r>
    </w:p>
    <w:p w14:paraId="3284C813" w14:textId="77777777" w:rsidR="001E6D23" w:rsidRPr="00A4268A" w:rsidRDefault="00000000">
      <w:pPr>
        <w:spacing w:before="240" w:line="276" w:lineRule="auto"/>
        <w:rPr>
          <w:rFonts w:eastAsia="Calibri"/>
        </w:rPr>
      </w:pPr>
      <w:r w:rsidRPr="00A4268A">
        <w:rPr>
          <w:rFonts w:eastAsia="Calibri"/>
        </w:rPr>
        <w:t>The National Adverse Events Reporting Policy is followed, with corrective actions supporting systems learnings. The service complies with statutory and regulatory reporting obligations.</w:t>
      </w:r>
    </w:p>
    <w:p w14:paraId="2AFC3D4C" w14:textId="77777777" w:rsidR="001E6D23" w:rsidRPr="00A4268A" w:rsidRDefault="00000000">
      <w:pPr>
        <w:spacing w:before="240" w:line="276" w:lineRule="auto"/>
        <w:rPr>
          <w:rFonts w:eastAsia="Calibri"/>
        </w:rPr>
      </w:pPr>
      <w:r w:rsidRPr="00A4268A">
        <w:rPr>
          <w:rFonts w:eastAsia="Calibri"/>
        </w:rPr>
        <w:t>Staffing levels and skill mix met the cultural and clinical needs of residents. Staff are appointed, orientated and managed using current good practice. A systematic approach to identify and deliver ongoing learning supports safe equitable service delivery.</w:t>
      </w:r>
    </w:p>
    <w:p w14:paraId="29C84F86" w14:textId="77777777" w:rsidR="001E6D23"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049F8307" w14:textId="77777777" w:rsidR="001E6D23" w:rsidRPr="00A4268A" w:rsidRDefault="001E6D23">
      <w:pPr>
        <w:spacing w:before="240" w:line="276" w:lineRule="auto"/>
        <w:rPr>
          <w:rFonts w:eastAsia="Calibri"/>
        </w:rPr>
      </w:pPr>
    </w:p>
    <w:p w14:paraId="7672519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6D23" w14:paraId="2F209DFF" w14:textId="77777777" w:rsidTr="00A4268A">
        <w:trPr>
          <w:cantSplit/>
        </w:trPr>
        <w:tc>
          <w:tcPr>
            <w:tcW w:w="10206" w:type="dxa"/>
            <w:vAlign w:val="center"/>
          </w:tcPr>
          <w:p w14:paraId="1AB235C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1C6C8D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1307D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159FFC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are admitted to George Manning Lifecare, a person-centred and whānau-centred approach is adopted. Relevant information is provided to the potential resident and whānau.</w:t>
      </w:r>
    </w:p>
    <w:p w14:paraId="44B6525B" w14:textId="77777777" w:rsidR="001E6D23"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recent problems that arose. Files reviewed demonstrated that care met the needs of residents and whānau and was evaluated on a regular and timely basis. </w:t>
      </w:r>
    </w:p>
    <w:p w14:paraId="21823777" w14:textId="77777777" w:rsidR="001E6D23"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1B9691DF" w14:textId="77777777" w:rsidR="001E6D23" w:rsidRPr="00A4268A" w:rsidRDefault="00000000" w:rsidP="00621629">
      <w:pPr>
        <w:spacing w:before="240" w:line="276" w:lineRule="auto"/>
        <w:rPr>
          <w:rFonts w:eastAsia="Calibri"/>
        </w:rPr>
      </w:pPr>
      <w:r w:rsidRPr="00A4268A">
        <w:rPr>
          <w:rFonts w:eastAsia="Calibri"/>
        </w:rPr>
        <w:lastRenderedPageBreak/>
        <w:t xml:space="preserve">Medicines were safely managed and administered by staff who were competent to do so. </w:t>
      </w:r>
    </w:p>
    <w:p w14:paraId="7A66CFFB" w14:textId="77777777" w:rsidR="001E6D23" w:rsidRPr="00A4268A" w:rsidRDefault="00000000" w:rsidP="00621629">
      <w:pPr>
        <w:spacing w:before="240" w:line="276" w:lineRule="auto"/>
        <w:rPr>
          <w:rFonts w:eastAsia="Calibri"/>
        </w:rPr>
      </w:pPr>
      <w:r w:rsidRPr="00A4268A">
        <w:rPr>
          <w:rFonts w:eastAsia="Calibri"/>
        </w:rPr>
        <w:t xml:space="preserve">The food service was safely managed and met the nutritional needs of the residents, with special diets and cultural needs catered for. </w:t>
      </w:r>
    </w:p>
    <w:p w14:paraId="5545C452" w14:textId="77777777" w:rsidR="001E6D23"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70896C9B" w14:textId="77777777" w:rsidR="001E6D23" w:rsidRPr="00A4268A" w:rsidRDefault="001E6D23" w:rsidP="00621629">
      <w:pPr>
        <w:spacing w:before="240" w:line="276" w:lineRule="auto"/>
        <w:rPr>
          <w:rFonts w:eastAsia="Calibri"/>
        </w:rPr>
      </w:pPr>
    </w:p>
    <w:p w14:paraId="631868F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6D23" w14:paraId="0FBC1F45" w14:textId="77777777" w:rsidTr="00A4268A">
        <w:trPr>
          <w:cantSplit/>
        </w:trPr>
        <w:tc>
          <w:tcPr>
            <w:tcW w:w="10206" w:type="dxa"/>
            <w:vAlign w:val="center"/>
          </w:tcPr>
          <w:p w14:paraId="3A7F08D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82324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CF033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F0840F4"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equipment is tested as required. External areas are accessible, safe and provide shade and seating, and meet the needs of people with disabilities.</w:t>
      </w:r>
    </w:p>
    <w:p w14:paraId="3AB0B4E5" w14:textId="77777777" w:rsidR="001E6D23"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and this is monitored. Security was maintained.</w:t>
      </w:r>
    </w:p>
    <w:bookmarkEnd w:id="25"/>
    <w:p w14:paraId="28189062" w14:textId="77777777" w:rsidR="001E6D23" w:rsidRPr="00A4268A" w:rsidRDefault="001E6D23">
      <w:pPr>
        <w:spacing w:before="240" w:line="276" w:lineRule="auto"/>
        <w:rPr>
          <w:rFonts w:eastAsia="Calibri"/>
        </w:rPr>
      </w:pPr>
    </w:p>
    <w:p w14:paraId="5167B540"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6D23" w14:paraId="5BC2F3BA" w14:textId="77777777" w:rsidTr="00A4268A">
        <w:trPr>
          <w:cantSplit/>
        </w:trPr>
        <w:tc>
          <w:tcPr>
            <w:tcW w:w="10206" w:type="dxa"/>
            <w:vAlign w:val="center"/>
          </w:tcPr>
          <w:p w14:paraId="12A134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D5BEA6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A3C70D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10D02CE"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Heritage Lifecare Limited, ensures the safety of residents and staff through planned infection prevention (IP) and antimicrobial stewardship (AMS) programmes that are appropriate to the size and complexity of the service. An experienced and trained infection control coordinator leads the programme.</w:t>
      </w:r>
    </w:p>
    <w:p w14:paraId="4B3189AD" w14:textId="77777777" w:rsidR="001E6D23" w:rsidRPr="00A4268A" w:rsidRDefault="00000000">
      <w:pPr>
        <w:spacing w:before="240" w:line="276" w:lineRule="auto"/>
        <w:rPr>
          <w:rFonts w:eastAsia="Calibri"/>
        </w:rPr>
      </w:pPr>
      <w:r w:rsidRPr="00A4268A">
        <w:rPr>
          <w:rFonts w:eastAsia="Calibri"/>
        </w:rPr>
        <w:t>The infection control nurse engages in procurement processes, any facility changes, and processes related to decontamination of any reusable devices.</w:t>
      </w:r>
    </w:p>
    <w:p w14:paraId="467BA0D1" w14:textId="77777777" w:rsidR="001E6D23"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0FD54C25" w14:textId="77777777" w:rsidR="001E6D23" w:rsidRPr="00A4268A" w:rsidRDefault="00000000">
      <w:pPr>
        <w:spacing w:before="240" w:line="276" w:lineRule="auto"/>
        <w:rPr>
          <w:rFonts w:eastAsia="Calibri"/>
        </w:rPr>
      </w:pPr>
      <w:r w:rsidRPr="00A4268A">
        <w:rPr>
          <w:rFonts w:eastAsia="Calibri"/>
        </w:rPr>
        <w:t>George Manning Lifecare promotes responsible prescribing of antimicrobials. Infection surveillance is undertaken, with follow-up action taken as required.</w:t>
      </w:r>
    </w:p>
    <w:p w14:paraId="04D6CF3B" w14:textId="77777777" w:rsidR="001E6D23"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managed. There were safe and effective laundry services.</w:t>
      </w:r>
    </w:p>
    <w:bookmarkEnd w:id="28"/>
    <w:p w14:paraId="3FD8CF38" w14:textId="77777777" w:rsidR="001E6D23" w:rsidRPr="00A4268A" w:rsidRDefault="001E6D23">
      <w:pPr>
        <w:spacing w:before="240" w:line="276" w:lineRule="auto"/>
        <w:rPr>
          <w:rFonts w:eastAsia="Calibri"/>
        </w:rPr>
      </w:pPr>
    </w:p>
    <w:p w14:paraId="7B926770"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E6D23" w14:paraId="361F411A" w14:textId="77777777" w:rsidTr="00A4268A">
        <w:trPr>
          <w:cantSplit/>
        </w:trPr>
        <w:tc>
          <w:tcPr>
            <w:tcW w:w="10206" w:type="dxa"/>
            <w:vAlign w:val="center"/>
          </w:tcPr>
          <w:p w14:paraId="3A973A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AE57F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726F2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81147C0" w14:textId="77777777" w:rsidR="00000000" w:rsidRDefault="00000000">
      <w:pPr>
        <w:spacing w:before="240" w:line="276" w:lineRule="auto"/>
        <w:rPr>
          <w:rFonts w:eastAsia="Calibri"/>
        </w:rPr>
      </w:pPr>
      <w:bookmarkStart w:id="31" w:name="InfectionPreventionAndControl"/>
      <w:r w:rsidRPr="00A4268A">
        <w:rPr>
          <w:rFonts w:eastAsia="Calibri"/>
        </w:rPr>
        <w:t>George Manning Lifecare provides a restraint-free environment. This is supported by the governing body and policies and procedures. There were no residents using restraints at the time of audit.</w:t>
      </w:r>
    </w:p>
    <w:p w14:paraId="79FA91A0" w14:textId="77777777" w:rsidR="001E6D23" w:rsidRPr="00A4268A" w:rsidRDefault="00000000">
      <w:pPr>
        <w:spacing w:before="240" w:line="276" w:lineRule="auto"/>
        <w:rPr>
          <w:rFonts w:eastAsia="Calibri"/>
        </w:rPr>
      </w:pPr>
      <w:r w:rsidRPr="00A4268A">
        <w:rPr>
          <w:rFonts w:eastAsia="Calibri"/>
        </w:rPr>
        <w:t>There are processes in place to ensure a comprehensive assessment, approval and monitoring process, with regular reviews, would occur should any restraint be used. Staff demonstrated a sound knowledge and understanding of providing the least restrictive practice, de-escalation techniques and alternative interventions.</w:t>
      </w:r>
    </w:p>
    <w:bookmarkEnd w:id="31"/>
    <w:p w14:paraId="1CB19127" w14:textId="77777777" w:rsidR="001E6D23" w:rsidRPr="00A4268A" w:rsidRDefault="001E6D23">
      <w:pPr>
        <w:spacing w:before="240" w:line="276" w:lineRule="auto"/>
        <w:rPr>
          <w:rFonts w:eastAsia="Calibri"/>
        </w:rPr>
      </w:pPr>
    </w:p>
    <w:p w14:paraId="631A398B" w14:textId="77777777" w:rsidR="00000000" w:rsidRDefault="00000000" w:rsidP="000E6E02">
      <w:pPr>
        <w:pStyle w:val="Heading2"/>
        <w:spacing w:before="0"/>
        <w:rPr>
          <w:rFonts w:cs="Arial"/>
        </w:rPr>
      </w:pPr>
      <w:r>
        <w:rPr>
          <w:rFonts w:cs="Arial"/>
        </w:rPr>
        <w:lastRenderedPageBreak/>
        <w:t>Summary of attainment</w:t>
      </w:r>
    </w:p>
    <w:p w14:paraId="001E621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E6D23" w14:paraId="6DBAF7E8" w14:textId="77777777">
        <w:tc>
          <w:tcPr>
            <w:tcW w:w="1384" w:type="dxa"/>
            <w:vAlign w:val="center"/>
          </w:tcPr>
          <w:p w14:paraId="28A4CE1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840142" w14:textId="77777777" w:rsidR="00000000" w:rsidRDefault="00000000">
            <w:pPr>
              <w:keepNext/>
              <w:spacing w:before="60" w:after="60"/>
              <w:jc w:val="center"/>
              <w:rPr>
                <w:rFonts w:cs="Arial"/>
                <w:b/>
                <w:sz w:val="20"/>
                <w:szCs w:val="20"/>
              </w:rPr>
            </w:pPr>
            <w:r>
              <w:rPr>
                <w:rFonts w:cs="Arial"/>
                <w:b/>
                <w:sz w:val="20"/>
                <w:szCs w:val="20"/>
              </w:rPr>
              <w:t>Continuous Improvement</w:t>
            </w:r>
          </w:p>
          <w:p w14:paraId="4431173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A549BCF" w14:textId="77777777" w:rsidR="00000000" w:rsidRDefault="00000000">
            <w:pPr>
              <w:keepNext/>
              <w:spacing w:before="60" w:after="60"/>
              <w:jc w:val="center"/>
              <w:rPr>
                <w:rFonts w:cs="Arial"/>
                <w:b/>
                <w:sz w:val="20"/>
                <w:szCs w:val="20"/>
              </w:rPr>
            </w:pPr>
            <w:r>
              <w:rPr>
                <w:rFonts w:cs="Arial"/>
                <w:b/>
                <w:sz w:val="20"/>
                <w:szCs w:val="20"/>
              </w:rPr>
              <w:t>Fully Attained</w:t>
            </w:r>
          </w:p>
          <w:p w14:paraId="0AEA0D3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009FFF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AACE89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664B8F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1196F3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7CD733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FCAE39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892DE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AB2FD4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FAAE75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A796240" w14:textId="77777777" w:rsidR="00000000" w:rsidRDefault="00000000">
            <w:pPr>
              <w:keepNext/>
              <w:spacing w:before="60" w:after="60"/>
              <w:jc w:val="center"/>
              <w:rPr>
                <w:rFonts w:cs="Arial"/>
                <w:b/>
                <w:sz w:val="20"/>
                <w:szCs w:val="20"/>
              </w:rPr>
            </w:pPr>
            <w:r>
              <w:rPr>
                <w:rFonts w:cs="Arial"/>
                <w:b/>
                <w:sz w:val="20"/>
                <w:szCs w:val="20"/>
              </w:rPr>
              <w:t>(PA Critical)</w:t>
            </w:r>
          </w:p>
        </w:tc>
      </w:tr>
      <w:tr w:rsidR="001E6D23" w14:paraId="759E06C9" w14:textId="77777777">
        <w:tc>
          <w:tcPr>
            <w:tcW w:w="1384" w:type="dxa"/>
            <w:vAlign w:val="center"/>
          </w:tcPr>
          <w:p w14:paraId="38C5642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79F5914" w14:textId="4DC59B84" w:rsidR="00000000" w:rsidRDefault="00920DCB" w:rsidP="00C9228C">
            <w:pPr>
              <w:spacing w:before="60" w:after="60"/>
              <w:jc w:val="center"/>
              <w:rPr>
                <w:rFonts w:cs="Arial"/>
                <w:sz w:val="20"/>
                <w:szCs w:val="20"/>
                <w:lang w:eastAsia="en-NZ"/>
              </w:rPr>
            </w:pPr>
            <w:r>
              <w:rPr>
                <w:rFonts w:cs="Arial"/>
                <w:sz w:val="20"/>
                <w:szCs w:val="20"/>
                <w:lang w:eastAsia="en-NZ"/>
              </w:rPr>
              <w:t>0</w:t>
            </w:r>
          </w:p>
        </w:tc>
        <w:tc>
          <w:tcPr>
            <w:tcW w:w="1843" w:type="dxa"/>
            <w:vAlign w:val="center"/>
          </w:tcPr>
          <w:p w14:paraId="0728F6E3" w14:textId="77777777" w:rsidR="00000000" w:rsidRDefault="00000000" w:rsidP="00A4268A">
            <w:pPr>
              <w:spacing w:before="60" w:after="60"/>
              <w:jc w:val="center"/>
              <w:rPr>
                <w:rFonts w:cs="Arial"/>
                <w:sz w:val="20"/>
                <w:szCs w:val="20"/>
                <w:lang w:eastAsia="en-NZ"/>
              </w:rPr>
            </w:pPr>
            <w:bookmarkStart w:id="32" w:name="TotalStdFA"/>
            <w:r>
              <w:rPr>
                <w:rFonts w:cs="Arial"/>
                <w:sz w:val="20"/>
                <w:szCs w:val="20"/>
                <w:lang w:eastAsia="en-NZ"/>
              </w:rPr>
              <w:t>26</w:t>
            </w:r>
            <w:bookmarkEnd w:id="32"/>
          </w:p>
        </w:tc>
        <w:tc>
          <w:tcPr>
            <w:tcW w:w="1843" w:type="dxa"/>
            <w:vAlign w:val="center"/>
          </w:tcPr>
          <w:p w14:paraId="499412CB" w14:textId="77777777" w:rsidR="00000000" w:rsidRDefault="00000000">
            <w:pPr>
              <w:spacing w:before="60" w:after="60"/>
              <w:jc w:val="center"/>
              <w:rPr>
                <w:rFonts w:cs="Arial"/>
                <w:sz w:val="20"/>
                <w:szCs w:val="20"/>
                <w:lang w:eastAsia="en-NZ"/>
              </w:rPr>
            </w:pPr>
            <w:bookmarkStart w:id="33" w:name="TotalStdPA_Negligible"/>
            <w:r>
              <w:rPr>
                <w:rFonts w:cs="Arial"/>
                <w:sz w:val="20"/>
                <w:szCs w:val="20"/>
                <w:lang w:eastAsia="en-NZ"/>
              </w:rPr>
              <w:t>0</w:t>
            </w:r>
            <w:bookmarkEnd w:id="33"/>
          </w:p>
        </w:tc>
        <w:tc>
          <w:tcPr>
            <w:tcW w:w="1842" w:type="dxa"/>
            <w:vAlign w:val="center"/>
          </w:tcPr>
          <w:p w14:paraId="50A1D5A7" w14:textId="77777777" w:rsidR="00000000" w:rsidRDefault="00000000" w:rsidP="00A4268A">
            <w:pPr>
              <w:spacing w:before="60" w:after="60"/>
              <w:jc w:val="center"/>
              <w:rPr>
                <w:rFonts w:cs="Arial"/>
                <w:sz w:val="20"/>
                <w:szCs w:val="20"/>
                <w:lang w:eastAsia="en-NZ"/>
              </w:rPr>
            </w:pPr>
            <w:bookmarkStart w:id="34" w:name="TotalStdPA_Low"/>
            <w:r>
              <w:rPr>
                <w:rFonts w:cs="Arial"/>
                <w:sz w:val="20"/>
                <w:szCs w:val="20"/>
                <w:lang w:eastAsia="en-NZ"/>
              </w:rPr>
              <w:t>0</w:t>
            </w:r>
            <w:bookmarkEnd w:id="34"/>
          </w:p>
        </w:tc>
        <w:tc>
          <w:tcPr>
            <w:tcW w:w="1843" w:type="dxa"/>
            <w:vAlign w:val="center"/>
          </w:tcPr>
          <w:p w14:paraId="6B8E54B0" w14:textId="77777777" w:rsidR="00000000" w:rsidRDefault="00000000" w:rsidP="00A4268A">
            <w:pPr>
              <w:spacing w:before="60" w:after="60"/>
              <w:jc w:val="center"/>
              <w:rPr>
                <w:rFonts w:cs="Arial"/>
                <w:sz w:val="20"/>
                <w:szCs w:val="20"/>
                <w:lang w:eastAsia="en-NZ"/>
              </w:rPr>
            </w:pPr>
            <w:bookmarkStart w:id="35" w:name="TotalStdPA_Moderate"/>
            <w:r>
              <w:rPr>
                <w:rFonts w:cs="Arial"/>
                <w:sz w:val="20"/>
                <w:szCs w:val="20"/>
                <w:lang w:eastAsia="en-NZ"/>
              </w:rPr>
              <w:t>0</w:t>
            </w:r>
            <w:bookmarkEnd w:id="35"/>
          </w:p>
        </w:tc>
        <w:tc>
          <w:tcPr>
            <w:tcW w:w="1843" w:type="dxa"/>
            <w:vAlign w:val="center"/>
          </w:tcPr>
          <w:p w14:paraId="4E53C8CA" w14:textId="77777777" w:rsidR="00000000" w:rsidRDefault="00000000">
            <w:pPr>
              <w:spacing w:before="60" w:after="60"/>
              <w:jc w:val="center"/>
              <w:rPr>
                <w:rFonts w:cs="Arial"/>
                <w:sz w:val="20"/>
                <w:szCs w:val="20"/>
                <w:lang w:eastAsia="en-NZ"/>
              </w:rPr>
            </w:pPr>
            <w:bookmarkStart w:id="36" w:name="TotalStdPA_High"/>
            <w:r>
              <w:rPr>
                <w:rFonts w:cs="Arial"/>
                <w:sz w:val="20"/>
                <w:szCs w:val="20"/>
                <w:lang w:eastAsia="en-NZ"/>
              </w:rPr>
              <w:t>0</w:t>
            </w:r>
            <w:bookmarkEnd w:id="36"/>
          </w:p>
        </w:tc>
        <w:tc>
          <w:tcPr>
            <w:tcW w:w="1843" w:type="dxa"/>
            <w:vAlign w:val="center"/>
          </w:tcPr>
          <w:p w14:paraId="7F4ADA1A" w14:textId="77777777" w:rsidR="00000000" w:rsidRDefault="00000000">
            <w:pPr>
              <w:spacing w:before="60" w:after="60"/>
              <w:jc w:val="center"/>
              <w:rPr>
                <w:rFonts w:cs="Arial"/>
                <w:sz w:val="20"/>
                <w:szCs w:val="20"/>
                <w:lang w:eastAsia="en-NZ"/>
              </w:rPr>
            </w:pPr>
            <w:bookmarkStart w:id="37" w:name="TotalStdPA_Critical"/>
            <w:r>
              <w:rPr>
                <w:rFonts w:cs="Arial"/>
                <w:sz w:val="20"/>
                <w:szCs w:val="20"/>
                <w:lang w:eastAsia="en-NZ"/>
              </w:rPr>
              <w:t>0</w:t>
            </w:r>
            <w:bookmarkEnd w:id="37"/>
          </w:p>
        </w:tc>
      </w:tr>
      <w:tr w:rsidR="001E6D23" w14:paraId="2A506E8B" w14:textId="77777777">
        <w:tc>
          <w:tcPr>
            <w:tcW w:w="1384" w:type="dxa"/>
            <w:vAlign w:val="center"/>
          </w:tcPr>
          <w:p w14:paraId="4A774A3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D675AA0" w14:textId="77777777" w:rsidR="00000000" w:rsidRDefault="00000000">
            <w:pPr>
              <w:spacing w:before="60" w:after="60"/>
              <w:jc w:val="center"/>
              <w:rPr>
                <w:rFonts w:cs="Arial"/>
                <w:sz w:val="20"/>
                <w:szCs w:val="20"/>
                <w:lang w:eastAsia="en-NZ"/>
              </w:rPr>
            </w:pPr>
            <w:bookmarkStart w:id="38" w:name="TotalCritCI"/>
            <w:r>
              <w:rPr>
                <w:rFonts w:cs="Arial"/>
                <w:sz w:val="20"/>
                <w:szCs w:val="20"/>
                <w:lang w:eastAsia="en-NZ"/>
              </w:rPr>
              <w:t>0</w:t>
            </w:r>
            <w:bookmarkEnd w:id="38"/>
          </w:p>
        </w:tc>
        <w:tc>
          <w:tcPr>
            <w:tcW w:w="1843" w:type="dxa"/>
            <w:vAlign w:val="center"/>
          </w:tcPr>
          <w:p w14:paraId="610C97DF" w14:textId="77777777" w:rsidR="00000000" w:rsidRDefault="00000000" w:rsidP="00A4268A">
            <w:pPr>
              <w:spacing w:before="60" w:after="60"/>
              <w:jc w:val="center"/>
              <w:rPr>
                <w:rFonts w:cs="Arial"/>
                <w:sz w:val="20"/>
                <w:szCs w:val="20"/>
                <w:lang w:eastAsia="en-NZ"/>
              </w:rPr>
            </w:pPr>
            <w:bookmarkStart w:id="39" w:name="TotalCritFA"/>
            <w:r>
              <w:rPr>
                <w:rFonts w:cs="Arial"/>
                <w:sz w:val="20"/>
                <w:szCs w:val="20"/>
                <w:lang w:eastAsia="en-NZ"/>
              </w:rPr>
              <w:t>167</w:t>
            </w:r>
            <w:bookmarkEnd w:id="39"/>
          </w:p>
        </w:tc>
        <w:tc>
          <w:tcPr>
            <w:tcW w:w="1843" w:type="dxa"/>
            <w:vAlign w:val="center"/>
          </w:tcPr>
          <w:p w14:paraId="3B2B277E" w14:textId="77777777" w:rsidR="00000000" w:rsidRDefault="00000000">
            <w:pPr>
              <w:spacing w:before="60" w:after="60"/>
              <w:jc w:val="center"/>
              <w:rPr>
                <w:rFonts w:cs="Arial"/>
                <w:sz w:val="20"/>
                <w:szCs w:val="20"/>
                <w:lang w:eastAsia="en-NZ"/>
              </w:rPr>
            </w:pPr>
            <w:bookmarkStart w:id="40" w:name="TotalCritPA_Negligible"/>
            <w:r>
              <w:rPr>
                <w:rFonts w:cs="Arial"/>
                <w:sz w:val="20"/>
                <w:szCs w:val="20"/>
                <w:lang w:eastAsia="en-NZ"/>
              </w:rPr>
              <w:t>0</w:t>
            </w:r>
            <w:bookmarkEnd w:id="40"/>
          </w:p>
        </w:tc>
        <w:tc>
          <w:tcPr>
            <w:tcW w:w="1842" w:type="dxa"/>
            <w:vAlign w:val="center"/>
          </w:tcPr>
          <w:p w14:paraId="0196F2AE" w14:textId="77777777" w:rsidR="00000000" w:rsidRDefault="00000000" w:rsidP="00A4268A">
            <w:pPr>
              <w:spacing w:before="60" w:after="60"/>
              <w:jc w:val="center"/>
              <w:rPr>
                <w:rFonts w:cs="Arial"/>
                <w:sz w:val="20"/>
                <w:szCs w:val="20"/>
                <w:lang w:eastAsia="en-NZ"/>
              </w:rPr>
            </w:pPr>
            <w:bookmarkStart w:id="41" w:name="TotalCritPA_Low"/>
            <w:r>
              <w:rPr>
                <w:rFonts w:cs="Arial"/>
                <w:sz w:val="20"/>
                <w:szCs w:val="20"/>
                <w:lang w:eastAsia="en-NZ"/>
              </w:rPr>
              <w:t>0</w:t>
            </w:r>
            <w:bookmarkEnd w:id="41"/>
          </w:p>
        </w:tc>
        <w:tc>
          <w:tcPr>
            <w:tcW w:w="1843" w:type="dxa"/>
            <w:vAlign w:val="center"/>
          </w:tcPr>
          <w:p w14:paraId="16E8B1E3" w14:textId="77777777" w:rsidR="00000000" w:rsidRDefault="00000000" w:rsidP="00A4268A">
            <w:pPr>
              <w:spacing w:before="60" w:after="60"/>
              <w:jc w:val="center"/>
              <w:rPr>
                <w:rFonts w:cs="Arial"/>
                <w:sz w:val="20"/>
                <w:szCs w:val="20"/>
                <w:lang w:eastAsia="en-NZ"/>
              </w:rPr>
            </w:pPr>
            <w:bookmarkStart w:id="42" w:name="TotalCritPA_Moderate"/>
            <w:r>
              <w:rPr>
                <w:rFonts w:cs="Arial"/>
                <w:sz w:val="20"/>
                <w:szCs w:val="20"/>
                <w:lang w:eastAsia="en-NZ"/>
              </w:rPr>
              <w:t>0</w:t>
            </w:r>
            <w:bookmarkEnd w:id="42"/>
          </w:p>
        </w:tc>
        <w:tc>
          <w:tcPr>
            <w:tcW w:w="1843" w:type="dxa"/>
            <w:vAlign w:val="center"/>
          </w:tcPr>
          <w:p w14:paraId="77FD1F8A" w14:textId="77777777" w:rsidR="00000000" w:rsidRDefault="00000000">
            <w:pPr>
              <w:spacing w:before="60" w:after="60"/>
              <w:jc w:val="center"/>
              <w:rPr>
                <w:rFonts w:cs="Arial"/>
                <w:sz w:val="20"/>
                <w:szCs w:val="20"/>
                <w:lang w:eastAsia="en-NZ"/>
              </w:rPr>
            </w:pPr>
            <w:bookmarkStart w:id="43" w:name="TotalCritPA_High"/>
            <w:r>
              <w:rPr>
                <w:rFonts w:cs="Arial"/>
                <w:sz w:val="20"/>
                <w:szCs w:val="20"/>
                <w:lang w:eastAsia="en-NZ"/>
              </w:rPr>
              <w:t>0</w:t>
            </w:r>
            <w:bookmarkEnd w:id="43"/>
          </w:p>
        </w:tc>
        <w:tc>
          <w:tcPr>
            <w:tcW w:w="1843" w:type="dxa"/>
            <w:vAlign w:val="center"/>
          </w:tcPr>
          <w:p w14:paraId="44AFE0D0" w14:textId="77777777" w:rsidR="00000000" w:rsidRDefault="00000000">
            <w:pPr>
              <w:spacing w:before="60" w:after="60"/>
              <w:jc w:val="center"/>
              <w:rPr>
                <w:rFonts w:cs="Arial"/>
                <w:sz w:val="20"/>
                <w:szCs w:val="20"/>
                <w:lang w:eastAsia="en-NZ"/>
              </w:rPr>
            </w:pPr>
            <w:bookmarkStart w:id="44" w:name="TotalCritPA_Critical"/>
            <w:r>
              <w:rPr>
                <w:rFonts w:cs="Arial"/>
                <w:sz w:val="20"/>
                <w:szCs w:val="20"/>
                <w:lang w:eastAsia="en-NZ"/>
              </w:rPr>
              <w:t>0</w:t>
            </w:r>
            <w:bookmarkEnd w:id="44"/>
          </w:p>
        </w:tc>
      </w:tr>
    </w:tbl>
    <w:p w14:paraId="6AADA24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E6D23" w14:paraId="7ACBF07F" w14:textId="77777777">
        <w:tc>
          <w:tcPr>
            <w:tcW w:w="1384" w:type="dxa"/>
            <w:vAlign w:val="center"/>
          </w:tcPr>
          <w:p w14:paraId="2238AC6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3AE75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5CA2BC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7FF5C06" w14:textId="77777777" w:rsidR="00000000" w:rsidRDefault="00000000">
            <w:pPr>
              <w:keepNext/>
              <w:spacing w:before="60" w:after="60"/>
              <w:jc w:val="center"/>
              <w:rPr>
                <w:rFonts w:cs="Arial"/>
                <w:b/>
                <w:sz w:val="20"/>
                <w:szCs w:val="20"/>
              </w:rPr>
            </w:pPr>
            <w:r>
              <w:rPr>
                <w:rFonts w:cs="Arial"/>
                <w:b/>
                <w:sz w:val="20"/>
                <w:szCs w:val="20"/>
              </w:rPr>
              <w:t>Unattained Low Risk</w:t>
            </w:r>
          </w:p>
          <w:p w14:paraId="0A7A120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8121A5E" w14:textId="77777777" w:rsidR="00000000" w:rsidRDefault="00000000">
            <w:pPr>
              <w:keepNext/>
              <w:spacing w:before="60" w:after="60"/>
              <w:jc w:val="center"/>
              <w:rPr>
                <w:rFonts w:cs="Arial"/>
                <w:b/>
                <w:sz w:val="20"/>
                <w:szCs w:val="20"/>
              </w:rPr>
            </w:pPr>
            <w:r>
              <w:rPr>
                <w:rFonts w:cs="Arial"/>
                <w:b/>
                <w:sz w:val="20"/>
                <w:szCs w:val="20"/>
              </w:rPr>
              <w:t>Unattained Moderate Risk</w:t>
            </w:r>
          </w:p>
          <w:p w14:paraId="398A45B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8A24957" w14:textId="77777777" w:rsidR="00000000" w:rsidRDefault="00000000">
            <w:pPr>
              <w:keepNext/>
              <w:spacing w:before="60" w:after="60"/>
              <w:jc w:val="center"/>
              <w:rPr>
                <w:rFonts w:cs="Arial"/>
                <w:b/>
                <w:sz w:val="20"/>
                <w:szCs w:val="20"/>
              </w:rPr>
            </w:pPr>
            <w:r>
              <w:rPr>
                <w:rFonts w:cs="Arial"/>
                <w:b/>
                <w:sz w:val="20"/>
                <w:szCs w:val="20"/>
              </w:rPr>
              <w:t>Unattained High Risk</w:t>
            </w:r>
          </w:p>
          <w:p w14:paraId="54E454B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693B119" w14:textId="77777777" w:rsidR="00000000" w:rsidRDefault="00000000">
            <w:pPr>
              <w:keepNext/>
              <w:spacing w:before="60" w:after="60"/>
              <w:jc w:val="center"/>
              <w:rPr>
                <w:rFonts w:cs="Arial"/>
                <w:b/>
                <w:sz w:val="20"/>
                <w:szCs w:val="20"/>
              </w:rPr>
            </w:pPr>
            <w:r>
              <w:rPr>
                <w:rFonts w:cs="Arial"/>
                <w:b/>
                <w:sz w:val="20"/>
                <w:szCs w:val="20"/>
              </w:rPr>
              <w:t>Unattained Critical Risk</w:t>
            </w:r>
          </w:p>
          <w:p w14:paraId="7AFDEF22" w14:textId="77777777" w:rsidR="00000000" w:rsidRDefault="00000000">
            <w:pPr>
              <w:keepNext/>
              <w:spacing w:before="60" w:after="60"/>
              <w:jc w:val="center"/>
              <w:rPr>
                <w:rFonts w:cs="Arial"/>
                <w:b/>
                <w:sz w:val="20"/>
                <w:szCs w:val="20"/>
              </w:rPr>
            </w:pPr>
            <w:r>
              <w:rPr>
                <w:rFonts w:cs="Arial"/>
                <w:b/>
                <w:sz w:val="20"/>
                <w:szCs w:val="20"/>
              </w:rPr>
              <w:t>(UA Critical)</w:t>
            </w:r>
          </w:p>
        </w:tc>
      </w:tr>
      <w:tr w:rsidR="001E6D23" w14:paraId="0381C16A" w14:textId="77777777">
        <w:tc>
          <w:tcPr>
            <w:tcW w:w="1384" w:type="dxa"/>
            <w:vAlign w:val="center"/>
          </w:tcPr>
          <w:p w14:paraId="7CD62FC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F48219" w14:textId="77777777" w:rsidR="00000000" w:rsidRDefault="00000000">
            <w:pPr>
              <w:spacing w:before="60" w:after="60"/>
              <w:jc w:val="center"/>
              <w:rPr>
                <w:rFonts w:cs="Arial"/>
                <w:sz w:val="20"/>
                <w:szCs w:val="20"/>
                <w:lang w:eastAsia="en-NZ"/>
              </w:rPr>
            </w:pPr>
            <w:bookmarkStart w:id="45" w:name="TotalStdUA_Negligible"/>
            <w:r>
              <w:rPr>
                <w:rFonts w:cs="Arial"/>
                <w:sz w:val="20"/>
                <w:szCs w:val="20"/>
                <w:lang w:eastAsia="en-NZ"/>
              </w:rPr>
              <w:t>0</w:t>
            </w:r>
            <w:bookmarkEnd w:id="45"/>
          </w:p>
        </w:tc>
        <w:tc>
          <w:tcPr>
            <w:tcW w:w="1843" w:type="dxa"/>
            <w:vAlign w:val="center"/>
          </w:tcPr>
          <w:p w14:paraId="222FBC98" w14:textId="77777777" w:rsidR="00000000" w:rsidRDefault="00000000">
            <w:pPr>
              <w:spacing w:before="60" w:after="60"/>
              <w:jc w:val="center"/>
              <w:rPr>
                <w:rFonts w:cs="Arial"/>
                <w:sz w:val="20"/>
                <w:szCs w:val="20"/>
                <w:lang w:eastAsia="en-NZ"/>
              </w:rPr>
            </w:pPr>
            <w:bookmarkStart w:id="46" w:name="TotalStdUA_Low"/>
            <w:r>
              <w:rPr>
                <w:rFonts w:cs="Arial"/>
                <w:sz w:val="20"/>
                <w:szCs w:val="20"/>
                <w:lang w:eastAsia="en-NZ"/>
              </w:rPr>
              <w:t>0</w:t>
            </w:r>
            <w:bookmarkEnd w:id="46"/>
          </w:p>
        </w:tc>
        <w:tc>
          <w:tcPr>
            <w:tcW w:w="1843" w:type="dxa"/>
            <w:vAlign w:val="center"/>
          </w:tcPr>
          <w:p w14:paraId="1C62DFF3" w14:textId="77777777" w:rsidR="00000000" w:rsidRDefault="00000000">
            <w:pPr>
              <w:spacing w:before="60" w:after="60"/>
              <w:jc w:val="center"/>
              <w:rPr>
                <w:rFonts w:cs="Arial"/>
                <w:sz w:val="20"/>
                <w:szCs w:val="20"/>
                <w:lang w:eastAsia="en-NZ"/>
              </w:rPr>
            </w:pPr>
            <w:bookmarkStart w:id="47" w:name="TotalStdUA_Moderate"/>
            <w:r>
              <w:rPr>
                <w:rFonts w:cs="Arial"/>
                <w:sz w:val="20"/>
                <w:szCs w:val="20"/>
                <w:lang w:eastAsia="en-NZ"/>
              </w:rPr>
              <w:t>0</w:t>
            </w:r>
            <w:bookmarkEnd w:id="47"/>
          </w:p>
        </w:tc>
        <w:tc>
          <w:tcPr>
            <w:tcW w:w="1842" w:type="dxa"/>
            <w:vAlign w:val="center"/>
          </w:tcPr>
          <w:p w14:paraId="183620C1" w14:textId="77777777" w:rsidR="00000000" w:rsidRDefault="00000000">
            <w:pPr>
              <w:spacing w:before="60" w:after="60"/>
              <w:jc w:val="center"/>
              <w:rPr>
                <w:rFonts w:cs="Arial"/>
                <w:sz w:val="20"/>
                <w:szCs w:val="20"/>
                <w:lang w:eastAsia="en-NZ"/>
              </w:rPr>
            </w:pPr>
            <w:bookmarkStart w:id="48" w:name="TotalStdUA_High"/>
            <w:r>
              <w:rPr>
                <w:rFonts w:cs="Arial"/>
                <w:sz w:val="20"/>
                <w:szCs w:val="20"/>
                <w:lang w:eastAsia="en-NZ"/>
              </w:rPr>
              <w:t>0</w:t>
            </w:r>
            <w:bookmarkEnd w:id="48"/>
          </w:p>
        </w:tc>
        <w:tc>
          <w:tcPr>
            <w:tcW w:w="1843" w:type="dxa"/>
            <w:vAlign w:val="center"/>
          </w:tcPr>
          <w:p w14:paraId="6F935DC8" w14:textId="77777777" w:rsidR="00000000" w:rsidRDefault="00000000">
            <w:pPr>
              <w:spacing w:before="60" w:after="60"/>
              <w:jc w:val="center"/>
              <w:rPr>
                <w:rFonts w:cs="Arial"/>
                <w:sz w:val="20"/>
                <w:szCs w:val="20"/>
                <w:lang w:eastAsia="en-NZ"/>
              </w:rPr>
            </w:pPr>
            <w:bookmarkStart w:id="49" w:name="TotalStdUA_Critical"/>
            <w:r>
              <w:rPr>
                <w:rFonts w:cs="Arial"/>
                <w:sz w:val="20"/>
                <w:szCs w:val="20"/>
                <w:lang w:eastAsia="en-NZ"/>
              </w:rPr>
              <w:t>0</w:t>
            </w:r>
            <w:bookmarkEnd w:id="49"/>
          </w:p>
        </w:tc>
      </w:tr>
      <w:tr w:rsidR="001E6D23" w14:paraId="111EAB12" w14:textId="77777777">
        <w:tc>
          <w:tcPr>
            <w:tcW w:w="1384" w:type="dxa"/>
            <w:vAlign w:val="center"/>
          </w:tcPr>
          <w:p w14:paraId="23E5A77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C559323" w14:textId="77777777" w:rsidR="00000000" w:rsidRDefault="00000000">
            <w:pPr>
              <w:spacing w:before="60" w:after="60"/>
              <w:jc w:val="center"/>
              <w:rPr>
                <w:rFonts w:cs="Arial"/>
                <w:sz w:val="20"/>
                <w:szCs w:val="20"/>
                <w:lang w:eastAsia="en-NZ"/>
              </w:rPr>
            </w:pPr>
            <w:bookmarkStart w:id="50" w:name="TotalCritUA_Negligible"/>
            <w:r>
              <w:rPr>
                <w:rFonts w:cs="Arial"/>
                <w:sz w:val="20"/>
                <w:szCs w:val="20"/>
                <w:lang w:eastAsia="en-NZ"/>
              </w:rPr>
              <w:t>0</w:t>
            </w:r>
            <w:bookmarkEnd w:id="50"/>
          </w:p>
        </w:tc>
        <w:tc>
          <w:tcPr>
            <w:tcW w:w="1843" w:type="dxa"/>
            <w:vAlign w:val="center"/>
          </w:tcPr>
          <w:p w14:paraId="39FA6D92" w14:textId="77777777" w:rsidR="00000000" w:rsidRDefault="00000000">
            <w:pPr>
              <w:spacing w:before="60" w:after="60"/>
              <w:jc w:val="center"/>
              <w:rPr>
                <w:rFonts w:cs="Arial"/>
                <w:sz w:val="20"/>
                <w:szCs w:val="20"/>
                <w:lang w:eastAsia="en-NZ"/>
              </w:rPr>
            </w:pPr>
            <w:bookmarkStart w:id="51" w:name="TotalCritUA_Low"/>
            <w:r>
              <w:rPr>
                <w:rFonts w:cs="Arial"/>
                <w:sz w:val="20"/>
                <w:szCs w:val="20"/>
                <w:lang w:eastAsia="en-NZ"/>
              </w:rPr>
              <w:t>0</w:t>
            </w:r>
            <w:bookmarkEnd w:id="51"/>
          </w:p>
        </w:tc>
        <w:tc>
          <w:tcPr>
            <w:tcW w:w="1843" w:type="dxa"/>
            <w:vAlign w:val="center"/>
          </w:tcPr>
          <w:p w14:paraId="574A5B4B" w14:textId="77777777" w:rsidR="00000000" w:rsidRDefault="00000000">
            <w:pPr>
              <w:spacing w:before="60" w:after="60"/>
              <w:jc w:val="center"/>
              <w:rPr>
                <w:rFonts w:cs="Arial"/>
                <w:sz w:val="20"/>
                <w:szCs w:val="20"/>
                <w:lang w:eastAsia="en-NZ"/>
              </w:rPr>
            </w:pPr>
            <w:bookmarkStart w:id="52" w:name="TotalCritUA_Moderate"/>
            <w:r>
              <w:rPr>
                <w:rFonts w:cs="Arial"/>
                <w:sz w:val="20"/>
                <w:szCs w:val="20"/>
                <w:lang w:eastAsia="en-NZ"/>
              </w:rPr>
              <w:t>0</w:t>
            </w:r>
            <w:bookmarkEnd w:id="52"/>
          </w:p>
        </w:tc>
        <w:tc>
          <w:tcPr>
            <w:tcW w:w="1842" w:type="dxa"/>
            <w:vAlign w:val="center"/>
          </w:tcPr>
          <w:p w14:paraId="5A9D439B" w14:textId="77777777" w:rsidR="00000000" w:rsidRDefault="00000000">
            <w:pPr>
              <w:spacing w:before="60" w:after="60"/>
              <w:jc w:val="center"/>
              <w:rPr>
                <w:rFonts w:cs="Arial"/>
                <w:sz w:val="20"/>
                <w:szCs w:val="20"/>
                <w:lang w:eastAsia="en-NZ"/>
              </w:rPr>
            </w:pPr>
            <w:bookmarkStart w:id="53" w:name="TotalCritUA_High"/>
            <w:r>
              <w:rPr>
                <w:rFonts w:cs="Arial"/>
                <w:sz w:val="20"/>
                <w:szCs w:val="20"/>
                <w:lang w:eastAsia="en-NZ"/>
              </w:rPr>
              <w:t>0</w:t>
            </w:r>
            <w:bookmarkEnd w:id="53"/>
          </w:p>
        </w:tc>
        <w:tc>
          <w:tcPr>
            <w:tcW w:w="1843" w:type="dxa"/>
            <w:vAlign w:val="center"/>
          </w:tcPr>
          <w:p w14:paraId="5E3778B5" w14:textId="77777777" w:rsidR="00000000" w:rsidRDefault="00000000">
            <w:pPr>
              <w:spacing w:before="60" w:after="60"/>
              <w:jc w:val="center"/>
              <w:rPr>
                <w:rFonts w:cs="Arial"/>
                <w:sz w:val="20"/>
                <w:szCs w:val="20"/>
                <w:lang w:eastAsia="en-NZ"/>
              </w:rPr>
            </w:pPr>
            <w:bookmarkStart w:id="54" w:name="TotalCritUA_Critical"/>
            <w:r>
              <w:rPr>
                <w:rFonts w:cs="Arial"/>
                <w:sz w:val="20"/>
                <w:szCs w:val="20"/>
                <w:lang w:eastAsia="en-NZ"/>
              </w:rPr>
              <w:t>0</w:t>
            </w:r>
            <w:bookmarkEnd w:id="54"/>
          </w:p>
        </w:tc>
      </w:tr>
    </w:tbl>
    <w:p w14:paraId="609599E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3EB80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F27588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37B5D3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1E6D23" w14:paraId="3AE29C10" w14:textId="77777777">
        <w:tc>
          <w:tcPr>
            <w:tcW w:w="0" w:type="auto"/>
          </w:tcPr>
          <w:p w14:paraId="5EB53AE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9A1F4C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37707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E6D23" w14:paraId="3D5B201E" w14:textId="77777777">
        <w:tc>
          <w:tcPr>
            <w:tcW w:w="0" w:type="auto"/>
          </w:tcPr>
          <w:p w14:paraId="2289DD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142F0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75C2C02" w14:textId="77777777" w:rsidR="00000000" w:rsidRPr="00BE00C7" w:rsidRDefault="00000000" w:rsidP="00BE00C7">
            <w:pPr>
              <w:pStyle w:val="OutcomeDescription"/>
              <w:spacing w:before="120" w:after="120"/>
              <w:rPr>
                <w:rFonts w:cs="Arial"/>
                <w:lang w:eastAsia="en-NZ"/>
              </w:rPr>
            </w:pPr>
          </w:p>
        </w:tc>
        <w:tc>
          <w:tcPr>
            <w:tcW w:w="0" w:type="auto"/>
          </w:tcPr>
          <w:p w14:paraId="7610F8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23EE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George Manning Lifecare is owned and governed by Heritage Lifecare Limited (HLL), which has developed policies, procedures and processes to embed and enact Te Tiriti o Waitangi in all aspects of its work. </w:t>
            </w:r>
          </w:p>
          <w:p w14:paraId="7181EEBB" w14:textId="77777777" w:rsidR="00000000" w:rsidRPr="00BE00C7" w:rsidRDefault="00000000" w:rsidP="00BE00C7">
            <w:pPr>
              <w:pStyle w:val="OutcomeDescription"/>
              <w:spacing w:before="120" w:after="120"/>
              <w:rPr>
                <w:rFonts w:cs="Arial"/>
                <w:lang w:eastAsia="en-NZ"/>
              </w:rPr>
            </w:pPr>
            <w:r w:rsidRPr="00BE00C7">
              <w:rPr>
                <w:rFonts w:cs="Arial"/>
                <w:lang w:eastAsia="en-NZ"/>
              </w:rPr>
              <w:t>HLL has a Māori health plan which guides care delivery for Māori using Te Whare Tapa Whā model, and by ensuring mana motuhake is respected. The plan has been developed with input from cultural advisers and is used for residents who identify as Māori.</w:t>
            </w:r>
          </w:p>
          <w:p w14:paraId="20B05F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w:t>
            </w:r>
          </w:p>
          <w:p w14:paraId="29446E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HLL has introduced a head of cultural partnerships (HCP), who is part of the executive team and identifies as Māori/Pasifika. The function of the HCP is to assist with the implementation of Ngā Paerewa and inform the HLL models of care and service delivery. This is allied to a Māori Network Komiti, a group of Māori employees. The Komiti has a mandate to further assist the organisation in relation to its Te Tiriti obligations. The Māori Network Komiti has a kaupapa Māori structure and involves people from the clinical leadership group, clinical service managers, site managers, registered nurses, and other care workers. The group provides information through the clinical governance structure to the board. George Manning Lifecare can access support </w:t>
            </w:r>
            <w:r w:rsidRPr="00BE00C7">
              <w:rPr>
                <w:rFonts w:cs="Arial"/>
                <w:lang w:eastAsia="en-NZ"/>
              </w:rPr>
              <w:lastRenderedPageBreak/>
              <w:t>through Te Whatu Ora – Health New Zealand Waitaha Canterbury, through local Māori health providers and the local marae.</w:t>
            </w:r>
          </w:p>
          <w:p w14:paraId="41495B31" w14:textId="77777777" w:rsidR="00000000" w:rsidRPr="00BE00C7" w:rsidRDefault="00000000" w:rsidP="00BE00C7">
            <w:pPr>
              <w:pStyle w:val="OutcomeDescription"/>
              <w:spacing w:before="120" w:after="120"/>
              <w:rPr>
                <w:rFonts w:cs="Arial"/>
                <w:lang w:eastAsia="en-NZ"/>
              </w:rPr>
            </w:pPr>
          </w:p>
          <w:p w14:paraId="363C36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HLL is committed to recruiting and retaining a diverse workforce, and to increasing the Māori percentage of the workforce. There is a diversity and inclusion policy in place that commits the organisation to uphold the principles of Te Tiriti o Waitangi and to support HLL’s drive for staff to have a beneficial experience when working in the service. Staff ethnicity data is documented (with their permission), and trended. Staff who identify as Māori are employed at all levels of HLL.  </w:t>
            </w:r>
          </w:p>
          <w:p w14:paraId="3EF077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on Te Tiriti is part of the HLL training programme. Staff and training records confirmed Te Tiriti o Waitangi and cultural training. The training is geared to assist staff to understand the key elements of service provision for Māori, and tāngata whaikaha, including mana motuhake and providing equity in care services. The care home and regional managers reported, and documentation evidenced, input at resident advocacy meetings from a Māori cultural advisor. </w:t>
            </w:r>
          </w:p>
          <w:p w14:paraId="2A29A52B" w14:textId="77777777" w:rsidR="00000000" w:rsidRPr="00BE00C7" w:rsidRDefault="00000000" w:rsidP="00BE00C7">
            <w:pPr>
              <w:pStyle w:val="OutcomeDescription"/>
              <w:spacing w:before="120" w:after="120"/>
              <w:rPr>
                <w:rFonts w:cs="Arial"/>
                <w:lang w:eastAsia="en-NZ"/>
              </w:rPr>
            </w:pPr>
          </w:p>
          <w:p w14:paraId="1AB222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3ECF9A31" w14:textId="77777777" w:rsidR="00000000" w:rsidRPr="00BE00C7" w:rsidRDefault="00000000" w:rsidP="00BE00C7">
            <w:pPr>
              <w:pStyle w:val="OutcomeDescription"/>
              <w:spacing w:before="120" w:after="120"/>
              <w:rPr>
                <w:rFonts w:cs="Arial"/>
                <w:lang w:eastAsia="en-NZ"/>
              </w:rPr>
            </w:pPr>
          </w:p>
        </w:tc>
      </w:tr>
      <w:tr w:rsidR="001E6D23" w14:paraId="68A311B7" w14:textId="77777777">
        <w:tc>
          <w:tcPr>
            <w:tcW w:w="0" w:type="auto"/>
          </w:tcPr>
          <w:p w14:paraId="6BEC02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8222B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1F6546D" w14:textId="77777777" w:rsidR="00000000" w:rsidRPr="00BE00C7" w:rsidRDefault="00000000" w:rsidP="00BE00C7">
            <w:pPr>
              <w:pStyle w:val="OutcomeDescription"/>
              <w:spacing w:before="120" w:after="120"/>
              <w:rPr>
                <w:rFonts w:cs="Arial"/>
                <w:lang w:eastAsia="en-NZ"/>
              </w:rPr>
            </w:pPr>
          </w:p>
        </w:tc>
        <w:tc>
          <w:tcPr>
            <w:tcW w:w="0" w:type="auto"/>
          </w:tcPr>
          <w:p w14:paraId="521198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26EF04"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understood the equity issues faced by Pacific peoples and is able to access guidance from people within the organisation around appropriate care and service for Pasifika. Two members of the executive team identify as Pasifika. They can assist the board to meet their Ngā Paerewa obligations to Pacific peoples.</w:t>
            </w:r>
          </w:p>
          <w:p w14:paraId="58AC1C68"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that utilises the Fonofale model of care, documenting care requirements for Pacific peoples to ensure culturally appropriate services. The plan has been developed with input from cultural advisers. George Manning Lifecare has access to local Pasifika communities through staff connections and Te Whatu Ora – Health New Zealand Waitaha Canterbury.</w:t>
            </w:r>
          </w:p>
          <w:p w14:paraId="5DCAA5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staff recruitment policy, reviewed in July 2021, is clear that recruitment will be non-discriminatory, and that cultural fit is one aspect of appointing staff. The service supports increasing Pasifika capacity by employing more Pasifika staff members across differing levels of the organisation, and this is outlined in its strategic plan and in policy documentation. Ethnicity data is gathered when staff are employed, and this data is analysed at a management level. There were staff who identified as Pasifika in the service. Training on culturally specific care, including care for Pasifika, is part of the HLL training programme, and this is implemented in the service. The training is geared to assist staff to understand the key elements of service provision for Pasifika and providing equity in care services.</w:t>
            </w:r>
          </w:p>
          <w:p w14:paraId="4230E3E1" w14:textId="77777777" w:rsidR="00000000" w:rsidRPr="00BE00C7" w:rsidRDefault="00000000" w:rsidP="00BE00C7">
            <w:pPr>
              <w:pStyle w:val="OutcomeDescription"/>
              <w:spacing w:before="120" w:after="120"/>
              <w:rPr>
                <w:rFonts w:cs="Arial"/>
                <w:lang w:eastAsia="en-NZ"/>
              </w:rPr>
            </w:pPr>
          </w:p>
        </w:tc>
      </w:tr>
      <w:tr w:rsidR="001E6D23" w14:paraId="4F898CD6" w14:textId="77777777">
        <w:tc>
          <w:tcPr>
            <w:tcW w:w="0" w:type="auto"/>
          </w:tcPr>
          <w:p w14:paraId="52EB97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32603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46A3F3A" w14:textId="77777777" w:rsidR="00000000" w:rsidRPr="00BE00C7" w:rsidRDefault="00000000" w:rsidP="00BE00C7">
            <w:pPr>
              <w:pStyle w:val="OutcomeDescription"/>
              <w:spacing w:before="120" w:after="120"/>
              <w:rPr>
                <w:rFonts w:cs="Arial"/>
                <w:lang w:eastAsia="en-NZ"/>
              </w:rPr>
            </w:pPr>
          </w:p>
        </w:tc>
        <w:tc>
          <w:tcPr>
            <w:tcW w:w="0" w:type="auto"/>
          </w:tcPr>
          <w:p w14:paraId="0B087E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EB78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George Manning Lifecare (George Manning) understood the requirements of the Code of Health and Disability Services Consumers’ Rights (the Code) and were observed supporting residents in accordance with their wishes. Training records verified staff had received training on the Code within the past year. </w:t>
            </w:r>
          </w:p>
          <w:p w14:paraId="677EB18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Signage on the Code and the advocacy service was visible around the facility, and brochures were available at reception. A representative from the Advocacy Service attended a residents’ meeting in January 2024 to ensure residents were informed of its existence. A residents’ advocate runs the residents’ meeting every three months, and minutes verified minimal concerns that were addressed promptly. Efforts to obtain feedback from the advocate via a phone call at the time of audit were unsuccessful.</w:t>
            </w:r>
          </w:p>
          <w:p w14:paraId="026DF62B" w14:textId="77777777" w:rsidR="00000000" w:rsidRPr="00BE00C7" w:rsidRDefault="00000000" w:rsidP="00BE00C7">
            <w:pPr>
              <w:pStyle w:val="OutcomeDescription"/>
              <w:spacing w:before="120" w:after="120"/>
              <w:rPr>
                <w:rFonts w:cs="Arial"/>
                <w:lang w:eastAsia="en-NZ"/>
              </w:rPr>
            </w:pPr>
          </w:p>
        </w:tc>
      </w:tr>
      <w:tr w:rsidR="001E6D23" w14:paraId="6EECEBAA" w14:textId="77777777">
        <w:tc>
          <w:tcPr>
            <w:tcW w:w="0" w:type="auto"/>
          </w:tcPr>
          <w:p w14:paraId="6AECD6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AFEC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3C1685E5" w14:textId="77777777" w:rsidR="00000000" w:rsidRPr="00BE00C7" w:rsidRDefault="00000000" w:rsidP="00BE00C7">
            <w:pPr>
              <w:pStyle w:val="OutcomeDescription"/>
              <w:spacing w:before="120" w:after="120"/>
              <w:rPr>
                <w:rFonts w:cs="Arial"/>
                <w:lang w:eastAsia="en-NZ"/>
              </w:rPr>
            </w:pPr>
          </w:p>
        </w:tc>
        <w:tc>
          <w:tcPr>
            <w:tcW w:w="0" w:type="auto"/>
          </w:tcPr>
          <w:p w14:paraId="471B7F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EDAB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George Manning supported residents in a way that was inclusive and respected their identity and experiences. Residents and whānau, including people with disabilities, confirmed that they received services </w:t>
            </w:r>
            <w:r w:rsidRPr="00BE00C7">
              <w:rPr>
                <w:rFonts w:cs="Arial"/>
                <w:lang w:eastAsia="en-NZ"/>
              </w:rPr>
              <w:lastRenderedPageBreak/>
              <w:t>in a manner that has regard for their dignity, gender, privacy, sexual orientation, spirituality and choices.</w:t>
            </w:r>
          </w:p>
          <w:p w14:paraId="2CC6A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with an ensuite. </w:t>
            </w:r>
          </w:p>
          <w:p w14:paraId="5B066079"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Staff have undertaken training in Te Tiriti o Waitangi and understood the principles and how to apply these in their daily work.</w:t>
            </w:r>
          </w:p>
          <w:p w14:paraId="1EAFF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F80E563" w14:textId="77777777" w:rsidR="00000000" w:rsidRPr="00BE00C7" w:rsidRDefault="00000000" w:rsidP="00BE00C7">
            <w:pPr>
              <w:pStyle w:val="OutcomeDescription"/>
              <w:spacing w:before="120" w:after="120"/>
              <w:rPr>
                <w:rFonts w:cs="Arial"/>
                <w:lang w:eastAsia="en-NZ"/>
              </w:rPr>
            </w:pPr>
          </w:p>
        </w:tc>
      </w:tr>
      <w:tr w:rsidR="001E6D23" w14:paraId="392AE71F" w14:textId="77777777">
        <w:tc>
          <w:tcPr>
            <w:tcW w:w="0" w:type="auto"/>
          </w:tcPr>
          <w:p w14:paraId="1219DD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55D1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074DCE5" w14:textId="77777777" w:rsidR="00000000" w:rsidRPr="00BE00C7" w:rsidRDefault="00000000" w:rsidP="00BE00C7">
            <w:pPr>
              <w:pStyle w:val="OutcomeDescription"/>
              <w:spacing w:before="120" w:after="120"/>
              <w:rPr>
                <w:rFonts w:cs="Arial"/>
                <w:lang w:eastAsia="en-NZ"/>
              </w:rPr>
            </w:pPr>
          </w:p>
        </w:tc>
        <w:tc>
          <w:tcPr>
            <w:tcW w:w="0" w:type="auto"/>
          </w:tcPr>
          <w:p w14:paraId="7E4B1F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FB915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or harassment identified during the audit through staff and/or resident interviews, or in documentation reviewed.</w:t>
            </w:r>
          </w:p>
          <w:p w14:paraId="28040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is labelled on admission, and valuables are photographed. There are processes in place to ensure finances are protected. Residents reported that their property is respected, and that their finances are protected. </w:t>
            </w:r>
          </w:p>
          <w:p w14:paraId="3E056510"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7002DED1" w14:textId="77777777" w:rsidR="00000000" w:rsidRPr="00BE00C7" w:rsidRDefault="00000000" w:rsidP="00BE00C7">
            <w:pPr>
              <w:pStyle w:val="OutcomeDescription"/>
              <w:spacing w:before="120" w:after="120"/>
              <w:rPr>
                <w:rFonts w:cs="Arial"/>
                <w:lang w:eastAsia="en-NZ"/>
              </w:rPr>
            </w:pPr>
          </w:p>
        </w:tc>
      </w:tr>
      <w:tr w:rsidR="001E6D23" w14:paraId="331807C7" w14:textId="77777777">
        <w:tc>
          <w:tcPr>
            <w:tcW w:w="0" w:type="auto"/>
          </w:tcPr>
          <w:p w14:paraId="3DF159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EF0D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2865BE38" w14:textId="77777777" w:rsidR="00000000" w:rsidRPr="00BE00C7" w:rsidRDefault="00000000" w:rsidP="00BE00C7">
            <w:pPr>
              <w:pStyle w:val="OutcomeDescription"/>
              <w:spacing w:before="120" w:after="120"/>
              <w:rPr>
                <w:rFonts w:cs="Arial"/>
                <w:lang w:eastAsia="en-NZ"/>
              </w:rPr>
            </w:pPr>
          </w:p>
        </w:tc>
        <w:tc>
          <w:tcPr>
            <w:tcW w:w="0" w:type="auto"/>
          </w:tcPr>
          <w:p w14:paraId="623F2F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1F73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participated in care, communication had occurred. </w:t>
            </w:r>
          </w:p>
          <w:p w14:paraId="2AA51A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GP visits and during management of any complaints. Notice boards included the notification of the facility’s quality indicators, </w:t>
            </w:r>
            <w:r w:rsidRPr="00BE00C7">
              <w:rPr>
                <w:rFonts w:cs="Arial"/>
                <w:lang w:eastAsia="en-NZ"/>
              </w:rPr>
              <w:lastRenderedPageBreak/>
              <w:t>meeting minutes, upcoming meetings, and events to keep everyone informed.</w:t>
            </w:r>
          </w:p>
          <w:p w14:paraId="1AEEB1C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226BC70" w14:textId="77777777" w:rsidR="00000000" w:rsidRPr="00BE00C7" w:rsidRDefault="00000000" w:rsidP="00BE00C7">
            <w:pPr>
              <w:pStyle w:val="OutcomeDescription"/>
              <w:spacing w:before="120" w:after="120"/>
              <w:rPr>
                <w:rFonts w:cs="Arial"/>
                <w:lang w:eastAsia="en-NZ"/>
              </w:rPr>
            </w:pPr>
          </w:p>
        </w:tc>
      </w:tr>
      <w:tr w:rsidR="001E6D23" w14:paraId="3065DAE7" w14:textId="77777777">
        <w:tc>
          <w:tcPr>
            <w:tcW w:w="0" w:type="auto"/>
          </w:tcPr>
          <w:p w14:paraId="3BEF37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322E5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CB8F092" w14:textId="77777777" w:rsidR="00000000" w:rsidRPr="00BE00C7" w:rsidRDefault="00000000" w:rsidP="00BE00C7">
            <w:pPr>
              <w:pStyle w:val="OutcomeDescription"/>
              <w:spacing w:before="120" w:after="120"/>
              <w:rPr>
                <w:rFonts w:cs="Arial"/>
                <w:lang w:eastAsia="en-NZ"/>
              </w:rPr>
            </w:pPr>
          </w:p>
        </w:tc>
        <w:tc>
          <w:tcPr>
            <w:tcW w:w="0" w:type="auto"/>
          </w:tcPr>
          <w:p w14:paraId="6DF1DF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0EFF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w:t>
            </w:r>
          </w:p>
          <w:p w14:paraId="216AF78F"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1FA7EA84"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w:t>
            </w:r>
          </w:p>
          <w:p w14:paraId="07DC7AF6" w14:textId="77777777" w:rsidR="00000000" w:rsidRPr="00BE00C7" w:rsidRDefault="00000000" w:rsidP="00BE00C7">
            <w:pPr>
              <w:pStyle w:val="OutcomeDescription"/>
              <w:spacing w:before="120" w:after="120"/>
              <w:rPr>
                <w:rFonts w:cs="Arial"/>
                <w:lang w:eastAsia="en-NZ"/>
              </w:rPr>
            </w:pPr>
          </w:p>
        </w:tc>
      </w:tr>
      <w:tr w:rsidR="001E6D23" w14:paraId="49BD82C7" w14:textId="77777777">
        <w:tc>
          <w:tcPr>
            <w:tcW w:w="0" w:type="auto"/>
          </w:tcPr>
          <w:p w14:paraId="4E8B97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C4D48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BD23454" w14:textId="77777777" w:rsidR="00000000" w:rsidRPr="00BE00C7" w:rsidRDefault="00000000" w:rsidP="00BE00C7">
            <w:pPr>
              <w:pStyle w:val="OutcomeDescription"/>
              <w:spacing w:before="120" w:after="120"/>
              <w:rPr>
                <w:rFonts w:cs="Arial"/>
                <w:lang w:eastAsia="en-NZ"/>
              </w:rPr>
            </w:pPr>
          </w:p>
        </w:tc>
        <w:tc>
          <w:tcPr>
            <w:tcW w:w="0" w:type="auto"/>
          </w:tcPr>
          <w:p w14:paraId="6A2E3B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BDE2E5"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w:t>
            </w:r>
          </w:p>
          <w:p w14:paraId="31B61EF8"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Where possible, improvements had been made as a result of the investigation.</w:t>
            </w:r>
          </w:p>
          <w:p w14:paraId="32CED7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advised there was a process in place to manage complaints from Māori by facilitating hui, appropriate tikanga, and/or te reo Māori as applicable. Complaints forms were available in English and te reo Māori.</w:t>
            </w:r>
          </w:p>
          <w:p w14:paraId="44258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complaint made via the Health and Disability Commission (HDC) since the previous audit; investigation was underway. The facility, assisted by the HLL national office, has </w:t>
            </w:r>
            <w:r w:rsidRPr="00BE00C7">
              <w:rPr>
                <w:rFonts w:cs="Arial"/>
                <w:lang w:eastAsia="en-NZ"/>
              </w:rPr>
              <w:lastRenderedPageBreak/>
              <w:t>complied with all requests for information. This complaint remains open, and investigation is ongoing. Internal complaints and minor concerns were documented using the HLL electronic system; there were ten complaints received in 2023 and four in 2024 to date. Complaints received in 2024 related to staff behaviour and communication, and food provision. The care home and regional managers described staff education related to communication resulting from the complaint investigations. Improvements to food provision have been made and residents expressed satisfaction with the food they receive.</w:t>
            </w:r>
          </w:p>
          <w:p w14:paraId="6ED3ADC0" w14:textId="77777777" w:rsidR="00000000" w:rsidRPr="00BE00C7" w:rsidRDefault="00000000" w:rsidP="00BE00C7">
            <w:pPr>
              <w:pStyle w:val="OutcomeDescription"/>
              <w:spacing w:before="120" w:after="120"/>
              <w:rPr>
                <w:rFonts w:cs="Arial"/>
                <w:lang w:eastAsia="en-NZ"/>
              </w:rPr>
            </w:pPr>
          </w:p>
        </w:tc>
      </w:tr>
      <w:tr w:rsidR="001E6D23" w14:paraId="649C59CF" w14:textId="77777777">
        <w:tc>
          <w:tcPr>
            <w:tcW w:w="0" w:type="auto"/>
          </w:tcPr>
          <w:p w14:paraId="064EF9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EB3D7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5C9403" w14:textId="77777777" w:rsidR="00000000" w:rsidRPr="00BE00C7" w:rsidRDefault="00000000" w:rsidP="00BE00C7">
            <w:pPr>
              <w:pStyle w:val="OutcomeDescription"/>
              <w:spacing w:before="120" w:after="120"/>
              <w:rPr>
                <w:rFonts w:cs="Arial"/>
                <w:lang w:eastAsia="en-NZ"/>
              </w:rPr>
            </w:pPr>
          </w:p>
        </w:tc>
        <w:tc>
          <w:tcPr>
            <w:tcW w:w="0" w:type="auto"/>
          </w:tcPr>
          <w:p w14:paraId="1EA73D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E9DF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Lifecare Limited governing body assumes accountability for delivering a high-quality service through supporting meaningful inclusion of Māori and Pasifika in governance groups, honouring Te Tiriti o Waitangi and being focused on improving outcomes for Māori, Pasifika, and tāngata whaikaha. Heritage Lifecare has a legal team who monitor changes to legislative and clinical requirements and have access to domestic and international legal advice.</w:t>
            </w:r>
          </w:p>
          <w:p w14:paraId="772DD6E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making sure barriers to equitable service delivery are surmounted. George Manning Lifecare also demonstrated its commitment to tāngata whaikaha by meeting the contractual requirements for three people on the Younger People with Lifelong Disabilities (YPD) contract.</w:t>
            </w:r>
          </w:p>
          <w:p w14:paraId="349A487D"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has a strategic plan in place which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1DDBC4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Governance and the senior leadership team commit to quality and risk via policy, processes and through feedback mechanisms. This includes receiving regular information from each of the organisation’s care facilities. The HLL reporting structure relies on information from its strategic plan to inform facility-based business plans. George Manning has its own business plan for its particular services; this is updated and reported on quarterly to governance. Internal data collection (eg, adverse events, infections, audits, and complaints) are aggregated and corrective action (at facility and organisation level as applicable) actioned. Feedback is to the clinical governance group and to the board. Changes are made to business and/or the strategic plans as required. </w:t>
            </w:r>
          </w:p>
          <w:p w14:paraId="131D4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manager interviewed felt well informed on progress and risks. This was confirmed in a sample of reports to the HLL governance body.</w:t>
            </w:r>
          </w:p>
          <w:p w14:paraId="64E294F8" w14:textId="77777777" w:rsidR="00000000" w:rsidRPr="00BE00C7" w:rsidRDefault="00000000" w:rsidP="00BE00C7">
            <w:pPr>
              <w:pStyle w:val="OutcomeDescription"/>
              <w:spacing w:before="120" w:after="120"/>
              <w:rPr>
                <w:rFonts w:cs="Arial"/>
                <w:lang w:eastAsia="en-NZ"/>
              </w:rPr>
            </w:pPr>
            <w:r w:rsidRPr="00BE00C7">
              <w:rPr>
                <w:rFonts w:cs="Arial"/>
                <w:lang w:eastAsia="en-NZ"/>
              </w:rPr>
              <w:t>Job/role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HLL, the organisation looks for the ‘right people in the right place’ and aims to keep them in place for a longer period to promote stability. It also uses feedback from cultural advisers, including the Māori Network Komiti, to inform workforce planning, sensitive and appropriate collection and use of ethnicity data, and how it can support its ethnically diverse staff.</w:t>
            </w:r>
          </w:p>
          <w:p w14:paraId="6379E288"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supports people to participate locally through resident meetings, and through satisfaction surveys. There is also a staff satisfaction survey for a wider view of how residents and staff are being supported. Results of both are used to improve services.</w:t>
            </w:r>
          </w:p>
          <w:p w14:paraId="55F45F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Directors of HLL have undertaken the E-Learning education on Te Tiriti, health equity and cultural safety provided by the Manatū Hauora. </w:t>
            </w:r>
          </w:p>
          <w:p w14:paraId="1B03D1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George Manning Lifecare holds contracts with Te Whatu Ora – Health New Zealand  Waitaha Canterbury to provide residential rest home, hospital and respite care services under the age-related residential care agreement (ARRC) for up to 88 residents. On the day of audit, there were 64 residents receiving care at George Manning Lifecare; 28 </w:t>
            </w:r>
            <w:r w:rsidRPr="00BE00C7">
              <w:rPr>
                <w:rFonts w:cs="Arial"/>
                <w:lang w:eastAsia="en-NZ"/>
              </w:rPr>
              <w:lastRenderedPageBreak/>
              <w:t>residents receiving hospital level care (including two residents admitted for respite and three under the YPD contract), and 36 residents receiving rest home care.</w:t>
            </w:r>
          </w:p>
          <w:p w14:paraId="7C91133F" w14:textId="77777777" w:rsidR="00000000" w:rsidRPr="00BE00C7" w:rsidRDefault="00000000" w:rsidP="00BE00C7">
            <w:pPr>
              <w:pStyle w:val="OutcomeDescription"/>
              <w:spacing w:before="120" w:after="120"/>
              <w:rPr>
                <w:rFonts w:cs="Arial"/>
                <w:lang w:eastAsia="en-NZ"/>
              </w:rPr>
            </w:pPr>
          </w:p>
        </w:tc>
      </w:tr>
      <w:tr w:rsidR="001E6D23" w14:paraId="282167B5" w14:textId="77777777">
        <w:tc>
          <w:tcPr>
            <w:tcW w:w="0" w:type="auto"/>
          </w:tcPr>
          <w:p w14:paraId="5D2E59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20F5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969F47E" w14:textId="77777777" w:rsidR="00000000" w:rsidRPr="00BE00C7" w:rsidRDefault="00000000" w:rsidP="00BE00C7">
            <w:pPr>
              <w:pStyle w:val="OutcomeDescription"/>
              <w:spacing w:before="120" w:after="120"/>
              <w:rPr>
                <w:rFonts w:cs="Arial"/>
                <w:lang w:eastAsia="en-NZ"/>
              </w:rPr>
            </w:pPr>
          </w:p>
        </w:tc>
        <w:tc>
          <w:tcPr>
            <w:tcW w:w="0" w:type="auto"/>
          </w:tcPr>
          <w:p w14:paraId="00D574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DE17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are developed and implemented to address any shortfalls. Progress against quality outcomes is evaluated. Quality data is communicated and discussed, and this was confirmed by staff at interview. Trends are graphed and displayed on notice boards in public and staff areas. Benchmarking against other facilities in the HLL group occurs. Policies reviewed covered all necessary aspects of the service and contractual requirements and were current.</w:t>
            </w:r>
          </w:p>
          <w:p w14:paraId="3E471BDC" w14:textId="77777777" w:rsidR="00000000" w:rsidRPr="00BE00C7" w:rsidRDefault="00000000" w:rsidP="00BE00C7">
            <w:pPr>
              <w:pStyle w:val="OutcomeDescription"/>
              <w:spacing w:before="120" w:after="120"/>
              <w:rPr>
                <w:rFonts w:cs="Arial"/>
                <w:lang w:eastAsia="en-NZ"/>
              </w:rPr>
            </w:pPr>
          </w:p>
          <w:p w14:paraId="490495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services manager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w:t>
            </w:r>
          </w:p>
          <w:p w14:paraId="4FE1C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George Manning Lifecare, supported by HLL, works to address these. Staff have received substantial education/training in relation to care of Māori, Pasifika and tāngata whaikaha.  Delivering high quality care to Māori patients/residents is further supported through a Māori health plan used to guide care for Māori. </w:t>
            </w:r>
          </w:p>
          <w:p w14:paraId="24B318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the ability to give feedback at meetings and in surveys. Residents have meetings facilitated by an independent advocate three-monthly.  Residents’ satisfaction surveys completed in 2024 showed the level of satisfaction with the services provided has increased over the last year, </w:t>
            </w:r>
            <w:r w:rsidRPr="00BE00C7">
              <w:rPr>
                <w:rFonts w:cs="Arial"/>
                <w:lang w:eastAsia="en-NZ"/>
              </w:rPr>
              <w:lastRenderedPageBreak/>
              <w:t>and residents and whānau interviewed reported a high level of satisfaction. Improvements identified from the survey have been actioned, including moving the resident smoking area away from resident windows and instigating spring cleaning of the facility. A staff survey completed in 2023 has resulted in the implementation of HLL-wide staff recognition awards.</w:t>
            </w:r>
          </w:p>
          <w:p w14:paraId="05C3257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any corrective actions followed up in a timely manner.</w:t>
            </w:r>
          </w:p>
          <w:p w14:paraId="2A7FDF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and clinical services manager understood and have complied with essential notification reporting requirements. There have been ten Section 31 notifications completed in the last 12 months. These related to the recent change of care home and clinical services managers, resident falls and infection outbreaks. Two pressure injuries have been reported to the Health Quality Safety Commission.</w:t>
            </w:r>
          </w:p>
          <w:p w14:paraId="06A38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not been any police investigations, coroner’s inquests or issues-based audits since the last audit.</w:t>
            </w:r>
          </w:p>
          <w:p w14:paraId="4B8AD530" w14:textId="77777777" w:rsidR="00000000" w:rsidRPr="00BE00C7" w:rsidRDefault="00000000" w:rsidP="00BE00C7">
            <w:pPr>
              <w:pStyle w:val="OutcomeDescription"/>
              <w:spacing w:before="120" w:after="120"/>
              <w:rPr>
                <w:rFonts w:cs="Arial"/>
                <w:lang w:eastAsia="en-NZ"/>
              </w:rPr>
            </w:pPr>
          </w:p>
        </w:tc>
      </w:tr>
      <w:tr w:rsidR="001E6D23" w14:paraId="4E1A7609" w14:textId="77777777">
        <w:tc>
          <w:tcPr>
            <w:tcW w:w="0" w:type="auto"/>
          </w:tcPr>
          <w:p w14:paraId="249459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34C0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C1B49F" w14:textId="77777777" w:rsidR="00000000" w:rsidRPr="00BE00C7" w:rsidRDefault="00000000" w:rsidP="00BE00C7">
            <w:pPr>
              <w:pStyle w:val="OutcomeDescription"/>
              <w:spacing w:before="120" w:after="120"/>
              <w:rPr>
                <w:rFonts w:cs="Arial"/>
                <w:lang w:eastAsia="en-NZ"/>
              </w:rPr>
            </w:pPr>
          </w:p>
        </w:tc>
        <w:tc>
          <w:tcPr>
            <w:tcW w:w="0" w:type="auto"/>
          </w:tcPr>
          <w:p w14:paraId="163AF4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B565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is managed by a care home manager (CHM) who has worked at the facility since September 2024; they are supported by a long-established regional manager. The clinical services manager (CSM) has been in position for five weeks, having transferred from another HLL facility; they are supported by a regional clinical manager. The CSM is on call to support the clinical team. There are registered nurses on duty 24/7 and there is a first aid certified staff member on duty 24/7.</w:t>
            </w:r>
          </w:p>
          <w:p w14:paraId="400181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A recent change proposal resulted in a reduction in care staff hours due to the reduced occupancy; at the time of audit, there were 24 empty beds, and a high percentage of residents were receiving rest home care. However, the complexity of residents living at George </w:t>
            </w:r>
            <w:r w:rsidRPr="00BE00C7">
              <w:rPr>
                <w:rFonts w:cs="Arial"/>
                <w:lang w:eastAsia="en-NZ"/>
              </w:rPr>
              <w:lastRenderedPageBreak/>
              <w:t>Manning Lifecare was noted to be higher than is usually seen. A review of management reports identified that, while caregiver hours have reduced, the registered nurse hours have increased over 2024. The CHM discussed reviewing staff as occupancy fluctuates, and stated consideration will be given to increasing staffing as occupancy increases. This will be particularly important if the number of hospital level residents increases.</w:t>
            </w:r>
          </w:p>
          <w:p w14:paraId="14DBC3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multidisciplinary team (MDT) approach ensures all aspects of service delivery are met. Those providing care reported there were adequate staff to complete the work allocated to them. Residents and whānau interviewed supported this. </w:t>
            </w:r>
          </w:p>
          <w:p w14:paraId="4DF803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3EA7A258"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Records reviewed demonstrated completion of the required training and competency assessment.</w:t>
            </w:r>
          </w:p>
          <w:p w14:paraId="400BE39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 – Health New Zealand Waitaha Canterbury.</w:t>
            </w:r>
          </w:p>
          <w:p w14:paraId="2326AE4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Staff have access to independent counselling services. Staff reported feeling well supported and safe in the workplace.</w:t>
            </w:r>
          </w:p>
          <w:p w14:paraId="1DF7FFBB" w14:textId="77777777" w:rsidR="00000000" w:rsidRPr="00BE00C7" w:rsidRDefault="00000000" w:rsidP="00BE00C7">
            <w:pPr>
              <w:pStyle w:val="OutcomeDescription"/>
              <w:spacing w:before="120" w:after="120"/>
              <w:rPr>
                <w:rFonts w:cs="Arial"/>
                <w:lang w:eastAsia="en-NZ"/>
              </w:rPr>
            </w:pPr>
          </w:p>
        </w:tc>
      </w:tr>
      <w:tr w:rsidR="001E6D23" w14:paraId="18FBE8F1" w14:textId="77777777">
        <w:tc>
          <w:tcPr>
            <w:tcW w:w="0" w:type="auto"/>
          </w:tcPr>
          <w:p w14:paraId="682F0D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02916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6136FF" w14:textId="77777777" w:rsidR="00000000" w:rsidRPr="00BE00C7" w:rsidRDefault="00000000" w:rsidP="00BE00C7">
            <w:pPr>
              <w:pStyle w:val="OutcomeDescription"/>
              <w:spacing w:before="120" w:after="120"/>
              <w:rPr>
                <w:rFonts w:cs="Arial"/>
                <w:lang w:eastAsia="en-NZ"/>
              </w:rPr>
            </w:pPr>
          </w:p>
        </w:tc>
        <w:tc>
          <w:tcPr>
            <w:tcW w:w="0" w:type="auto"/>
          </w:tcPr>
          <w:p w14:paraId="7387B7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A1C0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r w:rsidRPr="00BE00C7">
              <w:rPr>
                <w:rFonts w:cs="Arial"/>
                <w:lang w:eastAsia="en-NZ"/>
              </w:rPr>
              <w:lastRenderedPageBreak/>
              <w:t>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portfolio.</w:t>
            </w:r>
          </w:p>
          <w:p w14:paraId="3050C70D"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nine staff records reviewed, including the CSM, two registered nurses, two caregivers, the diversional therapist and kitchen and laundry staff, evidenced implementation of the recruitment process, employment contracts, reference checking, police vetting, and completed induction and orientation. Staff performance is reviewed and discussed at regular intervals; this was confirmed through documentation sighted and interviews with staff.</w:t>
            </w:r>
          </w:p>
          <w:p w14:paraId="25F116E4"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registered nurses and associated health contractors; this included three general practitioners, two physiotherapists, a podiatrist, four pharmacists, and a dietitian.</w:t>
            </w:r>
          </w:p>
          <w:p w14:paraId="2D07E226"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w:t>
            </w:r>
          </w:p>
          <w:p w14:paraId="227BA3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used in line with the Health Information Standards Organisation (HISO) requirements and accessible only to those authorised to use it.</w:t>
            </w:r>
          </w:p>
          <w:p w14:paraId="7C4C5F96" w14:textId="77777777" w:rsidR="00000000" w:rsidRPr="00BE00C7" w:rsidRDefault="00000000" w:rsidP="00BE00C7">
            <w:pPr>
              <w:pStyle w:val="OutcomeDescription"/>
              <w:spacing w:before="120" w:after="120"/>
              <w:rPr>
                <w:rFonts w:cs="Arial"/>
                <w:lang w:eastAsia="en-NZ"/>
              </w:rPr>
            </w:pPr>
          </w:p>
        </w:tc>
      </w:tr>
      <w:tr w:rsidR="001E6D23" w14:paraId="3F4E8735" w14:textId="77777777">
        <w:tc>
          <w:tcPr>
            <w:tcW w:w="0" w:type="auto"/>
          </w:tcPr>
          <w:p w14:paraId="13242B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D9E5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DFC4BB0" w14:textId="77777777" w:rsidR="00000000" w:rsidRPr="00BE00C7" w:rsidRDefault="00000000" w:rsidP="00BE00C7">
            <w:pPr>
              <w:pStyle w:val="OutcomeDescription"/>
              <w:spacing w:before="120" w:after="120"/>
              <w:rPr>
                <w:rFonts w:cs="Arial"/>
                <w:lang w:eastAsia="en-NZ"/>
              </w:rPr>
            </w:pPr>
          </w:p>
        </w:tc>
        <w:tc>
          <w:tcPr>
            <w:tcW w:w="0" w:type="auto"/>
          </w:tcPr>
          <w:p w14:paraId="02F0A2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8EB46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was accessible for all those who needed it.</w:t>
            </w:r>
          </w:p>
          <w:p w14:paraId="51AB536B"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4A6FD516" w14:textId="60C2E18D" w:rsidR="00000000" w:rsidRPr="00BE00C7" w:rsidRDefault="00000000" w:rsidP="00BE00C7">
            <w:pPr>
              <w:pStyle w:val="OutcomeDescription"/>
              <w:spacing w:before="120" w:after="120"/>
              <w:rPr>
                <w:rFonts w:cs="Arial"/>
                <w:lang w:eastAsia="en-NZ"/>
              </w:rPr>
            </w:pPr>
            <w:r w:rsidRPr="00BE00C7">
              <w:rPr>
                <w:rFonts w:cs="Arial"/>
                <w:lang w:eastAsia="en-NZ"/>
              </w:rPr>
              <w:t>George Manning Lifecare is not responsible for National Health Index registration of people receiving services.</w:t>
            </w:r>
          </w:p>
        </w:tc>
      </w:tr>
      <w:tr w:rsidR="001E6D23" w14:paraId="0B1CE3F7" w14:textId="77777777">
        <w:tc>
          <w:tcPr>
            <w:tcW w:w="0" w:type="auto"/>
          </w:tcPr>
          <w:p w14:paraId="42A5CA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D52BC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A18D6C7" w14:textId="77777777" w:rsidR="00000000" w:rsidRPr="00BE00C7" w:rsidRDefault="00000000" w:rsidP="00BE00C7">
            <w:pPr>
              <w:pStyle w:val="OutcomeDescription"/>
              <w:spacing w:before="120" w:after="120"/>
              <w:rPr>
                <w:rFonts w:cs="Arial"/>
                <w:lang w:eastAsia="en-NZ"/>
              </w:rPr>
            </w:pPr>
          </w:p>
        </w:tc>
        <w:tc>
          <w:tcPr>
            <w:tcW w:w="0" w:type="auto"/>
          </w:tcPr>
          <w:p w14:paraId="45F44A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DB629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w:t>
            </w:r>
          </w:p>
          <w:p w14:paraId="46626DB6"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w:t>
            </w:r>
          </w:p>
          <w:p w14:paraId="4917A8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2BAF9CBE" w14:textId="77777777" w:rsidR="00000000" w:rsidRPr="00BE00C7" w:rsidRDefault="00000000" w:rsidP="00BE00C7">
            <w:pPr>
              <w:pStyle w:val="OutcomeDescription"/>
              <w:spacing w:before="120" w:after="120"/>
              <w:rPr>
                <w:rFonts w:cs="Arial"/>
                <w:lang w:eastAsia="en-NZ"/>
              </w:rPr>
            </w:pPr>
          </w:p>
        </w:tc>
      </w:tr>
      <w:tr w:rsidR="001E6D23" w14:paraId="695613CA" w14:textId="77777777">
        <w:tc>
          <w:tcPr>
            <w:tcW w:w="0" w:type="auto"/>
          </w:tcPr>
          <w:p w14:paraId="6E6244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AE652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FD6547" w14:textId="77777777" w:rsidR="00000000" w:rsidRPr="00BE00C7" w:rsidRDefault="00000000" w:rsidP="00BE00C7">
            <w:pPr>
              <w:pStyle w:val="OutcomeDescription"/>
              <w:spacing w:before="120" w:after="120"/>
              <w:rPr>
                <w:rFonts w:cs="Arial"/>
                <w:lang w:eastAsia="en-NZ"/>
              </w:rPr>
            </w:pPr>
          </w:p>
        </w:tc>
        <w:tc>
          <w:tcPr>
            <w:tcW w:w="0" w:type="auto"/>
          </w:tcPr>
          <w:p w14:paraId="142306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B933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George Manning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w:t>
            </w:r>
          </w:p>
          <w:p w14:paraId="420BB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files were reviewed and included residents with extremely complex needs,  residents with a pressure injury, residents who identified as Māori, residents receiving respite care, residents receiving care under a Whaikaha contract (young people with a disability), residents receiving care under a palliative care contract, residents who had an unwitnessed fall, residents who smoked, residents with swallowing difficulties, and residents with a number of co-morbidities. </w:t>
            </w:r>
          </w:p>
          <w:p w14:paraId="5576B4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of residents’ needs was based on a range of clinical assessments and includes resident and whānau input (as applicable). Timeframes for the initial assessment, medical practitioner assessment, initial care plan, long-term care plan and review </w:t>
            </w:r>
            <w:r w:rsidRPr="00BE00C7">
              <w:rPr>
                <w:rFonts w:cs="Arial"/>
                <w:lang w:eastAsia="en-NZ"/>
              </w:rPr>
              <w:lastRenderedPageBreak/>
              <w:t>timeframes meet contractual requirements. Staff understood and supported Māori and whānau to identify their own pae ora outcomes in their care plan. Care plans reviewed identified that all aspects of residents’ needs were addressed.  Residents who had an unwitnessed fall were assessed by a RN and a neurological assessment was undertaken within the required timeframes. Residents who smoked had a risk assessment undertaken and strategies documented in accordance with the identified risks. Residents with complex needs had clear management strategies to guide staff to ensure the required interventions were provided. Competencies were sighted to ensure staff were competent to perform the complex tasks required by staff at George Manning. Younger residents were assisted to optimise their independence in accordance with their wishes. This was verified by residents’ and staff records and interviews.</w:t>
            </w:r>
          </w:p>
          <w:p w14:paraId="45E5480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080A4749"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Examples of choices and control over service delivery were discussed with staff/tāngata whaikaha/whānau. Tāngata whaikaha/whānau can independently access information.</w:t>
            </w:r>
          </w:p>
          <w:p w14:paraId="20D36854" w14:textId="77777777" w:rsidR="00000000" w:rsidRPr="00BE00C7" w:rsidRDefault="00000000" w:rsidP="007C6E90">
            <w:pPr>
              <w:pStyle w:val="OutcomeDescription"/>
              <w:spacing w:before="120" w:after="120"/>
              <w:rPr>
                <w:rFonts w:cs="Arial"/>
                <w:lang w:eastAsia="en-NZ"/>
              </w:rPr>
            </w:pPr>
          </w:p>
        </w:tc>
      </w:tr>
      <w:tr w:rsidR="001E6D23" w14:paraId="6D71B983" w14:textId="77777777">
        <w:tc>
          <w:tcPr>
            <w:tcW w:w="0" w:type="auto"/>
          </w:tcPr>
          <w:p w14:paraId="26420B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ECD20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6B8A6E" w14:textId="77777777" w:rsidR="00000000" w:rsidRPr="00BE00C7" w:rsidRDefault="00000000" w:rsidP="00BE00C7">
            <w:pPr>
              <w:pStyle w:val="OutcomeDescription"/>
              <w:spacing w:before="120" w:after="120"/>
              <w:rPr>
                <w:rFonts w:cs="Arial"/>
                <w:lang w:eastAsia="en-NZ"/>
              </w:rPr>
            </w:pPr>
          </w:p>
        </w:tc>
        <w:tc>
          <w:tcPr>
            <w:tcW w:w="0" w:type="auto"/>
          </w:tcPr>
          <w:p w14:paraId="6EAA61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7B6A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George Manning is provided by a diversional therapist and an activities assistant, five days a week. The programme supports residents to maintain and develop their interests and was suitable for their age and stage of life.</w:t>
            </w:r>
          </w:p>
          <w:p w14:paraId="2EC12D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facilitated. Van outings occur twice a </w:t>
            </w:r>
            <w:r w:rsidRPr="00BE00C7">
              <w:rPr>
                <w:rFonts w:cs="Arial"/>
                <w:lang w:eastAsia="en-NZ"/>
              </w:rPr>
              <w:lastRenderedPageBreak/>
              <w:t xml:space="preserve">week, and a recent trip to Hamner Springs for the day was well received by a number of residents spoken to. </w:t>
            </w:r>
          </w:p>
          <w:p w14:paraId="440AFF23"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meeting minutes, one-to-one feedback and the resident satisfaction surveys. Meeting minutes, surveys and those residents interviewed confirmed they find the programme met their needs; however, observations, especially of activities in the morning, noted minimal attendance. This was also commented on in an interview with a resident’s whānau. The attendance numbers have been noted by the new care home manager, and a plan is in place to review the programme on offer.</w:t>
            </w:r>
          </w:p>
          <w:p w14:paraId="74EAC418" w14:textId="77777777" w:rsidR="00000000" w:rsidRPr="00BE00C7" w:rsidRDefault="00000000" w:rsidP="00BE00C7">
            <w:pPr>
              <w:pStyle w:val="OutcomeDescription"/>
              <w:spacing w:before="120" w:after="120"/>
              <w:rPr>
                <w:rFonts w:cs="Arial"/>
                <w:lang w:eastAsia="en-NZ"/>
              </w:rPr>
            </w:pPr>
          </w:p>
        </w:tc>
      </w:tr>
      <w:tr w:rsidR="001E6D23" w14:paraId="2CC0390B" w14:textId="77777777">
        <w:tc>
          <w:tcPr>
            <w:tcW w:w="0" w:type="auto"/>
          </w:tcPr>
          <w:p w14:paraId="3EE6CC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74F8C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D05791" w14:textId="77777777" w:rsidR="00000000" w:rsidRPr="00BE00C7" w:rsidRDefault="00000000" w:rsidP="00BE00C7">
            <w:pPr>
              <w:pStyle w:val="OutcomeDescription"/>
              <w:spacing w:before="120" w:after="120"/>
              <w:rPr>
                <w:rFonts w:cs="Arial"/>
                <w:lang w:eastAsia="en-NZ"/>
              </w:rPr>
            </w:pPr>
          </w:p>
        </w:tc>
        <w:tc>
          <w:tcPr>
            <w:tcW w:w="0" w:type="auto"/>
          </w:tcPr>
          <w:p w14:paraId="30BC14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729A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Care/current best practice. A safe system for medicine management (using an electronic system) was observed on the days of audit. All staff who administer medicines were competent to perform the function they manage.</w:t>
            </w:r>
          </w:p>
          <w:p w14:paraId="59AE51A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 Eyedrops and inhalers were dated when use was commenced.</w:t>
            </w:r>
          </w:p>
          <w:p w14:paraId="0F7F98E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2D1903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are not used. </w:t>
            </w:r>
          </w:p>
          <w:p w14:paraId="33B37FF4"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w:t>
            </w:r>
          </w:p>
          <w:p w14:paraId="08407B20" w14:textId="77777777" w:rsidR="00000000" w:rsidRPr="00BE00C7" w:rsidRDefault="00000000" w:rsidP="00BE00C7">
            <w:pPr>
              <w:pStyle w:val="OutcomeDescription"/>
              <w:spacing w:before="120" w:after="120"/>
              <w:rPr>
                <w:rFonts w:cs="Arial"/>
                <w:lang w:eastAsia="en-NZ"/>
              </w:rPr>
            </w:pPr>
          </w:p>
        </w:tc>
      </w:tr>
      <w:tr w:rsidR="001E6D23" w14:paraId="3C57E74E" w14:textId="77777777">
        <w:tc>
          <w:tcPr>
            <w:tcW w:w="0" w:type="auto"/>
          </w:tcPr>
          <w:p w14:paraId="65591A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65055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2E62FB6" w14:textId="77777777" w:rsidR="00000000" w:rsidRPr="00BE00C7" w:rsidRDefault="00000000" w:rsidP="00BE00C7">
            <w:pPr>
              <w:pStyle w:val="OutcomeDescription"/>
              <w:spacing w:before="120" w:after="120"/>
              <w:rPr>
                <w:rFonts w:cs="Arial"/>
                <w:lang w:eastAsia="en-NZ"/>
              </w:rPr>
            </w:pPr>
          </w:p>
        </w:tc>
        <w:tc>
          <w:tcPr>
            <w:tcW w:w="0" w:type="auto"/>
          </w:tcPr>
          <w:p w14:paraId="03C13B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FE3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present summer menu was implemented by the organisation’s contracted dietitian in November 2024.</w:t>
            </w:r>
          </w:p>
          <w:p w14:paraId="0D671F3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A verification audit of the food control plan was undertaken in February 2024. Three areas were identified as requiring corrective action. These were addressed and signed off. The food control plan was verified for 18 months. The next audit is due in August 2025.</w:t>
            </w:r>
          </w:p>
          <w:p w14:paraId="48250434"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were accommodated in the daily meal plan. Māori and their whānau have menu options that are culturally specific to te ao Māori.</w:t>
            </w:r>
          </w:p>
          <w:p w14:paraId="4F1F1176"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75EDBC26" w14:textId="77777777" w:rsidR="00000000" w:rsidRPr="00BE00C7" w:rsidRDefault="00000000" w:rsidP="00BE00C7">
            <w:pPr>
              <w:pStyle w:val="OutcomeDescription"/>
              <w:spacing w:before="120" w:after="120"/>
              <w:rPr>
                <w:rFonts w:cs="Arial"/>
                <w:lang w:eastAsia="en-NZ"/>
              </w:rPr>
            </w:pPr>
          </w:p>
        </w:tc>
      </w:tr>
      <w:tr w:rsidR="001E6D23" w14:paraId="6FFCF5DE" w14:textId="77777777">
        <w:tc>
          <w:tcPr>
            <w:tcW w:w="0" w:type="auto"/>
          </w:tcPr>
          <w:p w14:paraId="13516B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59921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EA9D433" w14:textId="77777777" w:rsidR="00000000" w:rsidRPr="00BE00C7" w:rsidRDefault="00000000" w:rsidP="00BE00C7">
            <w:pPr>
              <w:pStyle w:val="OutcomeDescription"/>
              <w:spacing w:before="120" w:after="120"/>
              <w:rPr>
                <w:rFonts w:cs="Arial"/>
                <w:lang w:eastAsia="en-NZ"/>
              </w:rPr>
            </w:pPr>
          </w:p>
        </w:tc>
        <w:tc>
          <w:tcPr>
            <w:tcW w:w="0" w:type="auto"/>
          </w:tcPr>
          <w:p w14:paraId="643E93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E6434"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George Manning is planned and managed safely, with coordination between services and in collaboration with the resident and whānau. Risks and current support needs are identified and managed. Options to access other health and disability services and social/cultural supports were discussed, where appropriate. Whānau reported being kept well informed during the transfer of their relative.</w:t>
            </w:r>
          </w:p>
          <w:p w14:paraId="704707A3" w14:textId="77777777" w:rsidR="00000000" w:rsidRPr="00BE00C7" w:rsidRDefault="00000000" w:rsidP="00BE00C7">
            <w:pPr>
              <w:pStyle w:val="OutcomeDescription"/>
              <w:spacing w:before="120" w:after="120"/>
              <w:rPr>
                <w:rFonts w:cs="Arial"/>
                <w:lang w:eastAsia="en-NZ"/>
              </w:rPr>
            </w:pPr>
          </w:p>
        </w:tc>
      </w:tr>
      <w:tr w:rsidR="001E6D23" w14:paraId="77FBD482" w14:textId="77777777">
        <w:tc>
          <w:tcPr>
            <w:tcW w:w="0" w:type="auto"/>
          </w:tcPr>
          <w:p w14:paraId="567137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05867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A89508E" w14:textId="77777777" w:rsidR="00000000" w:rsidRPr="00BE00C7" w:rsidRDefault="00000000" w:rsidP="00BE00C7">
            <w:pPr>
              <w:pStyle w:val="OutcomeDescription"/>
              <w:spacing w:before="120" w:after="120"/>
              <w:rPr>
                <w:rFonts w:cs="Arial"/>
                <w:lang w:eastAsia="en-NZ"/>
              </w:rPr>
            </w:pPr>
          </w:p>
        </w:tc>
        <w:tc>
          <w:tcPr>
            <w:tcW w:w="0" w:type="auto"/>
          </w:tcPr>
          <w:p w14:paraId="30E44A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0EC8D1"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A planned maintenance schedule included electrical testing and tagging, resident equipment checks, and checking and calibration of clinical equipment. Monthly hot water tests were completed for resident areas, and these were sighted. Records evidenced that, when outside normal limits, corrective actions had been taken and temperatures were now within the recommended range.</w:t>
            </w:r>
          </w:p>
          <w:p w14:paraId="6F3ACF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which expires on 21 January 2025. There were currently no plans for further building projects requiring consultation, but Heritage Lifecare directors were aware of the requirement to consult with Māori if this was envisaged.</w:t>
            </w:r>
          </w:p>
          <w:p w14:paraId="3E3F9E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 the needs of the resident groups. Lounge and dining facilities meet the needs of residents, and these are also used for activities. All resident rooms have an ensuite bathroom and toilet and facilities are available for staff and visitors. All rooms, bathrooms and common areas have appropriately situated call bells. There are external areas within the facility for leisure activities with appropriate seating and shade.</w:t>
            </w:r>
          </w:p>
          <w:p w14:paraId="29BE2F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are spacious and allow room for the use of mobility aids and moving and handling equipment if required. Rooms were personalised according to the resident’s preference. All rooms have a window allowing for natural light, with safety catches for security. Electric heating is provided in the facility, which can be adjusted depending on seasonality and outside temperature.</w:t>
            </w:r>
          </w:p>
          <w:p w14:paraId="003793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6F219FC9" w14:textId="77777777" w:rsidR="00000000" w:rsidRPr="00BE00C7" w:rsidRDefault="00000000" w:rsidP="00BE00C7">
            <w:pPr>
              <w:pStyle w:val="OutcomeDescription"/>
              <w:spacing w:before="120" w:after="120"/>
              <w:rPr>
                <w:rFonts w:cs="Arial"/>
                <w:lang w:eastAsia="en-NZ"/>
              </w:rPr>
            </w:pPr>
          </w:p>
        </w:tc>
      </w:tr>
      <w:tr w:rsidR="001E6D23" w14:paraId="5D0FD990" w14:textId="77777777">
        <w:tc>
          <w:tcPr>
            <w:tcW w:w="0" w:type="auto"/>
          </w:tcPr>
          <w:p w14:paraId="13147C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3F675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115247C" w14:textId="77777777" w:rsidR="00000000" w:rsidRPr="00BE00C7" w:rsidRDefault="00000000" w:rsidP="00BE00C7">
            <w:pPr>
              <w:pStyle w:val="OutcomeDescription"/>
              <w:spacing w:before="120" w:after="120"/>
              <w:rPr>
                <w:rFonts w:cs="Arial"/>
                <w:lang w:eastAsia="en-NZ"/>
              </w:rPr>
            </w:pPr>
          </w:p>
        </w:tc>
        <w:tc>
          <w:tcPr>
            <w:tcW w:w="0" w:type="auto"/>
          </w:tcPr>
          <w:p w14:paraId="53258A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4043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w:t>
            </w:r>
          </w:p>
          <w:p w14:paraId="5657F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has been approved by Fire and Emergency New Zealand (FENZ) and the requirements of this are reflected in the Fire and Emergency Management Scheme. A fire evacuation drill is held six-monthly; the most recent drill was on 5 December 2024. Adequate supplies for use in the event of a civil defence emergency meet The National Emergency Management Agency recommendations for the region. Emergency lighting is available throughout the facility, gas cooking facilities are available if there is no power, and planning included instructions on the use of battery backup to operate emergency medical equipment.</w:t>
            </w:r>
          </w:p>
          <w:p w14:paraId="07F1809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some caregivers have current first aid certification. Staff were able to provide a level of first aid relevant to the risks for the type of service provided. There is a first aid certified staff member on duty 24/7 and the activity staff who take residents on outings outside the facility have first aid certification.</w:t>
            </w:r>
          </w:p>
          <w:p w14:paraId="56DF9EDC"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a quality improvement was undertaken to improve staff response times. Electronic records reviewed showed that an improvement had been made and residents and whānau interviewed reported staff respond promptly to call bells.</w:t>
            </w:r>
          </w:p>
          <w:p w14:paraId="5BDE54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All staff were noted to be wearing uniforms and name badges during the audit. </w:t>
            </w:r>
          </w:p>
          <w:p w14:paraId="7B6F131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familiarised with emergency and security arrangements, as and when required.</w:t>
            </w:r>
          </w:p>
          <w:p w14:paraId="6F3B9D56" w14:textId="77777777" w:rsidR="00000000" w:rsidRPr="00BE00C7" w:rsidRDefault="00000000" w:rsidP="00BE00C7">
            <w:pPr>
              <w:pStyle w:val="OutcomeDescription"/>
              <w:spacing w:before="120" w:after="120"/>
              <w:rPr>
                <w:rFonts w:cs="Arial"/>
                <w:lang w:eastAsia="en-NZ"/>
              </w:rPr>
            </w:pPr>
          </w:p>
        </w:tc>
      </w:tr>
      <w:tr w:rsidR="001E6D23" w14:paraId="3EE2BCC4" w14:textId="77777777">
        <w:tc>
          <w:tcPr>
            <w:tcW w:w="0" w:type="auto"/>
          </w:tcPr>
          <w:p w14:paraId="441A43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EA5FF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lastRenderedPageBreak/>
              <w:t>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15360A0" w14:textId="77777777" w:rsidR="00000000" w:rsidRPr="00BE00C7" w:rsidRDefault="00000000" w:rsidP="00BE00C7">
            <w:pPr>
              <w:pStyle w:val="OutcomeDescription"/>
              <w:spacing w:before="120" w:after="120"/>
              <w:rPr>
                <w:rFonts w:cs="Arial"/>
                <w:lang w:eastAsia="en-NZ"/>
              </w:rPr>
            </w:pPr>
          </w:p>
        </w:tc>
        <w:tc>
          <w:tcPr>
            <w:tcW w:w="0" w:type="auto"/>
          </w:tcPr>
          <w:p w14:paraId="76AE84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308D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w:t>
            </w:r>
            <w:r w:rsidRPr="00BE00C7">
              <w:rPr>
                <w:rFonts w:cs="Arial"/>
                <w:lang w:eastAsia="en-NZ"/>
              </w:rPr>
              <w:lastRenderedPageBreak/>
              <w:t xml:space="preserve">have been approved by the governing body, link to the quality improvement system and are reviewed and reported on yearly. </w:t>
            </w:r>
          </w:p>
          <w:p w14:paraId="01B0E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Clinical specialists can access IP and AMS expertise through Te Whatu Ora – Health New Zealand Waitaha Canterbury. </w:t>
            </w:r>
          </w:p>
          <w:p w14:paraId="7A99D43E"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pathway supports risk-based reporting of progress, issues and significant events to the governing body.</w:t>
            </w:r>
          </w:p>
          <w:p w14:paraId="7A703D0B" w14:textId="77777777" w:rsidR="00000000" w:rsidRPr="00BE00C7" w:rsidRDefault="00000000" w:rsidP="00BE00C7">
            <w:pPr>
              <w:pStyle w:val="OutcomeDescription"/>
              <w:spacing w:before="120" w:after="120"/>
              <w:rPr>
                <w:rFonts w:cs="Arial"/>
                <w:lang w:eastAsia="en-NZ"/>
              </w:rPr>
            </w:pPr>
          </w:p>
        </w:tc>
      </w:tr>
      <w:tr w:rsidR="001E6D23" w14:paraId="0C72F38E" w14:textId="77777777">
        <w:tc>
          <w:tcPr>
            <w:tcW w:w="0" w:type="auto"/>
          </w:tcPr>
          <w:p w14:paraId="1B7089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74801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075779C" w14:textId="77777777" w:rsidR="00000000" w:rsidRPr="00BE00C7" w:rsidRDefault="00000000" w:rsidP="00BE00C7">
            <w:pPr>
              <w:pStyle w:val="OutcomeDescription"/>
              <w:spacing w:before="120" w:after="120"/>
              <w:rPr>
                <w:rFonts w:cs="Arial"/>
                <w:lang w:eastAsia="en-NZ"/>
              </w:rPr>
            </w:pPr>
          </w:p>
        </w:tc>
        <w:tc>
          <w:tcPr>
            <w:tcW w:w="0" w:type="auto"/>
          </w:tcPr>
          <w:p w14:paraId="257A57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85C7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nurse at George Manning (IPCN) is responsible for overseeing and implementing the IP programme, with reporting lines to the clinical services manager (CSM).  The IPCN has appropriate skills, knowledge and qualifications for the role and confirmed access to the necessary resources and support. Their advice and the advice of the committee has been sought when making decisions around procurement relevant to care delivery, design of any new building or facility changes, and policies.</w:t>
            </w:r>
          </w:p>
          <w:p w14:paraId="644751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w:t>
            </w:r>
          </w:p>
          <w:p w14:paraId="1F007EA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were available in te reo Māori.</w:t>
            </w:r>
          </w:p>
          <w:p w14:paraId="7107F627"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during an outbreak in 2024. There are sufficient resources and personal protective equipment (PPE) available, and staff have been trained accordingly.</w:t>
            </w:r>
          </w:p>
          <w:p w14:paraId="597B3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equipment, and there was evidence of these </w:t>
            </w:r>
            <w:r w:rsidRPr="00BE00C7">
              <w:rPr>
                <w:rFonts w:cs="Arial"/>
                <w:lang w:eastAsia="en-NZ"/>
              </w:rPr>
              <w:lastRenderedPageBreak/>
              <w:t>being appropriately decontaminated and reprocessed. The process is audited to maintain good practice. Single-use items are not reused.</w:t>
            </w:r>
          </w:p>
          <w:p w14:paraId="6623F4CB" w14:textId="77777777" w:rsidR="00000000" w:rsidRPr="00BE00C7" w:rsidRDefault="00000000" w:rsidP="00BE00C7">
            <w:pPr>
              <w:pStyle w:val="OutcomeDescription"/>
              <w:spacing w:before="120" w:after="120"/>
              <w:rPr>
                <w:rFonts w:cs="Arial"/>
                <w:lang w:eastAsia="en-NZ"/>
              </w:rPr>
            </w:pPr>
          </w:p>
        </w:tc>
      </w:tr>
      <w:tr w:rsidR="001E6D23" w14:paraId="28E3C7B0" w14:textId="77777777">
        <w:tc>
          <w:tcPr>
            <w:tcW w:w="0" w:type="auto"/>
          </w:tcPr>
          <w:p w14:paraId="30F63F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200B5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30A680" w14:textId="77777777" w:rsidR="00000000" w:rsidRPr="00BE00C7" w:rsidRDefault="00000000" w:rsidP="00BE00C7">
            <w:pPr>
              <w:pStyle w:val="OutcomeDescription"/>
              <w:spacing w:before="120" w:after="120"/>
              <w:rPr>
                <w:rFonts w:cs="Arial"/>
                <w:lang w:eastAsia="en-NZ"/>
              </w:rPr>
            </w:pPr>
          </w:p>
        </w:tc>
        <w:tc>
          <w:tcPr>
            <w:tcW w:w="0" w:type="auto"/>
          </w:tcPr>
          <w:p w14:paraId="057040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5FFF4D"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w:t>
            </w:r>
          </w:p>
          <w:p w14:paraId="03D1F655" w14:textId="77777777" w:rsidR="00000000" w:rsidRPr="00BE00C7" w:rsidRDefault="00000000" w:rsidP="00BE00C7">
            <w:pPr>
              <w:pStyle w:val="OutcomeDescription"/>
              <w:spacing w:before="120" w:after="120"/>
              <w:rPr>
                <w:rFonts w:cs="Arial"/>
                <w:lang w:eastAsia="en-NZ"/>
              </w:rPr>
            </w:pPr>
          </w:p>
        </w:tc>
      </w:tr>
      <w:tr w:rsidR="001E6D23" w14:paraId="25C36FA6" w14:textId="77777777">
        <w:tc>
          <w:tcPr>
            <w:tcW w:w="0" w:type="auto"/>
          </w:tcPr>
          <w:p w14:paraId="457076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674F1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507955" w14:textId="77777777" w:rsidR="00000000" w:rsidRPr="00BE00C7" w:rsidRDefault="00000000" w:rsidP="00BE00C7">
            <w:pPr>
              <w:pStyle w:val="OutcomeDescription"/>
              <w:spacing w:before="120" w:after="120"/>
              <w:rPr>
                <w:rFonts w:cs="Arial"/>
                <w:lang w:eastAsia="en-NZ"/>
              </w:rPr>
            </w:pPr>
          </w:p>
        </w:tc>
        <w:tc>
          <w:tcPr>
            <w:tcW w:w="0" w:type="auto"/>
          </w:tcPr>
          <w:p w14:paraId="5D4B84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199094"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was collated and analysed to identify any trends, possible causative factors and required actions. Results of the surveillance programme are shared with staff and the governing body. A summary report for a recent infection outbreak was reviewed, and it demonstrated a thorough process for investigation and follow-up. Learnings from the event have now been incorporated into practice.</w:t>
            </w:r>
          </w:p>
          <w:p w14:paraId="30CC5163"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295B11B7" w14:textId="77777777" w:rsidR="00000000" w:rsidRPr="00BE00C7" w:rsidRDefault="00000000" w:rsidP="00BE00C7">
            <w:pPr>
              <w:pStyle w:val="OutcomeDescription"/>
              <w:spacing w:before="120" w:after="120"/>
              <w:rPr>
                <w:rFonts w:cs="Arial"/>
                <w:lang w:eastAsia="en-NZ"/>
              </w:rPr>
            </w:pPr>
          </w:p>
        </w:tc>
      </w:tr>
      <w:tr w:rsidR="001E6D23" w14:paraId="01FA306D" w14:textId="77777777">
        <w:tc>
          <w:tcPr>
            <w:tcW w:w="0" w:type="auto"/>
          </w:tcPr>
          <w:p w14:paraId="559F08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1215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8113245" w14:textId="77777777" w:rsidR="00000000" w:rsidRPr="00BE00C7" w:rsidRDefault="00000000" w:rsidP="00BE00C7">
            <w:pPr>
              <w:pStyle w:val="OutcomeDescription"/>
              <w:spacing w:before="120" w:after="120"/>
              <w:rPr>
                <w:rFonts w:cs="Arial"/>
                <w:lang w:eastAsia="en-NZ"/>
              </w:rPr>
            </w:pPr>
          </w:p>
        </w:tc>
        <w:tc>
          <w:tcPr>
            <w:tcW w:w="0" w:type="auto"/>
          </w:tcPr>
          <w:p w14:paraId="16C239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272181"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5C3D23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An interview with cleaning and laundry staff verified processes were in place to ensure methods, treatments and frequency of processes were maintained.  Laundry and cleaning processes were observed and discussed; they  </w:t>
            </w:r>
            <w:r w:rsidRPr="00BE00C7">
              <w:rPr>
                <w:rFonts w:cs="Arial"/>
                <w:lang w:eastAsia="en-NZ"/>
              </w:rPr>
              <w:lastRenderedPageBreak/>
              <w:t>are monitored for effectiveness. Infection prevention personnel have oversight of the environmental testing and monitoring programme. Staff involved have completed relevant training and were observed to perform duties safely. Chemicals were stored safely.</w:t>
            </w:r>
          </w:p>
          <w:p w14:paraId="308ED7E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was kept clean and tidy. This was confirmed through observations.</w:t>
            </w:r>
          </w:p>
          <w:p w14:paraId="72FD7EE6" w14:textId="77777777" w:rsidR="00000000" w:rsidRPr="00BE00C7" w:rsidRDefault="00000000" w:rsidP="00BE00C7">
            <w:pPr>
              <w:pStyle w:val="OutcomeDescription"/>
              <w:spacing w:before="120" w:after="120"/>
              <w:rPr>
                <w:rFonts w:cs="Arial"/>
                <w:lang w:eastAsia="en-NZ"/>
              </w:rPr>
            </w:pPr>
          </w:p>
        </w:tc>
      </w:tr>
      <w:tr w:rsidR="001E6D23" w14:paraId="0C18E9D6" w14:textId="77777777">
        <w:tc>
          <w:tcPr>
            <w:tcW w:w="0" w:type="auto"/>
          </w:tcPr>
          <w:p w14:paraId="762064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3B283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26CBD45" w14:textId="77777777" w:rsidR="00000000" w:rsidRPr="00BE00C7" w:rsidRDefault="00000000" w:rsidP="00BE00C7">
            <w:pPr>
              <w:pStyle w:val="OutcomeDescription"/>
              <w:spacing w:before="120" w:after="120"/>
              <w:rPr>
                <w:rFonts w:cs="Arial"/>
                <w:lang w:eastAsia="en-NZ"/>
              </w:rPr>
            </w:pPr>
          </w:p>
        </w:tc>
        <w:tc>
          <w:tcPr>
            <w:tcW w:w="0" w:type="auto"/>
          </w:tcPr>
          <w:p w14:paraId="20A5B0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7B51F5"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is committed to eliminating restraint across all its facilities, and maintaining a restraint-free environment is the aim at George Manning Lifecare.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elimination is achieved.</w:t>
            </w:r>
          </w:p>
          <w:p w14:paraId="0903ED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reports to the senior leadership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regional clinical manager confirmed that this monthly reporting assists the executive management team to closely monitor the move towards a restraint-free environment for the whole HLL group, including George Manning Lifecare.</w:t>
            </w:r>
          </w:p>
          <w:p w14:paraId="76AA361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7AEAAB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group is responsible for the approval of the use of restraints and the restraint processes. There are clear lines of accountability, all restraints have been approved, and the overall use of </w:t>
            </w:r>
            <w:r w:rsidRPr="00BE00C7">
              <w:rPr>
                <w:rFonts w:cs="Arial"/>
                <w:lang w:eastAsia="en-NZ"/>
              </w:rPr>
              <w:lastRenderedPageBreak/>
              <w:t>restraint is being monitored and analysed. Whānau/EPOA are involved in decision-making.</w:t>
            </w:r>
          </w:p>
          <w:p w14:paraId="17D3C37A"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no residents using restraints, and restraint has not been used at George Manning Lifecare since 2022.</w:t>
            </w:r>
          </w:p>
          <w:p w14:paraId="31FEE155" w14:textId="77777777" w:rsidR="00000000" w:rsidRPr="00BE00C7" w:rsidRDefault="00000000" w:rsidP="00BE00C7">
            <w:pPr>
              <w:pStyle w:val="OutcomeDescription"/>
              <w:spacing w:before="120" w:after="120"/>
              <w:rPr>
                <w:rFonts w:cs="Arial"/>
                <w:lang w:eastAsia="en-NZ"/>
              </w:rPr>
            </w:pPr>
            <w:r w:rsidRPr="00BE00C7">
              <w:rPr>
                <w:rFonts w:cs="Arial"/>
                <w:lang w:eastAsia="en-NZ"/>
              </w:rPr>
              <w:t>As no restraint has been used since prior to the last audit, subsections 6.2 and 6.3 have not been audited.</w:t>
            </w:r>
          </w:p>
          <w:p w14:paraId="1A1754B2" w14:textId="77777777" w:rsidR="00000000" w:rsidRPr="00BE00C7" w:rsidRDefault="00000000" w:rsidP="00BE00C7">
            <w:pPr>
              <w:pStyle w:val="OutcomeDescription"/>
              <w:spacing w:before="120" w:after="120"/>
              <w:rPr>
                <w:rFonts w:cs="Arial"/>
                <w:lang w:eastAsia="en-NZ"/>
              </w:rPr>
            </w:pPr>
          </w:p>
        </w:tc>
      </w:tr>
    </w:tbl>
    <w:p w14:paraId="32CF80EC" w14:textId="77777777" w:rsidR="00000000" w:rsidRPr="00BE00C7" w:rsidRDefault="00000000" w:rsidP="00BE00C7">
      <w:pPr>
        <w:pStyle w:val="OutcomeDescription"/>
        <w:spacing w:before="120" w:after="120"/>
        <w:rPr>
          <w:rFonts w:cs="Arial"/>
          <w:lang w:eastAsia="en-NZ"/>
        </w:rPr>
      </w:pPr>
      <w:bookmarkStart w:id="55" w:name="AuditSummaryAttainment"/>
      <w:bookmarkEnd w:id="55"/>
    </w:p>
    <w:p w14:paraId="5D91B0D4" w14:textId="77777777" w:rsidR="00000000" w:rsidRDefault="00000000">
      <w:pPr>
        <w:pStyle w:val="Heading1"/>
        <w:rPr>
          <w:rFonts w:cs="Arial"/>
        </w:rPr>
      </w:pPr>
      <w:r>
        <w:rPr>
          <w:rFonts w:cs="Arial"/>
        </w:rPr>
        <w:lastRenderedPageBreak/>
        <w:t>Specific results for criterion where corrective actions are required</w:t>
      </w:r>
    </w:p>
    <w:p w14:paraId="39399FB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2B0FC2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C5773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E6D23" w14:paraId="250F1642" w14:textId="77777777">
        <w:tc>
          <w:tcPr>
            <w:tcW w:w="0" w:type="auto"/>
          </w:tcPr>
          <w:p w14:paraId="547B9BA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ED5AB7B" w14:textId="77777777" w:rsidR="00000000" w:rsidRPr="00BE00C7" w:rsidRDefault="00000000" w:rsidP="00BE00C7">
      <w:pPr>
        <w:pStyle w:val="OutcomeDescription"/>
        <w:spacing w:before="120" w:after="120"/>
        <w:rPr>
          <w:rFonts w:cs="Arial"/>
          <w:lang w:eastAsia="en-NZ"/>
        </w:rPr>
      </w:pPr>
      <w:bookmarkStart w:id="56" w:name="AuditSummaryCAMCriterion"/>
      <w:bookmarkEnd w:id="56"/>
    </w:p>
    <w:p w14:paraId="76206ECA" w14:textId="77777777" w:rsidR="00000000" w:rsidRDefault="00000000">
      <w:pPr>
        <w:pStyle w:val="Heading1"/>
        <w:rPr>
          <w:rFonts w:cs="Arial"/>
        </w:rPr>
      </w:pPr>
      <w:r>
        <w:rPr>
          <w:rFonts w:cs="Arial"/>
        </w:rPr>
        <w:lastRenderedPageBreak/>
        <w:t>Specific results for criterion where a continuous improvement has been recorded</w:t>
      </w:r>
    </w:p>
    <w:p w14:paraId="554724C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5BE28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0F34C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E6D23" w14:paraId="5A81DE2F" w14:textId="77777777">
        <w:tc>
          <w:tcPr>
            <w:tcW w:w="0" w:type="auto"/>
          </w:tcPr>
          <w:p w14:paraId="4F67C1C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35AAAF" w14:textId="77777777" w:rsidR="00000000" w:rsidRPr="00BE00C7" w:rsidRDefault="00000000" w:rsidP="00BE00C7">
      <w:pPr>
        <w:pStyle w:val="OutcomeDescription"/>
        <w:spacing w:before="120" w:after="120"/>
        <w:rPr>
          <w:rFonts w:cs="Arial"/>
          <w:lang w:eastAsia="en-NZ"/>
        </w:rPr>
      </w:pPr>
      <w:bookmarkStart w:id="57" w:name="AuditSummaryCAMImprovment"/>
      <w:bookmarkEnd w:id="57"/>
    </w:p>
    <w:p w14:paraId="7CE1CDD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4B27" w14:textId="77777777" w:rsidR="00B643FF" w:rsidRDefault="00B643FF">
      <w:r>
        <w:separator/>
      </w:r>
    </w:p>
  </w:endnote>
  <w:endnote w:type="continuationSeparator" w:id="0">
    <w:p w14:paraId="2CA1171D" w14:textId="77777777" w:rsidR="00B643FF" w:rsidRDefault="00B6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1D62" w14:textId="77777777" w:rsidR="00000000" w:rsidRDefault="00000000">
    <w:pPr>
      <w:pStyle w:val="Footer"/>
    </w:pPr>
  </w:p>
  <w:p w14:paraId="2FE51FB4" w14:textId="77777777" w:rsidR="00000000" w:rsidRDefault="00000000"/>
  <w:p w14:paraId="03FE13D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53B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Heritage Lifecare Limited - George Manning Lifecare</w:t>
    </w:r>
    <w:bookmarkEnd w:id="58"/>
    <w:r>
      <w:rPr>
        <w:rFonts w:cs="Arial"/>
        <w:sz w:val="16"/>
        <w:szCs w:val="20"/>
      </w:rPr>
      <w:tab/>
      <w:t xml:space="preserve">Date of Audit: </w:t>
    </w:r>
    <w:bookmarkStart w:id="59" w:name="AuditStartDate1"/>
    <w:r>
      <w:rPr>
        <w:rFonts w:cs="Arial"/>
        <w:sz w:val="16"/>
        <w:szCs w:val="20"/>
      </w:rPr>
      <w:t>10 December 2024</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98BC4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942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06C8" w14:textId="77777777" w:rsidR="00B643FF" w:rsidRDefault="00B643FF">
      <w:r>
        <w:separator/>
      </w:r>
    </w:p>
  </w:footnote>
  <w:footnote w:type="continuationSeparator" w:id="0">
    <w:p w14:paraId="251DB694" w14:textId="77777777" w:rsidR="00B643FF" w:rsidRDefault="00B6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3A7F" w14:textId="77777777" w:rsidR="00000000" w:rsidRDefault="00000000">
    <w:pPr>
      <w:pStyle w:val="Header"/>
    </w:pPr>
  </w:p>
  <w:p w14:paraId="5BF1E66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CFF5" w14:textId="77777777" w:rsidR="00000000" w:rsidRDefault="00000000">
    <w:pPr>
      <w:pStyle w:val="Header"/>
    </w:pPr>
  </w:p>
  <w:p w14:paraId="229B9AC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97A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D929552">
      <w:start w:val="1"/>
      <w:numFmt w:val="decimal"/>
      <w:lvlText w:val="%1."/>
      <w:lvlJc w:val="left"/>
      <w:pPr>
        <w:ind w:left="360" w:hanging="360"/>
      </w:pPr>
    </w:lvl>
    <w:lvl w:ilvl="1" w:tplc="D15A2892" w:tentative="1">
      <w:start w:val="1"/>
      <w:numFmt w:val="lowerLetter"/>
      <w:lvlText w:val="%2."/>
      <w:lvlJc w:val="left"/>
      <w:pPr>
        <w:ind w:left="1080" w:hanging="360"/>
      </w:pPr>
    </w:lvl>
    <w:lvl w:ilvl="2" w:tplc="D3D8B2A4" w:tentative="1">
      <w:start w:val="1"/>
      <w:numFmt w:val="lowerRoman"/>
      <w:lvlText w:val="%3."/>
      <w:lvlJc w:val="right"/>
      <w:pPr>
        <w:ind w:left="1800" w:hanging="180"/>
      </w:pPr>
    </w:lvl>
    <w:lvl w:ilvl="3" w:tplc="EFF08A38" w:tentative="1">
      <w:start w:val="1"/>
      <w:numFmt w:val="decimal"/>
      <w:lvlText w:val="%4."/>
      <w:lvlJc w:val="left"/>
      <w:pPr>
        <w:ind w:left="2520" w:hanging="360"/>
      </w:pPr>
    </w:lvl>
    <w:lvl w:ilvl="4" w:tplc="E6FAC7A2" w:tentative="1">
      <w:start w:val="1"/>
      <w:numFmt w:val="lowerLetter"/>
      <w:lvlText w:val="%5."/>
      <w:lvlJc w:val="left"/>
      <w:pPr>
        <w:ind w:left="3240" w:hanging="360"/>
      </w:pPr>
    </w:lvl>
    <w:lvl w:ilvl="5" w:tplc="44EA49CC" w:tentative="1">
      <w:start w:val="1"/>
      <w:numFmt w:val="lowerRoman"/>
      <w:lvlText w:val="%6."/>
      <w:lvlJc w:val="right"/>
      <w:pPr>
        <w:ind w:left="3960" w:hanging="180"/>
      </w:pPr>
    </w:lvl>
    <w:lvl w:ilvl="6" w:tplc="77382760" w:tentative="1">
      <w:start w:val="1"/>
      <w:numFmt w:val="decimal"/>
      <w:lvlText w:val="%7."/>
      <w:lvlJc w:val="left"/>
      <w:pPr>
        <w:ind w:left="4680" w:hanging="360"/>
      </w:pPr>
    </w:lvl>
    <w:lvl w:ilvl="7" w:tplc="04A68BF2" w:tentative="1">
      <w:start w:val="1"/>
      <w:numFmt w:val="lowerLetter"/>
      <w:lvlText w:val="%8."/>
      <w:lvlJc w:val="left"/>
      <w:pPr>
        <w:ind w:left="5400" w:hanging="360"/>
      </w:pPr>
    </w:lvl>
    <w:lvl w:ilvl="8" w:tplc="5BE6E2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1D02C2A">
      <w:start w:val="1"/>
      <w:numFmt w:val="bullet"/>
      <w:lvlText w:val=""/>
      <w:lvlJc w:val="left"/>
      <w:pPr>
        <w:ind w:left="720" w:hanging="360"/>
      </w:pPr>
      <w:rPr>
        <w:rFonts w:ascii="Symbol" w:hAnsi="Symbol" w:hint="default"/>
      </w:rPr>
    </w:lvl>
    <w:lvl w:ilvl="1" w:tplc="A6324408" w:tentative="1">
      <w:start w:val="1"/>
      <w:numFmt w:val="bullet"/>
      <w:lvlText w:val="o"/>
      <w:lvlJc w:val="left"/>
      <w:pPr>
        <w:ind w:left="1440" w:hanging="360"/>
      </w:pPr>
      <w:rPr>
        <w:rFonts w:ascii="Courier New" w:hAnsi="Courier New" w:cs="Courier New" w:hint="default"/>
      </w:rPr>
    </w:lvl>
    <w:lvl w:ilvl="2" w:tplc="384E9A20" w:tentative="1">
      <w:start w:val="1"/>
      <w:numFmt w:val="bullet"/>
      <w:lvlText w:val=""/>
      <w:lvlJc w:val="left"/>
      <w:pPr>
        <w:ind w:left="2160" w:hanging="360"/>
      </w:pPr>
      <w:rPr>
        <w:rFonts w:ascii="Wingdings" w:hAnsi="Wingdings" w:hint="default"/>
      </w:rPr>
    </w:lvl>
    <w:lvl w:ilvl="3" w:tplc="27542180" w:tentative="1">
      <w:start w:val="1"/>
      <w:numFmt w:val="bullet"/>
      <w:lvlText w:val=""/>
      <w:lvlJc w:val="left"/>
      <w:pPr>
        <w:ind w:left="2880" w:hanging="360"/>
      </w:pPr>
      <w:rPr>
        <w:rFonts w:ascii="Symbol" w:hAnsi="Symbol" w:hint="default"/>
      </w:rPr>
    </w:lvl>
    <w:lvl w:ilvl="4" w:tplc="AC221732" w:tentative="1">
      <w:start w:val="1"/>
      <w:numFmt w:val="bullet"/>
      <w:lvlText w:val="o"/>
      <w:lvlJc w:val="left"/>
      <w:pPr>
        <w:ind w:left="3600" w:hanging="360"/>
      </w:pPr>
      <w:rPr>
        <w:rFonts w:ascii="Courier New" w:hAnsi="Courier New" w:cs="Courier New" w:hint="default"/>
      </w:rPr>
    </w:lvl>
    <w:lvl w:ilvl="5" w:tplc="1A187D98" w:tentative="1">
      <w:start w:val="1"/>
      <w:numFmt w:val="bullet"/>
      <w:lvlText w:val=""/>
      <w:lvlJc w:val="left"/>
      <w:pPr>
        <w:ind w:left="4320" w:hanging="360"/>
      </w:pPr>
      <w:rPr>
        <w:rFonts w:ascii="Wingdings" w:hAnsi="Wingdings" w:hint="default"/>
      </w:rPr>
    </w:lvl>
    <w:lvl w:ilvl="6" w:tplc="B44661B0" w:tentative="1">
      <w:start w:val="1"/>
      <w:numFmt w:val="bullet"/>
      <w:lvlText w:val=""/>
      <w:lvlJc w:val="left"/>
      <w:pPr>
        <w:ind w:left="5040" w:hanging="360"/>
      </w:pPr>
      <w:rPr>
        <w:rFonts w:ascii="Symbol" w:hAnsi="Symbol" w:hint="default"/>
      </w:rPr>
    </w:lvl>
    <w:lvl w:ilvl="7" w:tplc="09C4090A" w:tentative="1">
      <w:start w:val="1"/>
      <w:numFmt w:val="bullet"/>
      <w:lvlText w:val="o"/>
      <w:lvlJc w:val="left"/>
      <w:pPr>
        <w:ind w:left="5760" w:hanging="360"/>
      </w:pPr>
      <w:rPr>
        <w:rFonts w:ascii="Courier New" w:hAnsi="Courier New" w:cs="Courier New" w:hint="default"/>
      </w:rPr>
    </w:lvl>
    <w:lvl w:ilvl="8" w:tplc="1E5AE802" w:tentative="1">
      <w:start w:val="1"/>
      <w:numFmt w:val="bullet"/>
      <w:lvlText w:val=""/>
      <w:lvlJc w:val="left"/>
      <w:pPr>
        <w:ind w:left="6480" w:hanging="360"/>
      </w:pPr>
      <w:rPr>
        <w:rFonts w:ascii="Wingdings" w:hAnsi="Wingdings" w:hint="default"/>
      </w:rPr>
    </w:lvl>
  </w:abstractNum>
  <w:num w:numId="1" w16cid:durableId="584918963">
    <w:abstractNumId w:val="1"/>
  </w:num>
  <w:num w:numId="2" w16cid:durableId="5354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23"/>
    <w:rsid w:val="001E6D23"/>
    <w:rsid w:val="00772B95"/>
    <w:rsid w:val="007C6E90"/>
    <w:rsid w:val="00920DCB"/>
    <w:rsid w:val="00B643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0026"/>
  <w15:docId w15:val="{07F7CF48-F427-4E5C-89D2-7DACA4C3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10096</Words>
  <Characters>57548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2025-01-15T21:06:00Z</dcterms:created>
  <dcterms:modified xsi:type="dcterms:W3CDTF">2025-01-15T21:10:00Z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