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E72B" w14:textId="77777777" w:rsidR="00000000" w:rsidRDefault="00000000">
      <w:pPr>
        <w:pStyle w:val="Heading1"/>
        <w:rPr>
          <w:rFonts w:cs="Arial"/>
        </w:rPr>
      </w:pPr>
      <w:bookmarkStart w:id="0" w:name="PRMS_RIName"/>
      <w:r>
        <w:rPr>
          <w:rFonts w:cs="Arial"/>
        </w:rPr>
        <w:t>CHT Healthcare Trust - Beachhaven Care Home</w:t>
      </w:r>
      <w:bookmarkEnd w:id="0"/>
    </w:p>
    <w:p w14:paraId="2AB141A0" w14:textId="77777777" w:rsidR="00000000" w:rsidRDefault="00000000">
      <w:pPr>
        <w:pStyle w:val="Heading2"/>
        <w:spacing w:after="0"/>
        <w:rPr>
          <w:rFonts w:cs="Arial"/>
        </w:rPr>
      </w:pPr>
      <w:r>
        <w:rPr>
          <w:rFonts w:cs="Arial"/>
        </w:rPr>
        <w:t>Introduction</w:t>
      </w:r>
    </w:p>
    <w:p w14:paraId="6D2F6B4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F330F3B"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4DC2A44"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D4E58C2"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1AFCD3E" w14:textId="77777777" w:rsidR="00000000" w:rsidRDefault="00000000">
      <w:pPr>
        <w:spacing w:before="240" w:after="240"/>
        <w:rPr>
          <w:rFonts w:cs="Arial"/>
          <w:lang w:eastAsia="en-NZ"/>
        </w:rPr>
      </w:pPr>
      <w:r>
        <w:rPr>
          <w:rFonts w:cs="Arial"/>
          <w:lang w:eastAsia="en-NZ"/>
        </w:rPr>
        <w:t>The specifics of this audit included:</w:t>
      </w:r>
    </w:p>
    <w:p w14:paraId="506170EE"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536372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4BEE91B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Beachhaven Care Home</w:t>
      </w:r>
      <w:bookmarkEnd w:id="5"/>
    </w:p>
    <w:p w14:paraId="1A59A67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w:t>
      </w:r>
      <w:bookmarkEnd w:id="6"/>
    </w:p>
    <w:p w14:paraId="7C544D3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November 2024</w:t>
      </w:r>
      <w:bookmarkEnd w:id="7"/>
      <w:r w:rsidRPr="009418D4">
        <w:rPr>
          <w:rFonts w:cs="Arial"/>
        </w:rPr>
        <w:tab/>
        <w:t xml:space="preserve">End date: </w:t>
      </w:r>
      <w:bookmarkStart w:id="8" w:name="AuditEndDate"/>
      <w:r>
        <w:rPr>
          <w:rFonts w:cs="Arial"/>
        </w:rPr>
        <w:t>22 November 2024</w:t>
      </w:r>
      <w:bookmarkEnd w:id="8"/>
    </w:p>
    <w:p w14:paraId="492422D5"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592105" w14:textId="77777777" w:rsidR="00A16AB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14:paraId="185475EA"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B3C5537" w14:textId="77777777" w:rsidR="00000000" w:rsidRDefault="00000000">
      <w:pPr>
        <w:pStyle w:val="Heading1"/>
        <w:rPr>
          <w:rFonts w:cs="Arial"/>
        </w:rPr>
      </w:pPr>
      <w:r>
        <w:rPr>
          <w:rFonts w:cs="Arial"/>
        </w:rPr>
        <w:lastRenderedPageBreak/>
        <w:t>Executive summary of the audit</w:t>
      </w:r>
    </w:p>
    <w:p w14:paraId="549E1C8F" w14:textId="77777777" w:rsidR="00000000" w:rsidRDefault="00000000">
      <w:pPr>
        <w:pStyle w:val="Heading2"/>
        <w:rPr>
          <w:rFonts w:cs="Arial"/>
        </w:rPr>
      </w:pPr>
      <w:r>
        <w:rPr>
          <w:rFonts w:cs="Arial"/>
        </w:rPr>
        <w:t>Introduction</w:t>
      </w:r>
    </w:p>
    <w:p w14:paraId="50BA8446"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E71419B"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EE986B"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5A3B2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D9C31CB"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C2EFE6E"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E398F3"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36F9E0F"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C0F81FD"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A16AB0" w14:paraId="42104965" w14:textId="77777777">
        <w:trPr>
          <w:cantSplit/>
          <w:tblHeader/>
        </w:trPr>
        <w:tc>
          <w:tcPr>
            <w:tcW w:w="1260" w:type="dxa"/>
            <w:tcBorders>
              <w:bottom w:val="single" w:sz="4" w:space="0" w:color="000000"/>
            </w:tcBorders>
            <w:vAlign w:val="center"/>
          </w:tcPr>
          <w:p w14:paraId="69FA86E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16040A"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A5CF59" w14:textId="77777777" w:rsidR="00000000" w:rsidRDefault="00000000">
            <w:pPr>
              <w:spacing w:before="60" w:after="60"/>
              <w:rPr>
                <w:rFonts w:eastAsia="Calibri"/>
                <w:b/>
                <w:szCs w:val="24"/>
              </w:rPr>
            </w:pPr>
            <w:r>
              <w:rPr>
                <w:rFonts w:eastAsia="Calibri"/>
                <w:b/>
                <w:szCs w:val="24"/>
              </w:rPr>
              <w:t>Definition</w:t>
            </w:r>
          </w:p>
        </w:tc>
      </w:tr>
      <w:tr w:rsidR="00A16AB0" w14:paraId="5AFA92AF" w14:textId="77777777">
        <w:trPr>
          <w:cantSplit/>
          <w:trHeight w:val="964"/>
        </w:trPr>
        <w:tc>
          <w:tcPr>
            <w:tcW w:w="1260" w:type="dxa"/>
            <w:tcBorders>
              <w:bottom w:val="single" w:sz="4" w:space="0" w:color="000000"/>
            </w:tcBorders>
            <w:shd w:val="clear" w:color="0066FF" w:fill="0000FF"/>
            <w:vAlign w:val="center"/>
          </w:tcPr>
          <w:p w14:paraId="05DC8D26"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91F9C08"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CB1C5B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16AB0" w14:paraId="5F7D78A4" w14:textId="77777777">
        <w:trPr>
          <w:cantSplit/>
          <w:trHeight w:val="964"/>
        </w:trPr>
        <w:tc>
          <w:tcPr>
            <w:tcW w:w="1260" w:type="dxa"/>
            <w:shd w:val="clear" w:color="33CC33" w:fill="00FF00"/>
            <w:vAlign w:val="center"/>
          </w:tcPr>
          <w:p w14:paraId="59DA2CEC" w14:textId="77777777" w:rsidR="00000000" w:rsidRDefault="00000000">
            <w:pPr>
              <w:spacing w:before="60" w:after="60"/>
              <w:rPr>
                <w:rFonts w:eastAsia="Calibri"/>
                <w:szCs w:val="24"/>
              </w:rPr>
            </w:pPr>
          </w:p>
        </w:tc>
        <w:tc>
          <w:tcPr>
            <w:tcW w:w="7095" w:type="dxa"/>
            <w:shd w:val="clear" w:color="auto" w:fill="auto"/>
            <w:vAlign w:val="center"/>
          </w:tcPr>
          <w:p w14:paraId="21FA4269"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D28678"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A16AB0" w14:paraId="6898000D" w14:textId="77777777">
        <w:trPr>
          <w:cantSplit/>
          <w:trHeight w:val="964"/>
        </w:trPr>
        <w:tc>
          <w:tcPr>
            <w:tcW w:w="1260" w:type="dxa"/>
            <w:tcBorders>
              <w:bottom w:val="single" w:sz="4" w:space="0" w:color="000000"/>
            </w:tcBorders>
            <w:shd w:val="clear" w:color="auto" w:fill="FFFF00"/>
            <w:vAlign w:val="center"/>
          </w:tcPr>
          <w:p w14:paraId="6B8A1D9E" w14:textId="77777777" w:rsidR="00000000" w:rsidRDefault="00000000">
            <w:pPr>
              <w:spacing w:before="60" w:after="60"/>
              <w:rPr>
                <w:rFonts w:eastAsia="Calibri"/>
                <w:szCs w:val="24"/>
              </w:rPr>
            </w:pPr>
          </w:p>
        </w:tc>
        <w:tc>
          <w:tcPr>
            <w:tcW w:w="7095" w:type="dxa"/>
            <w:shd w:val="clear" w:color="auto" w:fill="auto"/>
            <w:vAlign w:val="center"/>
          </w:tcPr>
          <w:p w14:paraId="2C9F21C6"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DF67A4"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16AB0" w14:paraId="199C1554" w14:textId="77777777">
        <w:trPr>
          <w:cantSplit/>
          <w:trHeight w:val="964"/>
        </w:trPr>
        <w:tc>
          <w:tcPr>
            <w:tcW w:w="1260" w:type="dxa"/>
            <w:tcBorders>
              <w:bottom w:val="single" w:sz="4" w:space="0" w:color="000000"/>
            </w:tcBorders>
            <w:shd w:val="clear" w:color="auto" w:fill="FFC800"/>
            <w:vAlign w:val="center"/>
          </w:tcPr>
          <w:p w14:paraId="2A46EE2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E2A480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71AC8F4"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16AB0" w14:paraId="64EEDA23" w14:textId="77777777">
        <w:trPr>
          <w:cantSplit/>
          <w:trHeight w:val="964"/>
        </w:trPr>
        <w:tc>
          <w:tcPr>
            <w:tcW w:w="1260" w:type="dxa"/>
            <w:shd w:val="clear" w:color="auto" w:fill="FF0000"/>
            <w:vAlign w:val="center"/>
          </w:tcPr>
          <w:p w14:paraId="13EB0572" w14:textId="77777777" w:rsidR="00000000" w:rsidRDefault="00000000">
            <w:pPr>
              <w:spacing w:before="60" w:after="60"/>
              <w:rPr>
                <w:rFonts w:eastAsia="Calibri"/>
                <w:szCs w:val="24"/>
              </w:rPr>
            </w:pPr>
          </w:p>
        </w:tc>
        <w:tc>
          <w:tcPr>
            <w:tcW w:w="7095" w:type="dxa"/>
            <w:shd w:val="clear" w:color="auto" w:fill="auto"/>
            <w:vAlign w:val="center"/>
          </w:tcPr>
          <w:p w14:paraId="3A3C964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5E97B5"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A335352" w14:textId="77777777" w:rsidR="00000000" w:rsidRDefault="00000000">
      <w:pPr>
        <w:pStyle w:val="Heading2"/>
        <w:spacing w:after="0"/>
        <w:rPr>
          <w:rFonts w:cs="Arial"/>
        </w:rPr>
      </w:pPr>
      <w:r>
        <w:rPr>
          <w:rFonts w:cs="Arial"/>
        </w:rPr>
        <w:t>General overview of the audit</w:t>
      </w:r>
    </w:p>
    <w:p w14:paraId="5E104C20" w14:textId="77777777" w:rsidR="00000000" w:rsidRDefault="00000000">
      <w:pPr>
        <w:spacing w:before="240" w:line="276" w:lineRule="auto"/>
        <w:rPr>
          <w:rFonts w:eastAsia="Calibri"/>
        </w:rPr>
      </w:pPr>
      <w:bookmarkStart w:id="13" w:name="GeneralOverview"/>
      <w:r w:rsidRPr="00A4268A">
        <w:rPr>
          <w:rFonts w:eastAsia="Calibri"/>
        </w:rPr>
        <w:t xml:space="preserve">CHT Healthcare Trust (CHT) Beachhaven is certified to provide psychogeriatric and hospital (medical and geriatric) levels of care for up to 99 residents. There were 90 residents on the days of audit. </w:t>
      </w:r>
    </w:p>
    <w:p w14:paraId="32455193" w14:textId="77777777" w:rsidR="00A16AB0"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 Te Whatu Ora. The audit process included the review of policies and procedures; the review of residents and staff files; observations; and interviews with residents, family/whānau, management, staff, and a general practitioner.</w:t>
      </w:r>
    </w:p>
    <w:p w14:paraId="28574819" w14:textId="77777777" w:rsidR="00A16AB0" w:rsidRPr="00A4268A" w:rsidRDefault="00000000">
      <w:pPr>
        <w:spacing w:before="240" w:line="276" w:lineRule="auto"/>
        <w:rPr>
          <w:rFonts w:eastAsia="Calibri"/>
        </w:rPr>
      </w:pPr>
      <w:r w:rsidRPr="00A4268A">
        <w:rPr>
          <w:rFonts w:eastAsia="Calibri"/>
        </w:rPr>
        <w:t>The care home manager (a registered nurse) is appropriately qualified and experienced and is supported by a clinical coordinator, unit coordinators and an area manager. There are quality systems and processes being implemented. Feedback from residents and family/whānau was positive about the care and the services provided. An induction and in-service training programme is in place to provide staff with appropriate knowledge and skills to deliver care.</w:t>
      </w:r>
    </w:p>
    <w:p w14:paraId="3775BCCD" w14:textId="77777777" w:rsidR="00A16AB0" w:rsidRPr="00A4268A" w:rsidRDefault="00000000">
      <w:pPr>
        <w:spacing w:before="240" w:line="276" w:lineRule="auto"/>
        <w:rPr>
          <w:rFonts w:eastAsia="Calibri"/>
        </w:rPr>
      </w:pPr>
      <w:r w:rsidRPr="00A4268A">
        <w:rPr>
          <w:rFonts w:eastAsia="Calibri"/>
        </w:rPr>
        <w:t xml:space="preserve">This certification audit identified shortfalls related to internal audits. </w:t>
      </w:r>
    </w:p>
    <w:p w14:paraId="3AD8D685" w14:textId="77777777" w:rsidR="00A16AB0" w:rsidRPr="00A4268A" w:rsidRDefault="00000000">
      <w:pPr>
        <w:spacing w:before="240" w:line="276" w:lineRule="auto"/>
        <w:rPr>
          <w:rFonts w:eastAsia="Calibri"/>
        </w:rPr>
      </w:pPr>
      <w:r w:rsidRPr="00A4268A">
        <w:rPr>
          <w:rFonts w:eastAsia="Calibri"/>
        </w:rPr>
        <w:t xml:space="preserve">A continuous improvement rating is awarded for management of weight loss. </w:t>
      </w:r>
    </w:p>
    <w:bookmarkEnd w:id="13"/>
    <w:p w14:paraId="2BAA8230" w14:textId="77777777" w:rsidR="00A16AB0" w:rsidRPr="00A4268A" w:rsidRDefault="00A16AB0">
      <w:pPr>
        <w:spacing w:before="240" w:line="276" w:lineRule="auto"/>
        <w:rPr>
          <w:rFonts w:eastAsia="Calibri"/>
        </w:rPr>
      </w:pPr>
    </w:p>
    <w:p w14:paraId="4751250F"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13F6D9F8" w14:textId="77777777" w:rsidTr="00A4268A">
        <w:trPr>
          <w:cantSplit/>
        </w:trPr>
        <w:tc>
          <w:tcPr>
            <w:tcW w:w="10206" w:type="dxa"/>
            <w:vAlign w:val="center"/>
          </w:tcPr>
          <w:p w14:paraId="0F077E14"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D7C7FA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C3956CD"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C3ADFE"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014B9C4" w14:textId="77777777" w:rsidR="00000000" w:rsidRDefault="00000000">
      <w:pPr>
        <w:spacing w:before="240" w:line="276" w:lineRule="auto"/>
        <w:rPr>
          <w:rFonts w:eastAsia="Calibri"/>
        </w:rPr>
      </w:pPr>
      <w:bookmarkStart w:id="16" w:name="ConsumerRights"/>
      <w:r w:rsidRPr="00A4268A">
        <w:rPr>
          <w:rFonts w:eastAsia="Calibri"/>
        </w:rPr>
        <w:t xml:space="preserve">CHT Beachhaven provides an environment that supports resident rights and safe care. Staff demonstrated an understanding of residents' rights and obligations. There is a Māori health plan and a Pacific health plan. The service works to provide high-quality and effective services and care for residents. Residents receive services in a manner that considers their dignity, privacy, and independence. CHT Beachhaven provides services and support to people in a way that is inclusive and respects their identity and their experiences. </w:t>
      </w:r>
    </w:p>
    <w:p w14:paraId="3627504C" w14:textId="77777777" w:rsidR="00A16AB0" w:rsidRPr="00A4268A" w:rsidRDefault="00000000">
      <w:pPr>
        <w:spacing w:before="240" w:line="276" w:lineRule="auto"/>
        <w:rPr>
          <w:rFonts w:eastAsia="Calibri"/>
        </w:rPr>
      </w:pPr>
      <w:r w:rsidRPr="00A4268A">
        <w:rPr>
          <w:rFonts w:eastAsia="Calibri"/>
        </w:rPr>
        <w:t>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1D404104" w14:textId="77777777" w:rsidR="00A16AB0" w:rsidRPr="00A4268A" w:rsidRDefault="00A16AB0">
      <w:pPr>
        <w:spacing w:before="240" w:line="276" w:lineRule="auto"/>
        <w:rPr>
          <w:rFonts w:eastAsia="Calibri"/>
        </w:rPr>
      </w:pPr>
    </w:p>
    <w:p w14:paraId="450AE98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45F7D728" w14:textId="77777777" w:rsidTr="00A4268A">
        <w:trPr>
          <w:cantSplit/>
        </w:trPr>
        <w:tc>
          <w:tcPr>
            <w:tcW w:w="10206" w:type="dxa"/>
            <w:vAlign w:val="center"/>
          </w:tcPr>
          <w:p w14:paraId="4EAEC1C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14CDD4A"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D22C3D"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005FFCF" w14:textId="77777777" w:rsidR="00000000" w:rsidRDefault="00000000">
      <w:pPr>
        <w:spacing w:before="240" w:line="276" w:lineRule="auto"/>
        <w:rPr>
          <w:rFonts w:eastAsia="Calibri"/>
        </w:rPr>
      </w:pPr>
      <w:bookmarkStart w:id="19" w:name="OrganisationalManagement"/>
      <w:r w:rsidRPr="00A4268A">
        <w:rPr>
          <w:rFonts w:eastAsia="Calibri"/>
        </w:rPr>
        <w:t xml:space="preserve">CHT Healthcare Trust has an overarching strategy map with clear business goals to support organisational values. The business plan includes a mission statement and operational objectives. The service has effective quality and risk management systems in </w:t>
      </w:r>
      <w:r w:rsidRPr="00A4268A">
        <w:rPr>
          <w:rFonts w:eastAsia="Calibri"/>
        </w:rPr>
        <w:lastRenderedPageBreak/>
        <w:t xml:space="preserve">place that takes a risk-based approach, and these systems meet the needs of residents and their staff. Quality improvement projects are implemented. Internal audits, meetings, and collation of data is completed, with corrective actions developed as indicated. Meeting schedules are maintained. A health and safety programme is implemented. Hazards are managed. Incident forms are documented, and results are analysed. </w:t>
      </w:r>
    </w:p>
    <w:p w14:paraId="11337FB8" w14:textId="77777777" w:rsidR="00A16AB0" w:rsidRPr="00A4268A" w:rsidRDefault="00000000">
      <w:pPr>
        <w:spacing w:before="240" w:line="276" w:lineRule="auto"/>
        <w:rPr>
          <w:rFonts w:eastAsia="Calibri"/>
        </w:rPr>
      </w:pPr>
      <w:r w:rsidRPr="00A4268A">
        <w:rPr>
          <w:rFonts w:eastAsia="Calibri"/>
        </w:rPr>
        <w:t xml:space="preserve">There is a staffing and rostering policy documented.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 </w:t>
      </w:r>
    </w:p>
    <w:bookmarkEnd w:id="19"/>
    <w:p w14:paraId="7FB76F4F" w14:textId="77777777" w:rsidR="00A16AB0" w:rsidRPr="00A4268A" w:rsidRDefault="00A16AB0">
      <w:pPr>
        <w:spacing w:before="240" w:line="276" w:lineRule="auto"/>
        <w:rPr>
          <w:rFonts w:eastAsia="Calibri"/>
        </w:rPr>
      </w:pPr>
    </w:p>
    <w:p w14:paraId="3B36361E"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59CA36D7" w14:textId="77777777" w:rsidTr="00A4268A">
        <w:trPr>
          <w:cantSplit/>
        </w:trPr>
        <w:tc>
          <w:tcPr>
            <w:tcW w:w="10206" w:type="dxa"/>
            <w:vAlign w:val="center"/>
          </w:tcPr>
          <w:p w14:paraId="29C6DFA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D7F2A2A"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28169F2"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DA6AC59"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CHT Beachhaven has an admission package available prior to, or on entry to the service. The care home manager and clinical coordinator manage the entry process to the service. Admissions are managed by the registered nurses and the general practitioner at admission. The registered nurses assess, plan and review residents' needs, outcomes, and goals. The care plans demonstrated individualised care. </w:t>
      </w:r>
    </w:p>
    <w:p w14:paraId="3E2EAECB" w14:textId="77777777" w:rsidR="00A16AB0"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Medication policies reflect legislative requirements and guidelines. Registered nurses and medication competent health care assistants are responsible for administration of medicines. They complete annual education and medication competencies. The electronic medicine charts reviewed met prescribing requirements and were reviewed at least three-monthly by the general practitioner. </w:t>
      </w:r>
    </w:p>
    <w:p w14:paraId="1FF48122" w14:textId="77777777" w:rsidR="00A16AB0" w:rsidRPr="00A4268A" w:rsidRDefault="00000000"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020AB199" w14:textId="77777777" w:rsidR="00A16AB0" w:rsidRPr="00A4268A" w:rsidRDefault="00000000"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6F4BEF8E" w14:textId="77777777" w:rsidR="00A16AB0" w:rsidRPr="00A4268A" w:rsidRDefault="00A16AB0" w:rsidP="00621629">
      <w:pPr>
        <w:spacing w:before="240" w:line="276" w:lineRule="auto"/>
        <w:rPr>
          <w:rFonts w:eastAsia="Calibri"/>
        </w:rPr>
      </w:pPr>
    </w:p>
    <w:p w14:paraId="4F320489"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667A1578" w14:textId="77777777" w:rsidTr="00A4268A">
        <w:trPr>
          <w:cantSplit/>
        </w:trPr>
        <w:tc>
          <w:tcPr>
            <w:tcW w:w="10206" w:type="dxa"/>
            <w:vAlign w:val="center"/>
          </w:tcPr>
          <w:p w14:paraId="4CE4E68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46D361F"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C1EBA5"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4969899"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Some bedrooms are single, but most are shared. Rooms are personalised. </w:t>
      </w:r>
    </w:p>
    <w:p w14:paraId="50691706" w14:textId="77777777" w:rsidR="00A16AB0"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w:t>
      </w:r>
    </w:p>
    <w:bookmarkEnd w:id="25"/>
    <w:p w14:paraId="6AA51B51" w14:textId="77777777" w:rsidR="00A16AB0" w:rsidRPr="00A4268A" w:rsidRDefault="00A16AB0">
      <w:pPr>
        <w:spacing w:before="240" w:line="276" w:lineRule="auto"/>
        <w:rPr>
          <w:rFonts w:eastAsia="Calibri"/>
        </w:rPr>
      </w:pPr>
    </w:p>
    <w:p w14:paraId="5B15DFF8"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1C0CB056" w14:textId="77777777" w:rsidTr="00A4268A">
        <w:trPr>
          <w:cantSplit/>
        </w:trPr>
        <w:tc>
          <w:tcPr>
            <w:tcW w:w="10206" w:type="dxa"/>
            <w:vAlign w:val="center"/>
          </w:tcPr>
          <w:p w14:paraId="713E1C5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6D2EB81"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4A1BE42"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DD59C39"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w:t>
      </w:r>
    </w:p>
    <w:p w14:paraId="76D70D65" w14:textId="77777777" w:rsidR="00A16AB0"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Covid-19 response plans are in place and the service has access to personal protective equipment supplies. There have been seven outbreaks since the previous audit, and these has been well managed and documented.</w:t>
      </w:r>
    </w:p>
    <w:p w14:paraId="3329E1F7" w14:textId="77777777" w:rsidR="00A16AB0" w:rsidRPr="00A4268A" w:rsidRDefault="00000000">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care home. Documented policies and procedures for the contracted cleaning and laundry services are implemented, with appropriate monitoring systems in place to evaluate the effectiveness of these services</w:t>
      </w:r>
    </w:p>
    <w:bookmarkEnd w:id="28"/>
    <w:p w14:paraId="68CE8763" w14:textId="77777777" w:rsidR="00A16AB0" w:rsidRPr="00A4268A" w:rsidRDefault="00A16AB0">
      <w:pPr>
        <w:spacing w:before="240" w:line="276" w:lineRule="auto"/>
        <w:rPr>
          <w:rFonts w:eastAsia="Calibri"/>
        </w:rPr>
      </w:pPr>
    </w:p>
    <w:p w14:paraId="562CC5D1"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6AB0" w14:paraId="591D5E1E" w14:textId="77777777" w:rsidTr="00A4268A">
        <w:trPr>
          <w:cantSplit/>
        </w:trPr>
        <w:tc>
          <w:tcPr>
            <w:tcW w:w="10206" w:type="dxa"/>
            <w:vAlign w:val="center"/>
          </w:tcPr>
          <w:p w14:paraId="0EADCF8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CFE1C8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99DF6D"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6B0991C"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nine residents currently using restraints. Use of restraints is considered as a last resort only after all other options are explored. Education is provided to staff around restraint minimisation. A restraint register is maintained, and restraints are reviewed on a regular basis.</w:t>
      </w:r>
    </w:p>
    <w:bookmarkEnd w:id="31"/>
    <w:p w14:paraId="4FEEBCCF" w14:textId="77777777" w:rsidR="00A16AB0" w:rsidRPr="00A4268A" w:rsidRDefault="00A16AB0">
      <w:pPr>
        <w:spacing w:before="240" w:line="276" w:lineRule="auto"/>
        <w:rPr>
          <w:rFonts w:eastAsia="Calibri"/>
        </w:rPr>
      </w:pPr>
    </w:p>
    <w:p w14:paraId="14CE31C9" w14:textId="77777777" w:rsidR="00000000" w:rsidRDefault="00000000" w:rsidP="000E6E02">
      <w:pPr>
        <w:pStyle w:val="Heading2"/>
        <w:spacing w:before="0"/>
        <w:rPr>
          <w:rFonts w:cs="Arial"/>
        </w:rPr>
      </w:pPr>
      <w:r>
        <w:rPr>
          <w:rFonts w:cs="Arial"/>
        </w:rPr>
        <w:t>Summary of attainment</w:t>
      </w:r>
    </w:p>
    <w:p w14:paraId="4558A4A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6AB0" w14:paraId="09C2BF36" w14:textId="77777777">
        <w:tc>
          <w:tcPr>
            <w:tcW w:w="1384" w:type="dxa"/>
            <w:vAlign w:val="center"/>
          </w:tcPr>
          <w:p w14:paraId="74B1F3E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9E6150B" w14:textId="77777777" w:rsidR="00000000" w:rsidRDefault="00000000">
            <w:pPr>
              <w:keepNext/>
              <w:spacing w:before="60" w:after="60"/>
              <w:jc w:val="center"/>
              <w:rPr>
                <w:rFonts w:cs="Arial"/>
                <w:b/>
                <w:sz w:val="20"/>
                <w:szCs w:val="20"/>
              </w:rPr>
            </w:pPr>
            <w:r>
              <w:rPr>
                <w:rFonts w:cs="Arial"/>
                <w:b/>
                <w:sz w:val="20"/>
                <w:szCs w:val="20"/>
              </w:rPr>
              <w:t>Continuous Improvement</w:t>
            </w:r>
          </w:p>
          <w:p w14:paraId="3AC22F3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69A6A95" w14:textId="77777777" w:rsidR="00000000" w:rsidRDefault="00000000">
            <w:pPr>
              <w:keepNext/>
              <w:spacing w:before="60" w:after="60"/>
              <w:jc w:val="center"/>
              <w:rPr>
                <w:rFonts w:cs="Arial"/>
                <w:b/>
                <w:sz w:val="20"/>
                <w:szCs w:val="20"/>
              </w:rPr>
            </w:pPr>
            <w:r>
              <w:rPr>
                <w:rFonts w:cs="Arial"/>
                <w:b/>
                <w:sz w:val="20"/>
                <w:szCs w:val="20"/>
              </w:rPr>
              <w:t>Fully Attained</w:t>
            </w:r>
          </w:p>
          <w:p w14:paraId="2CF7BDE8"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73D36B6"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268BE4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757B12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A343ACE"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0C09A33"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7E8543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6F2C87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B00A5CB"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2E51133"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8D18AB3" w14:textId="77777777" w:rsidR="00000000" w:rsidRDefault="00000000">
            <w:pPr>
              <w:keepNext/>
              <w:spacing w:before="60" w:after="60"/>
              <w:jc w:val="center"/>
              <w:rPr>
                <w:rFonts w:cs="Arial"/>
                <w:b/>
                <w:sz w:val="20"/>
                <w:szCs w:val="20"/>
              </w:rPr>
            </w:pPr>
            <w:r>
              <w:rPr>
                <w:rFonts w:cs="Arial"/>
                <w:b/>
                <w:sz w:val="20"/>
                <w:szCs w:val="20"/>
              </w:rPr>
              <w:t>(PA Critical)</w:t>
            </w:r>
          </w:p>
        </w:tc>
      </w:tr>
      <w:tr w:rsidR="00A16AB0" w14:paraId="16DD5176" w14:textId="77777777">
        <w:tc>
          <w:tcPr>
            <w:tcW w:w="1384" w:type="dxa"/>
            <w:vAlign w:val="center"/>
          </w:tcPr>
          <w:p w14:paraId="0F2E3E5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1AE453"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EB637FE"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1F8EDE39"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6EFE71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C81CBB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A708A84"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7EA06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16AB0" w14:paraId="75572F32" w14:textId="77777777">
        <w:tc>
          <w:tcPr>
            <w:tcW w:w="1384" w:type="dxa"/>
            <w:vAlign w:val="center"/>
          </w:tcPr>
          <w:p w14:paraId="438AE9DE"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33AC6D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0EBBE43"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2EEEF019"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7DCE2B"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85B0E5B"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8427E85"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9FC7667"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BA92F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6AB0" w14:paraId="0C8C7671" w14:textId="77777777">
        <w:tc>
          <w:tcPr>
            <w:tcW w:w="1384" w:type="dxa"/>
            <w:vAlign w:val="center"/>
          </w:tcPr>
          <w:p w14:paraId="0CA3F21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88BC563"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52016B1"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B137930" w14:textId="77777777" w:rsidR="00000000" w:rsidRDefault="00000000">
            <w:pPr>
              <w:keepNext/>
              <w:spacing w:before="60" w:after="60"/>
              <w:jc w:val="center"/>
              <w:rPr>
                <w:rFonts w:cs="Arial"/>
                <w:b/>
                <w:sz w:val="20"/>
                <w:szCs w:val="20"/>
              </w:rPr>
            </w:pPr>
            <w:r>
              <w:rPr>
                <w:rFonts w:cs="Arial"/>
                <w:b/>
                <w:sz w:val="20"/>
                <w:szCs w:val="20"/>
              </w:rPr>
              <w:t>Unattained Low Risk</w:t>
            </w:r>
          </w:p>
          <w:p w14:paraId="651D0E10"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6B15DBF" w14:textId="77777777" w:rsidR="00000000" w:rsidRDefault="00000000">
            <w:pPr>
              <w:keepNext/>
              <w:spacing w:before="60" w:after="60"/>
              <w:jc w:val="center"/>
              <w:rPr>
                <w:rFonts w:cs="Arial"/>
                <w:b/>
                <w:sz w:val="20"/>
                <w:szCs w:val="20"/>
              </w:rPr>
            </w:pPr>
            <w:r>
              <w:rPr>
                <w:rFonts w:cs="Arial"/>
                <w:b/>
                <w:sz w:val="20"/>
                <w:szCs w:val="20"/>
              </w:rPr>
              <w:t>Unattained Moderate Risk</w:t>
            </w:r>
          </w:p>
          <w:p w14:paraId="7D662B5F"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39AC430" w14:textId="77777777" w:rsidR="00000000" w:rsidRDefault="00000000">
            <w:pPr>
              <w:keepNext/>
              <w:spacing w:before="60" w:after="60"/>
              <w:jc w:val="center"/>
              <w:rPr>
                <w:rFonts w:cs="Arial"/>
                <w:b/>
                <w:sz w:val="20"/>
                <w:szCs w:val="20"/>
              </w:rPr>
            </w:pPr>
            <w:r>
              <w:rPr>
                <w:rFonts w:cs="Arial"/>
                <w:b/>
                <w:sz w:val="20"/>
                <w:szCs w:val="20"/>
              </w:rPr>
              <w:t>Unattained High Risk</w:t>
            </w:r>
          </w:p>
          <w:p w14:paraId="736535D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CCF28C3" w14:textId="77777777" w:rsidR="00000000" w:rsidRDefault="00000000">
            <w:pPr>
              <w:keepNext/>
              <w:spacing w:before="60" w:after="60"/>
              <w:jc w:val="center"/>
              <w:rPr>
                <w:rFonts w:cs="Arial"/>
                <w:b/>
                <w:sz w:val="20"/>
                <w:szCs w:val="20"/>
              </w:rPr>
            </w:pPr>
            <w:r>
              <w:rPr>
                <w:rFonts w:cs="Arial"/>
                <w:b/>
                <w:sz w:val="20"/>
                <w:szCs w:val="20"/>
              </w:rPr>
              <w:t>Unattained Critical Risk</w:t>
            </w:r>
          </w:p>
          <w:p w14:paraId="025B8867" w14:textId="77777777" w:rsidR="00000000" w:rsidRDefault="00000000">
            <w:pPr>
              <w:keepNext/>
              <w:spacing w:before="60" w:after="60"/>
              <w:jc w:val="center"/>
              <w:rPr>
                <w:rFonts w:cs="Arial"/>
                <w:b/>
                <w:sz w:val="20"/>
                <w:szCs w:val="20"/>
              </w:rPr>
            </w:pPr>
            <w:r>
              <w:rPr>
                <w:rFonts w:cs="Arial"/>
                <w:b/>
                <w:sz w:val="20"/>
                <w:szCs w:val="20"/>
              </w:rPr>
              <w:t>(UA Critical)</w:t>
            </w:r>
          </w:p>
        </w:tc>
      </w:tr>
      <w:tr w:rsidR="00A16AB0" w14:paraId="51682353" w14:textId="77777777">
        <w:tc>
          <w:tcPr>
            <w:tcW w:w="1384" w:type="dxa"/>
            <w:vAlign w:val="center"/>
          </w:tcPr>
          <w:p w14:paraId="03A8882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37CD684"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3E6F09"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365A33"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2F3DA1"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5C20EF"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16AB0" w14:paraId="566322B9" w14:textId="77777777">
        <w:tc>
          <w:tcPr>
            <w:tcW w:w="1384" w:type="dxa"/>
            <w:vAlign w:val="center"/>
          </w:tcPr>
          <w:p w14:paraId="2320115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04585C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290678"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E9FCC4"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92B68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7061C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37E57B"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6B641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5EBC05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03E985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1359"/>
        <w:gridCol w:w="6446"/>
      </w:tblGrid>
      <w:tr w:rsidR="00A16AB0" w14:paraId="3980FA07" w14:textId="77777777">
        <w:tc>
          <w:tcPr>
            <w:tcW w:w="0" w:type="auto"/>
          </w:tcPr>
          <w:p w14:paraId="6C67B139"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106D39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EF1EE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16AB0" w14:paraId="44966003" w14:textId="77777777">
        <w:tc>
          <w:tcPr>
            <w:tcW w:w="0" w:type="auto"/>
          </w:tcPr>
          <w:p w14:paraId="2404B94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444D7B8"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014A282" w14:textId="77777777" w:rsidR="00000000" w:rsidRPr="00BE00C7" w:rsidRDefault="00000000" w:rsidP="00BE00C7">
            <w:pPr>
              <w:pStyle w:val="OutcomeDescription"/>
              <w:spacing w:before="120" w:after="120"/>
              <w:rPr>
                <w:rFonts w:cs="Arial"/>
                <w:lang w:eastAsia="en-NZ"/>
              </w:rPr>
            </w:pPr>
          </w:p>
        </w:tc>
        <w:tc>
          <w:tcPr>
            <w:tcW w:w="0" w:type="auto"/>
          </w:tcPr>
          <w:p w14:paraId="72AB27F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285D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acknowledges Te Tiriti o Waitangi as a founding document for New Zealand. The service currently has residents who identify as Māori. CHT is committed to respecting the self-determination, cultural values, and beliefs of Māori residents and family/whānau and evidence is documented in the resident care plan and evidenced in practice. There are clear processes to include tikanga in everyday practice. Staff have completed cultural training around Te Tiriti o Waitangi. </w:t>
            </w:r>
          </w:p>
          <w:p w14:paraId="4689C2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Links have been established with local iwi, Ngati Whatua, kaumātua from Te Awataha Marae, current residents, their family/whānau and staff. The service also links with Māori staff and residents’ family/whānau who can provide interpreting support for residents if required. Residents and family/whānau engage in providing input into the resident’s care planning, their activities and their dietary needs. The service can also access kaumātua from Health NZ - Te Whatu Ora for support and guidance. Māori assessments are completed for residents who identify as Māori. </w:t>
            </w:r>
          </w:p>
          <w:p w14:paraId="2DFE8B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confirmed that they support increasing Māori capacity by employing more Māori staff members when they apply for employment opportunities at CHT. The CHT Beachhaven business </w:t>
            </w:r>
            <w:r w:rsidRPr="00BE00C7">
              <w:rPr>
                <w:rFonts w:cs="Arial"/>
                <w:lang w:eastAsia="en-NZ"/>
              </w:rPr>
              <w:lastRenderedPageBreak/>
              <w:t xml:space="preserve">plan documents a commitment and responsiveness to a culturally diverse workforce. At the time of the audit, there were staff members who identify as Māori. </w:t>
            </w:r>
          </w:p>
          <w:p w14:paraId="193C10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signage throughout in Māori and the Health and Disability Commissioner (HDC) Code of Health and Disability Services Consumers’ Rights (the Code) is displayed in Māori, sign language and English with pamphlets available.</w:t>
            </w:r>
          </w:p>
          <w:p w14:paraId="304E7F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21 staff (seven healthcare assistants, five registered nurses [including one unit coordinator and one restraint coordinator], one diversional therapist, two activities assistants, one physiotherapist, one kitchen manager, one Compass site manager, one cleaner and two laundry staff) and four managers (care home manager, clinical coordinator, area manager and property maintenance manager) and documentation reviewed described how care is based on the resident’s individual values and beliefs. </w:t>
            </w:r>
          </w:p>
          <w:p w14:paraId="4E8AF99A" w14:textId="77777777" w:rsidR="00000000" w:rsidRPr="00BE00C7" w:rsidRDefault="00000000" w:rsidP="00BE00C7">
            <w:pPr>
              <w:pStyle w:val="OutcomeDescription"/>
              <w:spacing w:before="120" w:after="120"/>
              <w:rPr>
                <w:rFonts w:cs="Arial"/>
                <w:lang w:eastAsia="en-NZ"/>
              </w:rPr>
            </w:pPr>
          </w:p>
        </w:tc>
      </w:tr>
      <w:tr w:rsidR="00A16AB0" w14:paraId="6A02BD0C" w14:textId="77777777">
        <w:tc>
          <w:tcPr>
            <w:tcW w:w="0" w:type="auto"/>
          </w:tcPr>
          <w:p w14:paraId="57EE2F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7A033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7ED9A07" w14:textId="77777777" w:rsidR="00000000" w:rsidRPr="00BE00C7" w:rsidRDefault="00000000" w:rsidP="00BE00C7">
            <w:pPr>
              <w:pStyle w:val="OutcomeDescription"/>
              <w:spacing w:before="120" w:after="120"/>
              <w:rPr>
                <w:rFonts w:cs="Arial"/>
                <w:lang w:eastAsia="en-NZ"/>
              </w:rPr>
            </w:pPr>
          </w:p>
        </w:tc>
        <w:tc>
          <w:tcPr>
            <w:tcW w:w="0" w:type="auto"/>
          </w:tcPr>
          <w:p w14:paraId="413AB3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F759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CHT Pacific health plan. The aim is to uphold the principles of Pacific people by acknowledging respectful relationships, valuing families, and providing high quality healthcare.</w:t>
            </w:r>
          </w:p>
          <w:p w14:paraId="43333829"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residents identifying as Pasifika at the time of the audit. The residents’ family/whānau are involved in all aspects of care, particularly in nursing and medical decisions, satisfaction of the service and recognition of cultural needs. Interviews with four hospital residents, and seven family/whānau (one hospital and six psychogeriatric) confirm that individual cultural beliefs and values, knowledge, arts, morals, and personality are respected.</w:t>
            </w:r>
          </w:p>
          <w:p w14:paraId="1EFE50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Beachhaven actively consults with current Pacific employees to ensure connectivity within the region to increase knowledge, awareness and understanding of the needs of Pacific people. There are relationships and consultation with Pacific providers who visit regularly to provide services for Pacific people and staff. </w:t>
            </w:r>
          </w:p>
          <w:p w14:paraId="1D6C46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w:t>
            </w:r>
            <w:r w:rsidRPr="00BE00C7">
              <w:rPr>
                <w:rFonts w:cs="Arial"/>
                <w:lang w:eastAsia="en-NZ"/>
              </w:rPr>
              <w:lastRenderedPageBreak/>
              <w:t>Disability Code of Rights (the Code) are accessible in a range of Pacific languages. There are staff currently employed that identify as Pasifika. The service continues to provide equitable employment opportunities for the Pacific community.</w:t>
            </w:r>
          </w:p>
          <w:p w14:paraId="5DD25B3B" w14:textId="77777777" w:rsidR="00000000" w:rsidRPr="00BE00C7" w:rsidRDefault="00000000" w:rsidP="00BE00C7">
            <w:pPr>
              <w:pStyle w:val="OutcomeDescription"/>
              <w:spacing w:before="120" w:after="120"/>
              <w:rPr>
                <w:rFonts w:cs="Arial"/>
                <w:lang w:eastAsia="en-NZ"/>
              </w:rPr>
            </w:pPr>
          </w:p>
        </w:tc>
      </w:tr>
      <w:tr w:rsidR="00A16AB0" w14:paraId="26BC2725" w14:textId="77777777">
        <w:tc>
          <w:tcPr>
            <w:tcW w:w="0" w:type="auto"/>
          </w:tcPr>
          <w:p w14:paraId="061B74A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65768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2523440" w14:textId="77777777" w:rsidR="00000000" w:rsidRPr="00BE00C7" w:rsidRDefault="00000000" w:rsidP="00BE00C7">
            <w:pPr>
              <w:pStyle w:val="OutcomeDescription"/>
              <w:spacing w:before="120" w:after="120"/>
              <w:rPr>
                <w:rFonts w:cs="Arial"/>
                <w:lang w:eastAsia="en-NZ"/>
              </w:rPr>
            </w:pPr>
          </w:p>
        </w:tc>
        <w:tc>
          <w:tcPr>
            <w:tcW w:w="0" w:type="auto"/>
          </w:tcPr>
          <w:p w14:paraId="66AB44F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8220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sign language and te reo Māori. Details relating to the Code are included in the information that is provided to new residents and their family/whānau. The care home manager, clinical coordinator, or registered nurses discuss aspects of the Code with residents and their family/whānau on admission. Family/whānau are invited to attend. Residents and family/whānau interviewed reported that the service is upholding the residents’ rights. Interactions observed between staff and residents during the audit were respectful. Information about the Nationwide Health and Disability Advocacy Service and the resident advocacy is available at the entrance to the care home and in the entry pack of information provided to residents and their family/whānau.</w:t>
            </w:r>
          </w:p>
          <w:p w14:paraId="423268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links to spiritual supports. Staff receive education in relation to the Code at orientation and through the annual training programme, which includes (but is not limited to) understanding the role of advocacy services. Advocacy services are linked to the complaints process, as sighted in the information pack given to residents on admission. The service recognises Māori mana motuhake through its Māori health plan and staff could describe how they fully support the values and beliefs of any Māori residents and family/whānau. </w:t>
            </w:r>
          </w:p>
          <w:p w14:paraId="22DD8175" w14:textId="77777777" w:rsidR="00000000" w:rsidRPr="00BE00C7" w:rsidRDefault="00000000" w:rsidP="00BE00C7">
            <w:pPr>
              <w:pStyle w:val="OutcomeDescription"/>
              <w:spacing w:before="120" w:after="120"/>
              <w:rPr>
                <w:rFonts w:cs="Arial"/>
                <w:lang w:eastAsia="en-NZ"/>
              </w:rPr>
            </w:pPr>
          </w:p>
        </w:tc>
      </w:tr>
      <w:tr w:rsidR="00A16AB0" w14:paraId="7566D549" w14:textId="77777777">
        <w:tc>
          <w:tcPr>
            <w:tcW w:w="0" w:type="auto"/>
          </w:tcPr>
          <w:p w14:paraId="1B366E6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236A6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59606D3" w14:textId="77777777" w:rsidR="00000000" w:rsidRPr="00BE00C7" w:rsidRDefault="00000000" w:rsidP="00BE00C7">
            <w:pPr>
              <w:pStyle w:val="OutcomeDescription"/>
              <w:spacing w:before="120" w:after="120"/>
              <w:rPr>
                <w:rFonts w:cs="Arial"/>
                <w:lang w:eastAsia="en-NZ"/>
              </w:rPr>
            </w:pPr>
          </w:p>
        </w:tc>
        <w:tc>
          <w:tcPr>
            <w:tcW w:w="0" w:type="auto"/>
          </w:tcPr>
          <w:p w14:paraId="7790B1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F0CE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healthcare assistants interviewed described how they support residents to choose what they want to do each day. Residents are supported to make decisions about whether they would like family/whānau members to be involved in their care or other forms of support. Residents have control and choice over activities they participate in. The CHT Beachhaven annual training plan demonstrates training that is responsive to the diverse needs of </w:t>
            </w:r>
            <w:r w:rsidRPr="00BE00C7">
              <w:rPr>
                <w:rFonts w:cs="Arial"/>
                <w:lang w:eastAsia="en-NZ"/>
              </w:rPr>
              <w:lastRenderedPageBreak/>
              <w:t xml:space="preserve">people across the service. It was observed that residents are treated with dignity and respect. The service promotes care that is holistic and collective in nature through educating staff about te ao Māori and listening to tāngata whaikaha when planning or changing services. </w:t>
            </w:r>
          </w:p>
          <w:p w14:paraId="253646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interviews confirmed that residents are treated with respect and their dignity maintained. Feedback including compliments is regularly shared at residents’ and staff meetings. A sexuality and intimacy policy is in place, with training part of the education schedule. Staff interviewed stated they respect each resident’s right to have space for intimate relationships. Family/whānau interviewed were positive about the service in relation to each resident’s values and beliefs being considered and met. Resident files and care plans identified residents preferred names. Values and beliefs information is gathered on admission with family involvement and is integrated into the residents' care plans. Spiritual needs are identified. A spirituality policy is in place. Residents are encouraged and supported to participate in te ao Māori through the activities plan. Staff were observed to use person-centred and respectful language with residents. </w:t>
            </w:r>
          </w:p>
          <w:p w14:paraId="2E293956" w14:textId="77777777" w:rsidR="00000000" w:rsidRPr="00BE00C7" w:rsidRDefault="00000000" w:rsidP="00BE00C7">
            <w:pPr>
              <w:pStyle w:val="OutcomeDescription"/>
              <w:spacing w:before="120" w:after="120"/>
              <w:rPr>
                <w:rFonts w:cs="Arial"/>
                <w:lang w:eastAsia="en-NZ"/>
              </w:rPr>
            </w:pPr>
            <w:r w:rsidRPr="00BE00C7">
              <w:rPr>
                <w:rFonts w:cs="Arial"/>
                <w:lang w:eastAsia="en-NZ"/>
              </w:rPr>
              <w:t>Privacy is ensured and independence is encouraged. Family/whānau interviewed stated that they enjoy coming and going as they please to visit the resident and they felt welcomed. Values and beliefs information is gathered on admission with family involvement and is integrated into the residents' care plans. Spiritual needs are identified, church services are held, and spiritual support is available. A spirituality policy is in place. The management team confirmed that cultural diversity is embedded at CHT Beachhaven, and this was confirmed during interviews with staff. Te reo Māori is celebrated, and staff are encouraged and supported with correct pronunciation. Te reo Māori resources are available on the education platform. Cultural awareness training is provided annually and covers Te Tiriti o Waitangi, health equity and tikanga Māori.</w:t>
            </w:r>
          </w:p>
          <w:p w14:paraId="7E8953F5" w14:textId="77777777" w:rsidR="00000000" w:rsidRPr="00BE00C7" w:rsidRDefault="00000000" w:rsidP="00BE00C7">
            <w:pPr>
              <w:pStyle w:val="OutcomeDescription"/>
              <w:spacing w:before="120" w:after="120"/>
              <w:rPr>
                <w:rFonts w:cs="Arial"/>
                <w:lang w:eastAsia="en-NZ"/>
              </w:rPr>
            </w:pPr>
          </w:p>
        </w:tc>
      </w:tr>
      <w:tr w:rsidR="00A16AB0" w14:paraId="247956CC" w14:textId="77777777">
        <w:tc>
          <w:tcPr>
            <w:tcW w:w="0" w:type="auto"/>
          </w:tcPr>
          <w:p w14:paraId="051158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575EC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019261" w14:textId="77777777" w:rsidR="00000000" w:rsidRPr="00BE00C7" w:rsidRDefault="00000000" w:rsidP="00BE00C7">
            <w:pPr>
              <w:pStyle w:val="OutcomeDescription"/>
              <w:spacing w:before="120" w:after="120"/>
              <w:rPr>
                <w:rFonts w:cs="Arial"/>
                <w:lang w:eastAsia="en-NZ"/>
              </w:rPr>
            </w:pPr>
          </w:p>
        </w:tc>
        <w:tc>
          <w:tcPr>
            <w:tcW w:w="0" w:type="auto"/>
          </w:tcPr>
          <w:p w14:paraId="0F5957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8FCE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being implemented. The policy outlines the behaviours and conduct that all staff employed at CHT Beachhaven are expected to uphold. CHT organisational policies </w:t>
            </w:r>
            <w:r w:rsidRPr="00BE00C7">
              <w:rPr>
                <w:rFonts w:cs="Arial"/>
                <w:lang w:eastAsia="en-NZ"/>
              </w:rPr>
              <w:lastRenderedPageBreak/>
              <w:t xml:space="preserve">prevent any form of discrimination, coercion, harassment, or any other exploitation. CHT as an organisation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w:t>
            </w:r>
          </w:p>
          <w:p w14:paraId="34EE50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held responsible for creating a positive, inclusive and a safe working environment. Cultural diversity is acknowledged, and staff are educated on systemic racism and the understanding of injustices through policy and the code of conduct. CHT Māori Health Plan includes strategies to abolishing institutional racism. Staff complete education on orientation and annually as per the training plan on how to identify abuse and neglect. Staff are educated on how to value the older person showing them respect and dignity. All residents and family/whānau interviewed confirmed that the staff are very caring, supportive, and respectful. </w:t>
            </w:r>
          </w:p>
          <w:p w14:paraId="358FA3E3"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vetting checks are completed as part of the employment process. The service implements a process to manage residents’ comfort funds. Professional boundaries are defined in job descriptions. Interviews with the clinical coordinator, registered nurses and healthcare assistants confirmed their understanding of professional boundaries, including the boundaries of their role and responsibilities. There are short and long-term objectives in the CHT Māori health plan and a cultural policy that provides a framework and guide to improving Māori health and a leadership commitment to address inequities.</w:t>
            </w:r>
          </w:p>
          <w:p w14:paraId="628F09D7" w14:textId="77777777" w:rsidR="00000000" w:rsidRPr="00BE00C7" w:rsidRDefault="00000000" w:rsidP="00BE00C7">
            <w:pPr>
              <w:pStyle w:val="OutcomeDescription"/>
              <w:spacing w:before="120" w:after="120"/>
              <w:rPr>
                <w:rFonts w:cs="Arial"/>
                <w:lang w:eastAsia="en-NZ"/>
              </w:rPr>
            </w:pPr>
          </w:p>
        </w:tc>
      </w:tr>
      <w:tr w:rsidR="00A16AB0" w14:paraId="152BDFF8" w14:textId="77777777">
        <w:tc>
          <w:tcPr>
            <w:tcW w:w="0" w:type="auto"/>
          </w:tcPr>
          <w:p w14:paraId="5E0393D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A4BA7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communicate with them about their choices.</w:t>
            </w:r>
          </w:p>
          <w:p w14:paraId="53565DEC" w14:textId="77777777" w:rsidR="00000000" w:rsidRPr="00BE00C7" w:rsidRDefault="00000000" w:rsidP="00BE00C7">
            <w:pPr>
              <w:pStyle w:val="OutcomeDescription"/>
              <w:spacing w:before="120" w:after="120"/>
              <w:rPr>
                <w:rFonts w:cs="Arial"/>
                <w:lang w:eastAsia="en-NZ"/>
              </w:rPr>
            </w:pPr>
          </w:p>
        </w:tc>
        <w:tc>
          <w:tcPr>
            <w:tcW w:w="0" w:type="auto"/>
          </w:tcPr>
          <w:p w14:paraId="335DF98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3AA5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relatives on admission. Monthly resident meetings identify feedback from residents and consequent follow up by the service. Minutes are shared with family/whānau and residents who may not have been able to attend. Policies and procedures relating to accident/incidents, complaints, and open disclosure alert staff to their responsibility to notify next of kin of any adverse event that occurs. Electronic accident/incident forms have a section to indicate if next of kin have </w:t>
            </w:r>
            <w:r w:rsidRPr="00BE00C7">
              <w:rPr>
                <w:rFonts w:cs="Arial"/>
                <w:lang w:eastAsia="en-NZ"/>
              </w:rPr>
              <w:lastRenderedPageBreak/>
              <w:t xml:space="preserve">been informed (or not). This is also documented in the progress notes. The accident/incident forms reviewed identified next of kin are kept informed; this was confirmed through the interviews with family/whānau. </w:t>
            </w:r>
          </w:p>
          <w:p w14:paraId="5FE1A5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in addition to staff members who speak the residents’ languages. At the time of the audit there was one resident who could not speak English where the use of cue cards, family and staff interpreters were used.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hospice and Health New Zealand - Te Whatu Ora Health specialist services. </w:t>
            </w:r>
          </w:p>
          <w:p w14:paraId="6E99A3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family/whānau provide consent and are communicated with regarding services involved. The management team were able to describe an implemented process around providing residents with time for discussion around care, time to consider decisions, and opportunities for further discussion, if required. Residents and family/whānau interviewed confirm they know what is happening within the care home and felt informed regarding events and changes through regular communication and newsletters.</w:t>
            </w:r>
          </w:p>
          <w:p w14:paraId="171ED707" w14:textId="77777777" w:rsidR="00000000" w:rsidRPr="00BE00C7" w:rsidRDefault="00000000" w:rsidP="00BE00C7">
            <w:pPr>
              <w:pStyle w:val="OutcomeDescription"/>
              <w:spacing w:before="120" w:after="120"/>
              <w:rPr>
                <w:rFonts w:cs="Arial"/>
                <w:lang w:eastAsia="en-NZ"/>
              </w:rPr>
            </w:pPr>
          </w:p>
        </w:tc>
      </w:tr>
      <w:tr w:rsidR="00A16AB0" w14:paraId="471ED919" w14:textId="77777777">
        <w:tc>
          <w:tcPr>
            <w:tcW w:w="0" w:type="auto"/>
          </w:tcPr>
          <w:p w14:paraId="4F3BD7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5D881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1DF01815" w14:textId="77777777" w:rsidR="00000000" w:rsidRPr="00BE00C7" w:rsidRDefault="00000000" w:rsidP="00BE00C7">
            <w:pPr>
              <w:pStyle w:val="OutcomeDescription"/>
              <w:spacing w:before="120" w:after="120"/>
              <w:rPr>
                <w:rFonts w:cs="Arial"/>
                <w:lang w:eastAsia="en-NZ"/>
              </w:rPr>
            </w:pPr>
          </w:p>
        </w:tc>
        <w:tc>
          <w:tcPr>
            <w:tcW w:w="0" w:type="auto"/>
          </w:tcPr>
          <w:p w14:paraId="1ED8A7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90A4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Ten resident files reviewed included informed consent forms signed by either the resident or powers of attorney/welfare guardians. Consent forms for vaccinations were also on file where appropriate. Residents and relatives interviewed could describe what informed consent was and their rights around choice. There is an advance directive policy.</w:t>
            </w:r>
          </w:p>
          <w:p w14:paraId="600205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ten resident files reviewed, there were appropriately signed resuscitation plans and shared goals of care in place. The service follows relevant best practice tikanga guidelines, welcoming the </w:t>
            </w:r>
            <w:r w:rsidRPr="00BE00C7">
              <w:rPr>
                <w:rFonts w:cs="Arial"/>
                <w:lang w:eastAsia="en-NZ"/>
              </w:rPr>
              <w:lastRenderedPageBreak/>
              <w:t>involvement of family/whānau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w:t>
            </w:r>
          </w:p>
          <w:p w14:paraId="48AA44D1" w14:textId="77777777" w:rsidR="00000000" w:rsidRPr="00BE00C7" w:rsidRDefault="00000000" w:rsidP="00BE00C7">
            <w:pPr>
              <w:pStyle w:val="OutcomeDescription"/>
              <w:spacing w:before="120" w:after="120"/>
              <w:rPr>
                <w:rFonts w:cs="Arial"/>
                <w:lang w:eastAsia="en-NZ"/>
              </w:rPr>
            </w:pPr>
          </w:p>
        </w:tc>
      </w:tr>
      <w:tr w:rsidR="00A16AB0" w14:paraId="5A0FE111" w14:textId="77777777">
        <w:tc>
          <w:tcPr>
            <w:tcW w:w="0" w:type="auto"/>
          </w:tcPr>
          <w:p w14:paraId="057B5F6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90721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19CD862" w14:textId="77777777" w:rsidR="00000000" w:rsidRPr="00BE00C7" w:rsidRDefault="00000000" w:rsidP="00BE00C7">
            <w:pPr>
              <w:pStyle w:val="OutcomeDescription"/>
              <w:spacing w:before="120" w:after="120"/>
              <w:rPr>
                <w:rFonts w:cs="Arial"/>
                <w:lang w:eastAsia="en-NZ"/>
              </w:rPr>
            </w:pPr>
          </w:p>
        </w:tc>
        <w:tc>
          <w:tcPr>
            <w:tcW w:w="0" w:type="auto"/>
          </w:tcPr>
          <w:p w14:paraId="0925F9E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EFCA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care home manager maintains a record of all complaints, both verbal and written using a complaint register. Documentation including follow-up letters and resolution demonstrates that complaints are being managed in accordance with guidelines set by the Health and Disability Commissioner (HDC). One complaint has been lodged since last audit in October 2023. Review of the records confirms that it was of a minor nature and was well managed to the satisfaction of the complainant. There have been no external complaints. </w:t>
            </w:r>
          </w:p>
          <w:p w14:paraId="5A4354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meetings are held monthly and create a platform where concerns can be raised. During interviews with family/whānau, they confirmed the care home manager is available to listen to concerns and acts promptly on issues raised. Residents and family/whānau making a complaint can involve an independent support person in the process if they choose. </w:t>
            </w:r>
          </w:p>
          <w:p w14:paraId="6412E653"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about support resources for Māori is available to staff to assist Māori in the complaints process. Māori residents are supported to ensure an equitable complaints process. The management team acknowledged the understanding that for Māori, there is a preference for face-to-face communication. Staff are informed of complaints (and any subsequent corrective actions) in the staff, quality and registered nurse meetings (minutes sighted). Any higher risk complaints would be managed with the support of the area manager.</w:t>
            </w:r>
          </w:p>
          <w:p w14:paraId="441AFAAF" w14:textId="77777777" w:rsidR="00000000" w:rsidRPr="00BE00C7" w:rsidRDefault="00000000" w:rsidP="00BE00C7">
            <w:pPr>
              <w:pStyle w:val="OutcomeDescription"/>
              <w:spacing w:before="120" w:after="120"/>
              <w:rPr>
                <w:rFonts w:cs="Arial"/>
                <w:lang w:eastAsia="en-NZ"/>
              </w:rPr>
            </w:pPr>
          </w:p>
        </w:tc>
      </w:tr>
      <w:tr w:rsidR="00A16AB0" w14:paraId="28F7ABA8" w14:textId="77777777">
        <w:tc>
          <w:tcPr>
            <w:tcW w:w="0" w:type="auto"/>
          </w:tcPr>
          <w:p w14:paraId="2E3A2C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8D0F1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2CB5AE9" w14:textId="77777777" w:rsidR="00000000" w:rsidRPr="00BE00C7" w:rsidRDefault="00000000" w:rsidP="00BE00C7">
            <w:pPr>
              <w:pStyle w:val="OutcomeDescription"/>
              <w:spacing w:before="120" w:after="120"/>
              <w:rPr>
                <w:rFonts w:cs="Arial"/>
                <w:lang w:eastAsia="en-NZ"/>
              </w:rPr>
            </w:pPr>
          </w:p>
        </w:tc>
        <w:tc>
          <w:tcPr>
            <w:tcW w:w="0" w:type="auto"/>
          </w:tcPr>
          <w:p w14:paraId="5E6B74D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6E0790" w14:textId="77777777" w:rsidR="00000000" w:rsidRPr="00BE00C7" w:rsidRDefault="00000000" w:rsidP="00BE00C7">
            <w:pPr>
              <w:pStyle w:val="OutcomeDescription"/>
              <w:spacing w:before="120" w:after="120"/>
              <w:rPr>
                <w:rFonts w:cs="Arial"/>
                <w:lang w:eastAsia="en-NZ"/>
              </w:rPr>
            </w:pPr>
            <w:r w:rsidRPr="00BE00C7">
              <w:rPr>
                <w:rFonts w:cs="Arial"/>
                <w:lang w:eastAsia="en-NZ"/>
              </w:rPr>
              <w:t>Beachhaven is one of 21 care homes owned and operated by CHT Healthcare Trust, a charitable, not for profit organisation. The care home is built on one level and certified to provide hospital (geriatric and medical) and psychogeriatric care for up to 99 residents. The care home is split into 27 dedicated hospital beds (East wing) with six double rooms and 72 psychogeriatric beds; 40 beds in Kowhai with 15 double rooms and 32 beds in Tui with 12 double rooms.</w:t>
            </w:r>
          </w:p>
          <w:p w14:paraId="272506A4"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audit there were 90 residents in total. There were 64 psychogeriatric residents including six on long-term support chronic health contract (LTS-CHC), and 26 hospital level residents, including one on long-term support chronic health contract (LTS-CHC) and one on Accident Compensation Corporation (ACC) funding. All other residents in hospital level of care were under the age-related residential care contract (ARRC). The other psychogeriatric residents were on the age residential hospital specialised services (ARHSS) contract.</w:t>
            </w:r>
          </w:p>
          <w:p w14:paraId="527C87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has an overarching five-year strategy map (ending March 2029) with clear business goals to support organisational values.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goal. The 2024-2025 business plan being implemented includes a mission statement and operational objectives with site specific goals related to (but not limited to) budgeted occupancy; complaints management; resident satisfaction; customer engagement; maintaining quality gardens and staff retention and satisfaction. The care home manager reports on these areas monthly to the area manager. </w:t>
            </w:r>
          </w:p>
          <w:p w14:paraId="0E696B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governance body of CHT Healthcare Trust consists of seven trustees. Each of the trustees contributes their own areas of expertise to the Board, including legal, accounting, medical, human resources, marketing, and business management. The Chairperson of the Board is also an experienced director and chairs other organisational Boards. The area manager interviewed explained the strategic plan, its reflection of collaboration with Māori, which aligns with Manatū Hauora Ministry of Health strategies and addresses barriers to </w:t>
            </w:r>
            <w:r w:rsidRPr="00BE00C7">
              <w:rPr>
                <w:rFonts w:cs="Arial"/>
                <w:lang w:eastAsia="en-NZ"/>
              </w:rPr>
              <w:lastRenderedPageBreak/>
              <w:t xml:space="preserve">equitable service delivery. </w:t>
            </w:r>
          </w:p>
          <w:p w14:paraId="7D59F5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including partnership in recognising all cultures as partners and valuing each culture for the contributions they bring. Cultural advisors at the governance level ensure Māori have meaningful representation to have substantive input into organisational operational policies. CHT’s Māori Health Plan has a set of actions to address barriers to Māori accessing care and employment within CHT. The principles of these actions are also applied to people with disabilities. One of the actions from the Māori health plan is to develop meaningful relationships with kaumātua/kuia/koroua at governance, operational and service level. CHT have established a Māori working party to complement this action, including respected kaumātua. The Board and executive team have attended cultural training to ensure they are able to demonstrate expertise in Te Tiriti, health equity, and cultural safety. </w:t>
            </w:r>
          </w:p>
          <w:p w14:paraId="7F39D6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Board sub committees that are involved in the quality and risk management system: the Quality, Health &amp; Safety Committee (QHSC), and the Audit and Risk Committee. The Quality, Health &amp; Safety Committee (QHSC), reports to the Board and monitors CHT’s compliance with its policies and procedures on quality, health and safety, and relevant legislation and contractual requirements, as a part of its responsibilities. The quality programme includes a quality programme policy, and quality goals (including site specific business goals) that are reviewed monthly in unit review meetings, as well as being discussed in the monthly staff and registered nurse meetings and quarterly quality health and safety meetings. The Audit and Risk Committee assists the Board in fulfilling its responsibilities relating to accounting and reporting, and risk management practices. </w:t>
            </w:r>
          </w:p>
          <w:p w14:paraId="68F84D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CHT clinical quality lead provides oversight of the organisational clinical governance, working alongside the area managers to ensure a strong clinical quality culture. The four area managers provide clinical oversight for the care facilities within their region. A detailed analysis of clinical data related to each care homes is prepared and sent to the Board prior to every board meeting. The data is included in the Quality Health and Safety Committee report. The clinical data is compared both internally as well as externally against the national clinical </w:t>
            </w:r>
            <w:r w:rsidRPr="00BE00C7">
              <w:rPr>
                <w:rFonts w:cs="Arial"/>
                <w:lang w:eastAsia="en-NZ"/>
              </w:rPr>
              <w:lastRenderedPageBreak/>
              <w:t>benchmarking data. The reports provided to the Board provide an opportunity for discussions around issues raised and any corrective actions taken.</w:t>
            </w:r>
          </w:p>
          <w:p w14:paraId="18BC08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home manager, a registered nurse with a current practicing certificate, has over 40 years of aged care nursing experience and holds a Bachelor of business studies (management) and post graduate certificate in palliative care. They have been in the current role at CHT Beachhaven since August 2024. The care home manager is supported by a clinical coordinator who has been in the role for two years. They are both also supported by the area manager, CHT clinical quality lead and an experienced care team. The care home manager and clinical coordinator have completed more than eight hours of training related to managing an aged care facility and includes privacy related training, CHT specific business, New Zealand Aged Care Association (NZACA) Conference, NZACA full day workshop, infection control, cultural, and restraint training.</w:t>
            </w:r>
          </w:p>
          <w:p w14:paraId="00AA8687" w14:textId="77777777" w:rsidR="00000000" w:rsidRPr="00BE00C7" w:rsidRDefault="00000000" w:rsidP="00BE00C7">
            <w:pPr>
              <w:pStyle w:val="OutcomeDescription"/>
              <w:spacing w:before="120" w:after="120"/>
              <w:rPr>
                <w:rFonts w:cs="Arial"/>
                <w:lang w:eastAsia="en-NZ"/>
              </w:rPr>
            </w:pPr>
          </w:p>
        </w:tc>
      </w:tr>
      <w:tr w:rsidR="00A16AB0" w14:paraId="62D3CE87" w14:textId="77777777">
        <w:tc>
          <w:tcPr>
            <w:tcW w:w="0" w:type="auto"/>
          </w:tcPr>
          <w:p w14:paraId="408111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2973B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EDAB757" w14:textId="77777777" w:rsidR="00000000" w:rsidRPr="00BE00C7" w:rsidRDefault="00000000" w:rsidP="00BE00C7">
            <w:pPr>
              <w:pStyle w:val="OutcomeDescription"/>
              <w:spacing w:before="120" w:after="120"/>
              <w:rPr>
                <w:rFonts w:cs="Arial"/>
                <w:lang w:eastAsia="en-NZ"/>
              </w:rPr>
            </w:pPr>
          </w:p>
        </w:tc>
        <w:tc>
          <w:tcPr>
            <w:tcW w:w="0" w:type="auto"/>
          </w:tcPr>
          <w:p w14:paraId="57B878F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B059F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Beachhaven has an established quality and risk management programme. The quality and risk management systems include performance monitoring through internal audits and through the collection of clinical indicator data. Clinical indicator data (e.g., falls, skin tears, infections, medications) is collected, analysed at care home level, and benchmarked within the organisation and nationally with other aged care providers. Meeting minutes reviewed evidence quality data is shared in staff meetings. Internal audits are completed six-monthly by the area manager (completed in July and October 2024). However, these have not been completed comprehensively and corrective actions have not always been documented to be addressed and signed off when achieved. </w:t>
            </w:r>
          </w:p>
          <w:p w14:paraId="01C02B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monthly staff meetings and quality meetings provide an avenue for discussions in relation to (but not limited to) quality data; health and safety; infection control/pandemic strategies; complaints; compliments; staffing; and education. Resident/family satisfaction surveys are completed monthly, with a selection invited each month (on the anniversary of their admission), with the aim of covering all residents and family/whānau in a calendar year. The response rate </w:t>
            </w:r>
            <w:r w:rsidRPr="00BE00C7">
              <w:rPr>
                <w:rFonts w:cs="Arial"/>
                <w:lang w:eastAsia="en-NZ"/>
              </w:rPr>
              <w:lastRenderedPageBreak/>
              <w:t xml:space="preserve">has been very low. The September year to date rolling responses reviewed reflects overall satisfaction with the service with a likelihood to recommend the service at 100%, satisfaction with care, activities, food, housekeeping and friendliness also sitting at 100%. </w:t>
            </w:r>
          </w:p>
          <w:p w14:paraId="4453757F" w14:textId="77777777" w:rsidR="00000000" w:rsidRPr="00BE00C7" w:rsidRDefault="00000000" w:rsidP="00BE00C7">
            <w:pPr>
              <w:pStyle w:val="OutcomeDescription"/>
              <w:spacing w:before="120" w:after="120"/>
              <w:rPr>
                <w:rFonts w:cs="Arial"/>
                <w:lang w:eastAsia="en-NZ"/>
              </w:rPr>
            </w:pPr>
            <w:r w:rsidRPr="00BE00C7">
              <w:rPr>
                <w:rFonts w:cs="Arial"/>
                <w:lang w:eastAsia="en-NZ"/>
              </w:rPr>
              <w:t>Quality improvement plans have been documented and include monitoring of progress on clinical indicators such as pressure injuries and falls, to reduce the number of incidents and improve residents’ quality of life. There was also a continuous improvement initiative in place in relation to weight management (3.5.1).</w:t>
            </w:r>
          </w:p>
          <w:p w14:paraId="50CF6899"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safety is embedded in the quality system. Tāngata whaikaha has meaningful representation through the monthly resident and family/whānau meetings and six-monthly care plan review meetings.</w:t>
            </w:r>
          </w:p>
          <w:p w14:paraId="3FEC8F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and reflect updates to the Ngā Paerewa Standard (NZS 8134:2021). Staff have completed a range of training, including cultural awareness training, to ensure a high quality of service is delivered to all residents within the service. A health and safety system is being implemented led by a health and safety committee of eight staff, compromising of representatives from all departments at the care home. Five of the committee members have completed the required external training for health and safety officers. Hazard identification forms and an up-to-date hazard register were sighted (last reviewed November 2024). In the event of a staff accident or incident, a debrief process is documented on the accident/incident form. Health and safety training begins at orientation and continues annually. </w:t>
            </w:r>
          </w:p>
          <w:p w14:paraId="71555342" w14:textId="77777777" w:rsidR="00000000" w:rsidRPr="00BE00C7" w:rsidRDefault="00000000" w:rsidP="00BE00C7">
            <w:pPr>
              <w:pStyle w:val="OutcomeDescription"/>
              <w:spacing w:before="120" w:after="120"/>
              <w:rPr>
                <w:rFonts w:cs="Arial"/>
                <w:lang w:eastAsia="en-NZ"/>
              </w:rPr>
            </w:pPr>
            <w:r w:rsidRPr="00BE00C7">
              <w:rPr>
                <w:rFonts w:cs="Arial"/>
                <w:lang w:eastAsia="en-NZ"/>
              </w:rPr>
              <w:t>Accident/incident forms reviewed indicated that the electronic forms are completed in full and are signed off by the care home manager or clinical coordinator. Incident and accident data is collated monthly and analysed by both the care home manager and the area manager. Results are discussed in the staff and quality health and safety meetings.</w:t>
            </w:r>
          </w:p>
          <w:p w14:paraId="7167F6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care home manager and clinical coordinator evidenced their awareness of their requirement to notify relevant authorities in relation to essential notifications. Section 31 notifications </w:t>
            </w:r>
            <w:r w:rsidRPr="00BE00C7">
              <w:rPr>
                <w:rFonts w:cs="Arial"/>
                <w:lang w:eastAsia="en-NZ"/>
              </w:rPr>
              <w:lastRenderedPageBreak/>
              <w:t xml:space="preserve">sent related to change in facility manager, pressure injuries grade three and above (January, April, May, July and September 2024) and one for significant resident behaviour which resulted in another resident being hospitalised. There have been seven outbreaks since last audit. These were appropriately notified, managed, and staff debriefed. </w:t>
            </w:r>
          </w:p>
          <w:p w14:paraId="3C59F9E0" w14:textId="77777777" w:rsidR="00000000" w:rsidRPr="00BE00C7" w:rsidRDefault="00000000" w:rsidP="00BE00C7">
            <w:pPr>
              <w:pStyle w:val="OutcomeDescription"/>
              <w:spacing w:before="120" w:after="120"/>
              <w:rPr>
                <w:rFonts w:cs="Arial"/>
                <w:lang w:eastAsia="en-NZ"/>
              </w:rPr>
            </w:pPr>
          </w:p>
        </w:tc>
      </w:tr>
      <w:tr w:rsidR="00A16AB0" w14:paraId="13D908BF" w14:textId="77777777">
        <w:tc>
          <w:tcPr>
            <w:tcW w:w="0" w:type="auto"/>
          </w:tcPr>
          <w:p w14:paraId="72A70E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D794D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76A4E6" w14:textId="77777777" w:rsidR="00000000" w:rsidRPr="00BE00C7" w:rsidRDefault="00000000" w:rsidP="00BE00C7">
            <w:pPr>
              <w:pStyle w:val="OutcomeDescription"/>
              <w:spacing w:before="120" w:after="120"/>
              <w:rPr>
                <w:rFonts w:cs="Arial"/>
                <w:lang w:eastAsia="en-NZ"/>
              </w:rPr>
            </w:pPr>
          </w:p>
        </w:tc>
        <w:tc>
          <w:tcPr>
            <w:tcW w:w="0" w:type="auto"/>
          </w:tcPr>
          <w:p w14:paraId="3CA0D16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8DA7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The registered nurses, the activities coordinator and a selection of healthcare assistants hold current first aid certificates. There is a first aid trained staff member on duty 24/7. Interviews with staff confirmed that their workload is manageable. Vacant shifts are covered by available healthcare assistants, registered nurses, casual, or bureau staff. There was no registered nurse vacancy reported at the time of the audit. Out of hours on-call 24/7 cover is shared between the care home manager and clinical coordinator. The clinical coordinator supported by the area manager will perform the care home manager’s role in their absence. Staff and residents are informed when there are changes to staffing levels, evidenced in staff interviews and resident meeting minutes. </w:t>
            </w:r>
          </w:p>
          <w:p w14:paraId="556EC9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and clinical coordinator are both available from Monday to Friday. The roster reviewed evidenced registered nurse cover 24/7. The number of healthcare assistants on each shift is sufficient for the acuity, layout of the care home, support with the workload and to provide safe and timely care on all shifts. </w:t>
            </w:r>
          </w:p>
          <w:p w14:paraId="162FF8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(through the Dayforce electronic learning management system and clinical topics), which includes cultural awareness training. Staff have completed cultural awareness training online which included the provision of safe cultural care, Māori world view and the Treaty of Waitangi. The training content provided resources to staff to encourage participation in learning opportunities that provide them with up-to-date information on Māori health outcomes and disparities, and health equity. External training opportunities for care staff include </w:t>
            </w:r>
            <w:r w:rsidRPr="00BE00C7">
              <w:rPr>
                <w:rFonts w:cs="Arial"/>
                <w:lang w:eastAsia="en-NZ"/>
              </w:rPr>
              <w:lastRenderedPageBreak/>
              <w:t xml:space="preserve">training through Health New Zealand - Te Whatu Ora, hospice and the organisation’s online training portal, which can be accessed on personal devices. </w:t>
            </w:r>
          </w:p>
          <w:p w14:paraId="495AA5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Fifty-three healthcare assistants are employed, 36 of whom have achieved a level 3 NZQA qualification or higher. Of the 53 healthcare assistants employed at the care home forty-three have attained the psychogeriatric unit standards according to the ARHSS clause D 17.11, and the remaining ten are enrolled and in progress and are within the 18-month timeframe for completion. </w:t>
            </w:r>
          </w:p>
          <w:p w14:paraId="357C83B4" w14:textId="0B1675B3" w:rsidR="00000000" w:rsidRPr="00BE00C7" w:rsidRDefault="00000000" w:rsidP="00BE00C7">
            <w:pPr>
              <w:pStyle w:val="OutcomeDescription"/>
              <w:spacing w:before="120" w:after="120"/>
              <w:rPr>
                <w:rFonts w:cs="Arial"/>
                <w:lang w:eastAsia="en-NZ"/>
              </w:rPr>
            </w:pPr>
            <w:r w:rsidRPr="00BE00C7">
              <w:rPr>
                <w:rFonts w:cs="Arial"/>
                <w:lang w:eastAsia="en-NZ"/>
              </w:rPr>
              <w:t xml:space="preserve">The CHT </w:t>
            </w:r>
            <w:proofErr w:type="spellStart"/>
            <w:r w:rsidRPr="00BE00C7">
              <w:rPr>
                <w:rFonts w:cs="Arial"/>
                <w:lang w:eastAsia="en-NZ"/>
              </w:rPr>
              <w:t>Beachhaven</w:t>
            </w:r>
            <w:proofErr w:type="spellEnd"/>
            <w:r w:rsidRPr="00BE00C7">
              <w:rPr>
                <w:rFonts w:cs="Arial"/>
                <w:lang w:eastAsia="en-NZ"/>
              </w:rPr>
              <w:t xml:space="preserve"> orientation programme ensure</w:t>
            </w:r>
            <w:r w:rsidR="00004211">
              <w:rPr>
                <w:rFonts w:cs="Arial"/>
                <w:lang w:eastAsia="en-NZ"/>
              </w:rPr>
              <w:t>s</w:t>
            </w:r>
            <w:r w:rsidRPr="00BE00C7">
              <w:rPr>
                <w:rFonts w:cs="Arial"/>
                <w:lang w:eastAsia="en-NZ"/>
              </w:rPr>
              <w:t xml:space="preserve"> core competencies and compulsory knowledge/topics are addressed. All staff are required to complete competency assessments as part of their orientation. All healthcare assistants are required to complete annual competencies for moving and handling. A record of completion is maintained on an electronic register. </w:t>
            </w:r>
          </w:p>
          <w:p w14:paraId="04D55F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Additional registered nurse specific competencies include syringe driver and interRAI assessment competency. Seventeen of twenty-one registered nurses (including the clinical coordinator) are interRAI trained. All registered nurses are encouraged to attend in-service training and have completed training around infection control, including Covid-19 preparedness, effective communication in the care setting, and management of diabetes, and dementia including behavioural and psychological symptoms of dementia. Registered nurses are also encouraged to attend external training, webinars and zoom training where available. All staff, including registered nurses attend relevant staff and registered nurse meetings when possible. </w:t>
            </w:r>
          </w:p>
          <w:p w14:paraId="08AFBE40"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59224C61" w14:textId="77777777" w:rsidR="00000000" w:rsidRPr="00BE00C7" w:rsidRDefault="00000000" w:rsidP="00BE00C7">
            <w:pPr>
              <w:pStyle w:val="OutcomeDescription"/>
              <w:spacing w:before="120" w:after="120"/>
              <w:rPr>
                <w:rFonts w:cs="Arial"/>
                <w:lang w:eastAsia="en-NZ"/>
              </w:rPr>
            </w:pPr>
          </w:p>
        </w:tc>
      </w:tr>
      <w:tr w:rsidR="00A16AB0" w14:paraId="617FDBEC" w14:textId="77777777">
        <w:tc>
          <w:tcPr>
            <w:tcW w:w="0" w:type="auto"/>
          </w:tcPr>
          <w:p w14:paraId="0831434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EDF3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7A24127" w14:textId="77777777" w:rsidR="00000000" w:rsidRPr="00BE00C7" w:rsidRDefault="00000000" w:rsidP="00BE00C7">
            <w:pPr>
              <w:pStyle w:val="OutcomeDescription"/>
              <w:spacing w:before="120" w:after="120"/>
              <w:rPr>
                <w:rFonts w:cs="Arial"/>
                <w:lang w:eastAsia="en-NZ"/>
              </w:rPr>
            </w:pPr>
          </w:p>
        </w:tc>
        <w:tc>
          <w:tcPr>
            <w:tcW w:w="0" w:type="auto"/>
          </w:tcPr>
          <w:p w14:paraId="46AA20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B281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Ten staff files reviewed (one clinical coordinator, two registered nurses, one enrolled nurse, one administrator, one activities coordinator, four healthcare assistants) evidenced implementation of the recruitment process, employment contracts, police checking and completed orientation. There are job descriptions in place for all positions that includes outcomes, accountability, responsibilities, and functions to be achieved for each position. All staff who have been employed for over one year have an annual appraisal completed.</w:t>
            </w:r>
          </w:p>
          <w:p w14:paraId="661D051F"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including (but not limited to) general practitioner, dietician, podiatrist, pharmacists and physiotherapist.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healthcare assistants to provide a culturally safe environment for Māori. Information held about staff is kept secure, and confidential. Ethnicity data is identified for staff, and an employee ethnicity database is available. Following any staff incident/accident, evidence of debriefing and follow-up action taken are documented. Wellbeing support is provided to staff.</w:t>
            </w:r>
          </w:p>
          <w:p w14:paraId="025A6922" w14:textId="77777777" w:rsidR="00000000" w:rsidRPr="00BE00C7" w:rsidRDefault="00000000" w:rsidP="00BE00C7">
            <w:pPr>
              <w:pStyle w:val="OutcomeDescription"/>
              <w:spacing w:before="120" w:after="120"/>
              <w:rPr>
                <w:rFonts w:cs="Arial"/>
                <w:lang w:eastAsia="en-NZ"/>
              </w:rPr>
            </w:pPr>
          </w:p>
        </w:tc>
      </w:tr>
      <w:tr w:rsidR="00A16AB0" w14:paraId="21CDA667" w14:textId="77777777">
        <w:tc>
          <w:tcPr>
            <w:tcW w:w="0" w:type="auto"/>
          </w:tcPr>
          <w:p w14:paraId="0124CAC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B83D6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BD59F78" w14:textId="77777777" w:rsidR="00000000" w:rsidRPr="00BE00C7" w:rsidRDefault="00000000" w:rsidP="00BE00C7">
            <w:pPr>
              <w:pStyle w:val="OutcomeDescription"/>
              <w:spacing w:before="120" w:after="120"/>
              <w:rPr>
                <w:rFonts w:cs="Arial"/>
                <w:lang w:eastAsia="en-NZ"/>
              </w:rPr>
            </w:pPr>
          </w:p>
        </w:tc>
        <w:tc>
          <w:tcPr>
            <w:tcW w:w="0" w:type="auto"/>
          </w:tcPr>
          <w:p w14:paraId="1D5387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8D88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a mixture of hard copy and electronic format. Electronic information is regularly backed-up using cloud-based technology and password protection. There is a documented CHT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w:t>
            </w:r>
          </w:p>
          <w:p w14:paraId="58C25B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archived files are securely stored in a locked room or </w:t>
            </w:r>
            <w:r w:rsidRPr="00BE00C7">
              <w:rPr>
                <w:rFonts w:cs="Arial"/>
                <w:lang w:eastAsia="en-NZ"/>
              </w:rPr>
              <w:lastRenderedPageBreak/>
              <w:t>backed-up on the electronic system and easily retrievable when required. Residents entering the service have all relevant initial information recorded within 24 hours of entry into the resident’s individual record. Personal resident information is kept confidential and cannot be viewed by other residents or members of the public. The care home manager (supported by CHT’s area manager) is the privacy officer and there is a pathway of communication and approval to release health information. The service is not responsible for National Health Index registration.</w:t>
            </w:r>
          </w:p>
          <w:p w14:paraId="333560C1" w14:textId="77777777" w:rsidR="00000000" w:rsidRPr="00BE00C7" w:rsidRDefault="00000000" w:rsidP="00BE00C7">
            <w:pPr>
              <w:pStyle w:val="OutcomeDescription"/>
              <w:spacing w:before="120" w:after="120"/>
              <w:rPr>
                <w:rFonts w:cs="Arial"/>
                <w:lang w:eastAsia="en-NZ"/>
              </w:rPr>
            </w:pPr>
          </w:p>
        </w:tc>
      </w:tr>
      <w:tr w:rsidR="00A16AB0" w14:paraId="07B3B5DF" w14:textId="77777777">
        <w:tc>
          <w:tcPr>
            <w:tcW w:w="0" w:type="auto"/>
          </w:tcPr>
          <w:p w14:paraId="6975928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E8378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4BDFA94" w14:textId="77777777" w:rsidR="00000000" w:rsidRPr="00BE00C7" w:rsidRDefault="00000000" w:rsidP="00BE00C7">
            <w:pPr>
              <w:pStyle w:val="OutcomeDescription"/>
              <w:spacing w:before="120" w:after="120"/>
              <w:rPr>
                <w:rFonts w:cs="Arial"/>
                <w:lang w:eastAsia="en-NZ"/>
              </w:rPr>
            </w:pPr>
          </w:p>
        </w:tc>
        <w:tc>
          <w:tcPr>
            <w:tcW w:w="0" w:type="auto"/>
          </w:tcPr>
          <w:p w14:paraId="374303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DB59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provided for family/whānau and residents prior to admission or on entry to the service. Review of residents’ files confirmed that entry to service complied with entry criteria. Ten admission agreements reviewed align with all service requirements. Exclusions from the service are included in the admission agreement. Family/whānau and residents interviewed stated that they have received the information pack and received sufficient information prior to and on entry to the service. Admission criteria is based on the assessed need of the resident and the contracts under which the service operates. The care home manager and clinical coordinator are available to answer any questions regarding the admission process and a waiting list is managed. </w:t>
            </w:r>
          </w:p>
          <w:p w14:paraId="1A01DD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CHT Beachhaven is committed to recognising and celebrating tāngata whenua (iwi) in a meaningful way through partnership, educational programmes and liaison with Te Awataha </w:t>
            </w:r>
            <w:r w:rsidRPr="00BE00C7">
              <w:rPr>
                <w:rFonts w:cs="Arial"/>
                <w:lang w:eastAsia="en-NZ"/>
              </w:rPr>
              <w:lastRenderedPageBreak/>
              <w:t>Marae in Northcote.</w:t>
            </w:r>
          </w:p>
          <w:p w14:paraId="54A98DDA" w14:textId="77777777" w:rsidR="00000000" w:rsidRPr="00BE00C7" w:rsidRDefault="00000000" w:rsidP="00BE00C7">
            <w:pPr>
              <w:pStyle w:val="OutcomeDescription"/>
              <w:spacing w:before="120" w:after="120"/>
              <w:rPr>
                <w:rFonts w:cs="Arial"/>
                <w:lang w:eastAsia="en-NZ"/>
              </w:rPr>
            </w:pPr>
          </w:p>
        </w:tc>
      </w:tr>
      <w:tr w:rsidR="00A16AB0" w14:paraId="06FFEFA5" w14:textId="77777777">
        <w:tc>
          <w:tcPr>
            <w:tcW w:w="0" w:type="auto"/>
          </w:tcPr>
          <w:p w14:paraId="1454DF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FD50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F13D3AD" w14:textId="77777777" w:rsidR="00000000" w:rsidRPr="00BE00C7" w:rsidRDefault="00000000" w:rsidP="00BE00C7">
            <w:pPr>
              <w:pStyle w:val="OutcomeDescription"/>
              <w:spacing w:before="120" w:after="120"/>
              <w:rPr>
                <w:rFonts w:cs="Arial"/>
                <w:lang w:eastAsia="en-NZ"/>
              </w:rPr>
            </w:pPr>
          </w:p>
        </w:tc>
        <w:tc>
          <w:tcPr>
            <w:tcW w:w="0" w:type="auto"/>
          </w:tcPr>
          <w:p w14:paraId="06AC5F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E502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files were reviewed for this audit: three hospital residents (including one long term support chronic health (LTS-CHC) and seven psychogeriatric residents (including one Accident Compensation Corporation (ACC)). The unit coordinators and the registered nurses (RN) are responsible for conducting all assessments and for the development of care plans. Residents and family/whānau interviewed report they are involved in the assessment, care planning and review process as evidenced in the files reviewed. </w:t>
            </w:r>
          </w:p>
          <w:p w14:paraId="759F1649"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and cultural awareness policy is in place to ensure the service supports Māori and family/whānau to identify their own pae ora outcomes in their care or support plan.</w:t>
            </w:r>
          </w:p>
          <w:p w14:paraId="7326EA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also a Pasifika health care plan. </w:t>
            </w:r>
          </w:p>
          <w:p w14:paraId="3700083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All reviewed files (including the LTS-CHC contract) had interRAI assessments completed. All files reviewed confirmed that the initial interRAI assessments and initial long-term care plans were completed in a timely manner. The long-term care plan includes interventions to guide care delivery, which are reflective of assessed needs. The care plans are holistic and align with the service’s model of person-centred care. Care plan evaluations were completed at least six-monthly or when residents’ needs changed. Short-term care plans for infections, weight loss, behaviour that challenges and wounds were well utilised, with interventions transferred to the long-term care plans in a timely manner.</w:t>
            </w:r>
          </w:p>
          <w:p w14:paraId="174747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independent general practitioner (GP) ensures residents are assessed within five working days of admission. The GP reviews each resident at least three-monthly. The GP provides on-call service for after hours and visits the facility at least twice weekly. The clinical coordinator is available 24/7 for clinical advice and decision making as required. When interviewed, the GP expressed satisfaction with the standard of care and the RN’s competence at CHT Beachhaven. Specialist referrals are initiated as needed. Allied health interventions </w:t>
            </w:r>
            <w:r w:rsidRPr="00BE00C7">
              <w:rPr>
                <w:rFonts w:cs="Arial"/>
                <w:lang w:eastAsia="en-NZ"/>
              </w:rPr>
              <w:lastRenderedPageBreak/>
              <w:t xml:space="preserve">were documented and integrated into care plans. The service has an independent physiotherapist contracted to work fourteen and a half hours a week. There is also a physiotherapist assistant who works 32 hours a week. The CHT dietitian is contacted as required. A podiatrist visits six to eight-weekly and a speech language therapist, occupational health therapist, continence advisor, hospice specialists and wound care specialist nurse are available as required. </w:t>
            </w:r>
          </w:p>
          <w:p w14:paraId="24832B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 care assistants and registered nurses interviewed described a verbal handover at the beginning of each duty that maintains a continuity of service delivery; this was observed on the day of audit and found to be comprehensive in nature. Progress notes are written daily by registered nurses with input from health care assistants. The registered nurses further add to the progress notes if there are any incidents, GP visits or changes in health status. </w:t>
            </w:r>
          </w:p>
          <w:p w14:paraId="572D402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family/whānau. When a resident’s condition alters, the staff alert the unit coordinators who then initiate a review with a GP. Family/whānau stated they were notified of all changes to health, including infections, accident/incidents, GP visit, medication changes and any changes to health status, and this was consistently documented in the resident’s progress notes.</w:t>
            </w:r>
          </w:p>
          <w:p w14:paraId="7E035715" w14:textId="77777777" w:rsidR="00000000"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eight residents with minor wounds. There were two stage 2 pressure injuries and one suspected deep tissue injury. All wounds were reviewed and had comprehensive wound assessments, wound management plans and documented evaluations, including photographs (if required) to show healing progression. The wound care specialist had been accessed for input into the pressure injuries. The health care assistants and registered nurses interviewed confirmed there are adequate clinical supplies and equipment provided, including continence, wound care supplies and pressure injury prevention resources.</w:t>
            </w:r>
          </w:p>
          <w:p w14:paraId="6130B9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Health care assistants and registered nurses complete monitoring charts, including bowel chart; blood pressure; weight; food and fluid chart; pain; behaviour; blood glucose levels; repositioning and restraint monitoring. All monitoring reviewed was </w:t>
            </w:r>
            <w:r w:rsidRPr="00BE00C7">
              <w:rPr>
                <w:rFonts w:cs="Arial"/>
                <w:lang w:eastAsia="en-NZ"/>
              </w:rPr>
              <w:lastRenderedPageBreak/>
              <w:t>implemented as scheduled. Neurological observations are completed for unwitnessed falls and suspected head injuries according to policy.</w:t>
            </w:r>
          </w:p>
          <w:p w14:paraId="710C7C0D" w14:textId="447482E8" w:rsidR="00000000" w:rsidRPr="00BE00C7" w:rsidRDefault="00000000" w:rsidP="00753433">
            <w:pPr>
              <w:pStyle w:val="OutcomeDescription"/>
              <w:spacing w:before="120" w:after="120"/>
              <w:rPr>
                <w:rFonts w:cs="Arial"/>
                <w:lang w:eastAsia="en-NZ"/>
              </w:rPr>
            </w:pPr>
          </w:p>
        </w:tc>
      </w:tr>
      <w:tr w:rsidR="00A16AB0" w14:paraId="5B571B33" w14:textId="77777777">
        <w:tc>
          <w:tcPr>
            <w:tcW w:w="0" w:type="auto"/>
          </w:tcPr>
          <w:p w14:paraId="2399363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C22C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F23DEC0" w14:textId="77777777" w:rsidR="00000000" w:rsidRPr="00BE00C7" w:rsidRDefault="00000000" w:rsidP="00BE00C7">
            <w:pPr>
              <w:pStyle w:val="OutcomeDescription"/>
              <w:spacing w:before="120" w:after="120"/>
              <w:rPr>
                <w:rFonts w:cs="Arial"/>
                <w:lang w:eastAsia="en-NZ"/>
              </w:rPr>
            </w:pPr>
          </w:p>
        </w:tc>
        <w:tc>
          <w:tcPr>
            <w:tcW w:w="0" w:type="auto"/>
          </w:tcPr>
          <w:p w14:paraId="1E257A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CA88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diversional therapist and two activities assistants who provide activities full time during the weekdays. The facility is currently advertising for a weekend activities assistant. The programme is supported by the health care assistants. </w:t>
            </w:r>
          </w:p>
          <w:p w14:paraId="5AF1A0C9" w14:textId="32DCF72F" w:rsidR="00000000" w:rsidRPr="00BE00C7" w:rsidRDefault="00000000" w:rsidP="00BE00C7">
            <w:pPr>
              <w:pStyle w:val="OutcomeDescription"/>
              <w:spacing w:before="120" w:after="120"/>
              <w:rPr>
                <w:rFonts w:cs="Arial"/>
                <w:lang w:eastAsia="en-NZ"/>
              </w:rPr>
            </w:pPr>
            <w:r w:rsidRPr="00BE00C7">
              <w:rPr>
                <w:rFonts w:cs="Arial"/>
                <w:lang w:eastAsia="en-NZ"/>
              </w:rPr>
              <w:t>The programme is planned monthly and weekly. The weekly calendar is placed in large print on the glass partitions in the nurses’ stations so they can be read from the outside. Those hospital residents who want a copy of the calendar have one in their rooms. The activity team facilitate opportunities to participate in te reo Māori, incorporating Māori language in entertainment and singing, craft, participation in Waitangi weekend</w:t>
            </w:r>
            <w:r w:rsidR="00CF6131">
              <w:rPr>
                <w:rFonts w:cs="Arial"/>
                <w:lang w:eastAsia="en-NZ"/>
              </w:rPr>
              <w:t xml:space="preserve">, </w:t>
            </w:r>
            <w:r w:rsidRPr="00BE00C7">
              <w:rPr>
                <w:rFonts w:cs="Arial"/>
                <w:lang w:eastAsia="en-NZ"/>
              </w:rPr>
              <w:t xml:space="preserve">Māori language week and </w:t>
            </w:r>
            <w:proofErr w:type="spellStart"/>
            <w:r w:rsidRPr="00BE00C7">
              <w:rPr>
                <w:rFonts w:cs="Arial"/>
                <w:lang w:eastAsia="en-NZ"/>
              </w:rPr>
              <w:t>Matariki</w:t>
            </w:r>
            <w:proofErr w:type="spellEnd"/>
            <w:r w:rsidRPr="00BE00C7">
              <w:rPr>
                <w:rFonts w:cs="Arial"/>
                <w:lang w:eastAsia="en-NZ"/>
              </w:rPr>
              <w:t xml:space="preserve">. </w:t>
            </w:r>
          </w:p>
          <w:p w14:paraId="02B22D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There is a set programme in the psychogeriatric wings, but all staff are very aware that this programme needs to be flexible. Those residents who prefer to stay in their room or cannot participate in group activities have one-on-one visits and activities such as manicures, hand massage and chit-chat. There are lounges where residents and families/whānau can watch television and access newspapers, games, puzzles, and books. </w:t>
            </w:r>
          </w:p>
          <w:p w14:paraId="088F9D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(but are not limited to) exercises; newspaper reading, music and movement; crafts; games; quizzes; entertainers; board gaming; hand pampering; bingo; happy hour; and ice-cream cart day. There are regular van drives for outings, regular entertainers visiting the residents, and Roman Catholic communion. The van outings are short for those with a short attention span but two hourly with a stop for </w:t>
            </w:r>
            <w:r w:rsidRPr="00BE00C7">
              <w:rPr>
                <w:rFonts w:cs="Arial"/>
                <w:lang w:eastAsia="en-NZ"/>
              </w:rPr>
              <w:lastRenderedPageBreak/>
              <w:t>morning tea for those residents with a greater concentration span. There is a facility cat and pet therapy dogs’ visit.</w:t>
            </w:r>
          </w:p>
          <w:p w14:paraId="089F7B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resident meetings in the hospital. Activities staff rely on feedback from other staff and family/whanau in the psychogeriatric wings. Residents and family/whanau can also provide feedback on activities at the six-monthly reviews. Residents and family/whānau interviewed stated the activity programme is meaningful and engaging. Family/whanau acknowledged the difficulties in the psychogeriatric wings but said staff did an amazing job.</w:t>
            </w:r>
          </w:p>
          <w:p w14:paraId="6946C742" w14:textId="77777777" w:rsidR="00000000" w:rsidRPr="00BE00C7" w:rsidRDefault="00000000" w:rsidP="00BE00C7">
            <w:pPr>
              <w:pStyle w:val="OutcomeDescription"/>
              <w:spacing w:before="120" w:after="120"/>
              <w:rPr>
                <w:rFonts w:cs="Arial"/>
                <w:lang w:eastAsia="en-NZ"/>
              </w:rPr>
            </w:pPr>
          </w:p>
        </w:tc>
      </w:tr>
      <w:tr w:rsidR="00A16AB0" w14:paraId="1898514E" w14:textId="77777777">
        <w:tc>
          <w:tcPr>
            <w:tcW w:w="0" w:type="auto"/>
          </w:tcPr>
          <w:p w14:paraId="37BB5FE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A59E0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514DCAC" w14:textId="77777777" w:rsidR="00000000" w:rsidRPr="00BE00C7" w:rsidRDefault="00000000" w:rsidP="00BE00C7">
            <w:pPr>
              <w:pStyle w:val="OutcomeDescription"/>
              <w:spacing w:before="120" w:after="120"/>
              <w:rPr>
                <w:rFonts w:cs="Arial"/>
                <w:lang w:eastAsia="en-NZ"/>
              </w:rPr>
            </w:pPr>
          </w:p>
        </w:tc>
        <w:tc>
          <w:tcPr>
            <w:tcW w:w="0" w:type="auto"/>
          </w:tcPr>
          <w:p w14:paraId="1C6290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F16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medication management policy is available for safe medicine management and meets legislative requirements. All staff who administer medications are assessed for competency on an annual basis. Education around safe medication administration has been provided. RN’s have completed syringe driver training. </w:t>
            </w:r>
          </w:p>
          <w:p w14:paraId="51222A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health care assistants interviewed could describe their role regarding medication administration. The facility uses robotic rolls. All medications are checked on delivery against the medication chart and any discrepancies are fed back to the supplying pharmacy. </w:t>
            </w:r>
          </w:p>
          <w:p w14:paraId="26D55C94"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stored securely in the medication room. Medication trolleys were always locked when not in use. The medication fridge and medication room temperatures are monitored daily. All medications, including stock medications, are checked monthly. All eyedrops have been dated on opening and discarded as per manufacturer’s instructions. All over-the-counter vitamins, supplements or alternative therapies residents choose to use are prescribed by the GP and charted on the electronic medication chart. There are currently none in use.</w:t>
            </w:r>
          </w:p>
          <w:p w14:paraId="624D60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Twenty electronic medication charts were reviewed. The medication charts reviewed confirmed the GP reviews all resident medication charts three-monthly and each chart has a photo identification and allergy status identified. There were no residents self-medicating on </w:t>
            </w:r>
            <w:r w:rsidRPr="00BE00C7">
              <w:rPr>
                <w:rFonts w:cs="Arial"/>
                <w:lang w:eastAsia="en-NZ"/>
              </w:rPr>
              <w:lastRenderedPageBreak/>
              <w:t xml:space="preserve">the days of audit. </w:t>
            </w:r>
          </w:p>
          <w:p w14:paraId="4D6D74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 re nata (PRN) medications are administered as prescribed and effectiveness is documented on the electronic medication system or in the progress notes. Medication competent health care assistants or registered nurses sign when the medication has been administered. There are no vaccines kept on site. The facility does not use standing orders. Residents and family/whānau are updated around medication changes, including the reason for changing medications and side effects. This is documented in the progress notes. </w:t>
            </w:r>
          </w:p>
          <w:p w14:paraId="7B1F34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nurses and clinical coordinator described the process to work in partnership with Māori residents and family/whānau to ensure the appropriate support is in place, advice is timely, easily accessed, and treatment is prioritised to achieve better health outcomes. Residents and their family/ whānau are supported to understand their medications when required.</w:t>
            </w:r>
          </w:p>
          <w:p w14:paraId="774120E8" w14:textId="77777777" w:rsidR="00000000" w:rsidRPr="00BE00C7" w:rsidRDefault="00000000" w:rsidP="00BE00C7">
            <w:pPr>
              <w:pStyle w:val="OutcomeDescription"/>
              <w:spacing w:before="120" w:after="120"/>
              <w:rPr>
                <w:rFonts w:cs="Arial"/>
                <w:lang w:eastAsia="en-NZ"/>
              </w:rPr>
            </w:pPr>
          </w:p>
        </w:tc>
      </w:tr>
      <w:tr w:rsidR="00A16AB0" w14:paraId="41C79A96" w14:textId="77777777">
        <w:tc>
          <w:tcPr>
            <w:tcW w:w="0" w:type="auto"/>
          </w:tcPr>
          <w:p w14:paraId="2673DB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5C7FA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3D24802" w14:textId="77777777" w:rsidR="00000000" w:rsidRPr="00BE00C7" w:rsidRDefault="00000000" w:rsidP="00BE00C7">
            <w:pPr>
              <w:pStyle w:val="OutcomeDescription"/>
              <w:spacing w:before="120" w:after="120"/>
              <w:rPr>
                <w:rFonts w:cs="Arial"/>
                <w:lang w:eastAsia="en-NZ"/>
              </w:rPr>
            </w:pPr>
          </w:p>
        </w:tc>
        <w:tc>
          <w:tcPr>
            <w:tcW w:w="0" w:type="auto"/>
          </w:tcPr>
          <w:p w14:paraId="55212D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E1FB1E" w14:textId="562289C4" w:rsidR="00000000" w:rsidRPr="00BE00C7" w:rsidRDefault="00000000" w:rsidP="00BE00C7">
            <w:pPr>
              <w:pStyle w:val="OutcomeDescription"/>
              <w:spacing w:before="120" w:after="120"/>
              <w:rPr>
                <w:rFonts w:cs="Arial"/>
                <w:lang w:eastAsia="en-NZ"/>
              </w:rPr>
            </w:pPr>
            <w:r w:rsidRPr="00BE00C7">
              <w:rPr>
                <w:rFonts w:cs="Arial"/>
                <w:lang w:eastAsia="en-NZ"/>
              </w:rPr>
              <w:t>The facility uses an external contractor, but all meals are prepared and cooked on site. There is a kitchen manager, chef, catering assistant, and kitchen assistant. All kitchen staff have completed safe food handling</w:t>
            </w:r>
            <w:r w:rsidR="00C93DE8">
              <w:rPr>
                <w:rFonts w:cs="Arial"/>
                <w:lang w:eastAsia="en-NZ"/>
              </w:rPr>
              <w:t>.</w:t>
            </w:r>
            <w:r w:rsidRPr="00BE00C7">
              <w:rPr>
                <w:rFonts w:cs="Arial"/>
                <w:lang w:eastAsia="en-NZ"/>
              </w:rPr>
              <w:t xml:space="preserve"> Currently there is a new kitchen under construction and the facility is temporarily using a ’fitted out’ container as their kitchen. </w:t>
            </w:r>
          </w:p>
          <w:p w14:paraId="1C6BB3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was observed to be clean, well-organised, well equipped and a current approved food control plan was evidenced, expiring in April 2025. </w:t>
            </w:r>
          </w:p>
          <w:p w14:paraId="6ADA83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four-weekly seasonal menu has been reviewed by a dietitian (22 July 2023). The dietitian is very involved with weight loss reduction especially in the psychogeriatric wings. There is a food services manual available in the kitchen. The kitchen manager receives resident dietary information from the registered nurses and is notified of any changes to dietary requirements (vegetarian, dairy free, pureed foods) or residents with weight loss. The kitchen manager (interviewed) is aware of resident likes, dislikes, and special dietary requirements. Alternative meals are offered for those residents with dislikes or religious and cultural preferences. Māori or Pasifika menu options are available upon request and family/whānau can bring </w:t>
            </w:r>
            <w:r w:rsidRPr="00BE00C7">
              <w:rPr>
                <w:rFonts w:cs="Arial"/>
                <w:lang w:eastAsia="en-NZ"/>
              </w:rPr>
              <w:lastRenderedPageBreak/>
              <w:t>special meals for their relatives. Residents have access to nutritious snacks. On the day of audit, meals were observed to be well presented. Healthcare assistants interviewed understand tikanga guidelines in terms of everyday practice. Tikanga guidelines are available to staff.</w:t>
            </w:r>
          </w:p>
          <w:p w14:paraId="5BF636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cook completes a daily diary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0FA24540" w14:textId="77777777" w:rsidR="00000000" w:rsidRPr="00BE00C7" w:rsidRDefault="00000000" w:rsidP="00BE00C7">
            <w:pPr>
              <w:pStyle w:val="OutcomeDescription"/>
              <w:spacing w:before="120" w:after="120"/>
              <w:rPr>
                <w:rFonts w:cs="Arial"/>
                <w:lang w:eastAsia="en-NZ"/>
              </w:rPr>
            </w:pPr>
            <w:r w:rsidRPr="00BE00C7">
              <w:rPr>
                <w:rFonts w:cs="Arial"/>
                <w:lang w:eastAsia="en-NZ"/>
              </w:rPr>
              <w:t>Meals are transported to dining rooms using hot boxes. Residents were observed enjoying their meals. Staff were observed assisting residents with meals in the dining area especially in the psychogeriatric wings. Encouragement is given to stay seated for those residents who wander/constantly walk. Modified utensils are available for residents to maintain independence with eating as required.</w:t>
            </w:r>
          </w:p>
          <w:p w14:paraId="5F4760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and the variety and choice of meals provided. They can offer feedback at the resident meetings and through resident surveys. </w:t>
            </w:r>
          </w:p>
          <w:p w14:paraId="50575794" w14:textId="77777777" w:rsidR="00000000" w:rsidRPr="00BE00C7" w:rsidRDefault="00000000" w:rsidP="00BE00C7">
            <w:pPr>
              <w:pStyle w:val="OutcomeDescription"/>
              <w:spacing w:before="120" w:after="120"/>
              <w:rPr>
                <w:rFonts w:cs="Arial"/>
                <w:lang w:eastAsia="en-NZ"/>
              </w:rPr>
            </w:pPr>
          </w:p>
        </w:tc>
      </w:tr>
      <w:tr w:rsidR="00A16AB0" w14:paraId="5BDF8347" w14:textId="77777777">
        <w:tc>
          <w:tcPr>
            <w:tcW w:w="0" w:type="auto"/>
          </w:tcPr>
          <w:p w14:paraId="218253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FD665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EF7FAEE" w14:textId="77777777" w:rsidR="00000000" w:rsidRPr="00BE00C7" w:rsidRDefault="00000000" w:rsidP="00BE00C7">
            <w:pPr>
              <w:pStyle w:val="OutcomeDescription"/>
              <w:spacing w:before="120" w:after="120"/>
              <w:rPr>
                <w:rFonts w:cs="Arial"/>
                <w:lang w:eastAsia="en-NZ"/>
              </w:rPr>
            </w:pPr>
          </w:p>
        </w:tc>
        <w:tc>
          <w:tcPr>
            <w:tcW w:w="0" w:type="auto"/>
          </w:tcPr>
          <w:p w14:paraId="0A6267C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335B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documented to ensure discharge or transfer of residents is undertaken in a timely and safe manner. </w:t>
            </w:r>
          </w:p>
          <w:p w14:paraId="594A88DB"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Family/whānau are involved for all transfers and discharges to and from the service, including being given options to access other health and disability services and social support or kaupapa Māori agencies, where indicated or requested. The clinical coordinator and registered nurses explained the transfer between services includes a comprehensive verbal handover and the completion of specific transfer documentation.</w:t>
            </w:r>
          </w:p>
          <w:p w14:paraId="1B711280" w14:textId="77777777" w:rsidR="00000000" w:rsidRPr="00BE00C7" w:rsidRDefault="00000000" w:rsidP="00BE00C7">
            <w:pPr>
              <w:pStyle w:val="OutcomeDescription"/>
              <w:spacing w:before="120" w:after="120"/>
              <w:rPr>
                <w:rFonts w:cs="Arial"/>
                <w:lang w:eastAsia="en-NZ"/>
              </w:rPr>
            </w:pPr>
          </w:p>
        </w:tc>
      </w:tr>
      <w:tr w:rsidR="00A16AB0" w14:paraId="79870FF8" w14:textId="77777777">
        <w:tc>
          <w:tcPr>
            <w:tcW w:w="0" w:type="auto"/>
          </w:tcPr>
          <w:p w14:paraId="28BC1F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4088A2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6A9168B" w14:textId="77777777" w:rsidR="00000000" w:rsidRPr="00BE00C7" w:rsidRDefault="00000000" w:rsidP="00BE00C7">
            <w:pPr>
              <w:pStyle w:val="OutcomeDescription"/>
              <w:spacing w:before="120" w:after="120"/>
              <w:rPr>
                <w:rFonts w:cs="Arial"/>
                <w:lang w:eastAsia="en-NZ"/>
              </w:rPr>
            </w:pPr>
          </w:p>
        </w:tc>
        <w:tc>
          <w:tcPr>
            <w:tcW w:w="0" w:type="auto"/>
          </w:tcPr>
          <w:p w14:paraId="7FD2AF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A5CB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9 July 2025. There is a property maintenance manager (interviewed) who works across all CHT sites. On site there is an experienced maintenance person who works full time five days a week to address day to day repairs and completed planned maintenance. There is an external contractor who manages the gardens. Maintenance requests are documented on an iPad. This is checked daily and signed off when repairs have been completed. There is an annual preventative maintenance plan that includes electrical testing and tagging (completed January 2024). Monthly testing of hot water temperatures occurs and if temperature recordings are out of expected range a plumber is notified. Essential contractors/ tradespeople are available 24 hours a day as required. Calibration of medical equipment was completed May 2024</w:t>
            </w:r>
          </w:p>
          <w:p w14:paraId="037723C6" w14:textId="77777777" w:rsidR="00000000" w:rsidRPr="00BE00C7" w:rsidRDefault="00000000" w:rsidP="00BE00C7">
            <w:pPr>
              <w:pStyle w:val="OutcomeDescription"/>
              <w:spacing w:before="120" w:after="120"/>
              <w:rPr>
                <w:rFonts w:cs="Arial"/>
                <w:lang w:eastAsia="en-NZ"/>
              </w:rPr>
            </w:pPr>
            <w:r w:rsidRPr="00BE00C7">
              <w:rPr>
                <w:rFonts w:cs="Arial"/>
                <w:lang w:eastAsia="en-NZ"/>
              </w:rPr>
              <w:t>Most of the hospital is carpeted with vinyl surfaces in bathrooms/toilets and kitchenette areas. The psychogeriatric units have vinyl flooring throughout. There is adequate space for storage of mobility equipment. Residents are encouraged to bring their own possessions, including those with cultural or spiritual significance into the facility and can personalise their room. In the hospital there are nine single rooms and six shared. In the psychogeriatric wings there are eighteen single rooms and 27 shared. All shared rooms have privacy curtains. In the hospital eleven rooms have their own toilets but all other rooms share communal showers and toilets. The toilet doors in the psychogeriatric units have pictures of toilets on them. Residents were observed moving freely around the areas with mobility aids where required. The healthcare assistants interviewed stated there was sufficient equipment to safely carry out resident cares, as documented in care plans.</w:t>
            </w:r>
          </w:p>
          <w:p w14:paraId="0CA421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handrails in hallways and private and communal toilets. The hallways are wide. The lounges are large allowing ample room for residents to mobilise and use equipment safely. Large well-appointed dining rooms are at the end of the lounges. In the hospital there are small niches for residents to have quieter times or entertain visitors. In the psychogeriatric lounges there are small groupings of chairs which provide quieter spaces. Activities take place in the large communal lounges. </w:t>
            </w:r>
          </w:p>
          <w:p w14:paraId="0FB431A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Some bedrooms in the hospitals have access to a balcony. There are outdoor areas with outdoor seating, shaded areas and raised gardens. The outdoor areas in the psychogeriatric wings are safely fenced. In Tui wing the outdoor fences have colourful murals and there is a long-looped pathway. Kowhai also has access to an outside area, but the facility is planning to upgrade this area as it can get wet in winter. The facility is also planning to purchase more shade canopies. There are sufficient communal toilets situated in proximity to communal areas. </w:t>
            </w:r>
          </w:p>
          <w:p w14:paraId="0EE235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is appropriately heated and ventilated. There are ceiling heaters throughout the facility. There is plenty of natural light in the rooms.</w:t>
            </w:r>
          </w:p>
          <w:p w14:paraId="1736DA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home manager and the clinical coordinator described how they would utilise their links with the kaumātua and local iwi to ensure the designs and environments reflect the aspirations and identity of Māori in any new construction.</w:t>
            </w:r>
          </w:p>
          <w:p w14:paraId="2E6F2910" w14:textId="77777777" w:rsidR="00000000" w:rsidRPr="00BE00C7" w:rsidRDefault="00000000" w:rsidP="00BE00C7">
            <w:pPr>
              <w:pStyle w:val="OutcomeDescription"/>
              <w:spacing w:before="120" w:after="120"/>
              <w:rPr>
                <w:rFonts w:cs="Arial"/>
                <w:lang w:eastAsia="en-NZ"/>
              </w:rPr>
            </w:pPr>
          </w:p>
        </w:tc>
      </w:tr>
      <w:tr w:rsidR="00A16AB0" w14:paraId="0C067990" w14:textId="77777777">
        <w:tc>
          <w:tcPr>
            <w:tcW w:w="0" w:type="auto"/>
          </w:tcPr>
          <w:p w14:paraId="4D7C900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EAE755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5D7B2A4" w14:textId="77777777" w:rsidR="00000000" w:rsidRPr="00BE00C7" w:rsidRDefault="00000000" w:rsidP="00BE00C7">
            <w:pPr>
              <w:pStyle w:val="OutcomeDescription"/>
              <w:spacing w:before="120" w:after="120"/>
              <w:rPr>
                <w:rFonts w:cs="Arial"/>
                <w:lang w:eastAsia="en-NZ"/>
              </w:rPr>
            </w:pPr>
          </w:p>
        </w:tc>
        <w:tc>
          <w:tcPr>
            <w:tcW w:w="0" w:type="auto"/>
          </w:tcPr>
          <w:p w14:paraId="7EED0D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3E05D6" w14:textId="77777777" w:rsidR="00000000" w:rsidRPr="00BE00C7" w:rsidRDefault="00000000"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Emergency New Zealand on the 15 February 2018. Fire evacuation drills are held six-monthly, and one was last completed June 2024. Civil defence supplies are stored in labelled cupboard and are checked six-monthly. The facility has ordered a generator to have on-site. Meantime they have an agreement with a contractor to hire one in the event of a power outage. There are gas barbeques for cooking in an emergency. There is an adequate food supply available for each resident for minimum of three days. Emergency water tanks provide 3,650 litres of mains water storage. They are connected to the water supply via a UV filter system.</w:t>
            </w:r>
          </w:p>
          <w:p w14:paraId="5172D0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is included in staff orientation and is included in the ongoing education plan. A minimum of one person trained in first aid is always available. There are call bells in the </w:t>
            </w:r>
            <w:r w:rsidRPr="00BE00C7">
              <w:rPr>
                <w:rFonts w:cs="Arial"/>
                <w:lang w:eastAsia="en-NZ"/>
              </w:rPr>
              <w:lastRenderedPageBreak/>
              <w:t xml:space="preserve">residents’ rooms, communal toilets, and lounge/dining room areas. Call bells are tested as per maintenance schedule. Staff were observed to be responsive to call bells on the days of the audit. Residents and families/whānau interviewed confirmed that call bells are answered in a timely manner. The facility is secured at night and there are contracted nightly security patrols. </w:t>
            </w:r>
          </w:p>
          <w:p w14:paraId="3CBBCF24" w14:textId="77777777" w:rsidR="00000000" w:rsidRPr="00BE00C7" w:rsidRDefault="00000000" w:rsidP="00BE00C7">
            <w:pPr>
              <w:pStyle w:val="OutcomeDescription"/>
              <w:spacing w:before="120" w:after="120"/>
              <w:rPr>
                <w:rFonts w:cs="Arial"/>
                <w:lang w:eastAsia="en-NZ"/>
              </w:rPr>
            </w:pPr>
          </w:p>
        </w:tc>
      </w:tr>
      <w:tr w:rsidR="00A16AB0" w14:paraId="4DE8B511" w14:textId="77777777">
        <w:tc>
          <w:tcPr>
            <w:tcW w:w="0" w:type="auto"/>
          </w:tcPr>
          <w:p w14:paraId="6F7248D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E61AE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46601F2" w14:textId="77777777" w:rsidR="00000000" w:rsidRPr="00BE00C7" w:rsidRDefault="00000000" w:rsidP="00BE00C7">
            <w:pPr>
              <w:pStyle w:val="OutcomeDescription"/>
              <w:spacing w:before="120" w:after="120"/>
              <w:rPr>
                <w:rFonts w:cs="Arial"/>
                <w:lang w:eastAsia="en-NZ"/>
              </w:rPr>
            </w:pPr>
          </w:p>
        </w:tc>
        <w:tc>
          <w:tcPr>
            <w:tcW w:w="0" w:type="auto"/>
          </w:tcPr>
          <w:p w14:paraId="68658C0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BB11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and antimicrobial stewardship (AMS) programme is linked into the electronic quality risk and incident reporting system. The infection control and AMS programme is reviewed annually by Bug Control, and they meet with all CHT infection control staff following this review. Infection control audits are conducted. Infection rates are presented and discussed at the staff, registered nurse and quality health and safety meetings. Infection control data is also sent to CHT head office, where it is reported at monthly Board meetings. The data is also benchmarked with other CHT care homes. Results of benchmarking are presented back to the care home electronically and results discussed with staff. This information is also displayed on staff noticeboards. Infection control is part of the strategic and quality plans.</w:t>
            </w:r>
          </w:p>
          <w:p w14:paraId="15AAF8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Bug Control and Health NZ – Te Whatu Ora. The service monitors compliance on antibiotic and antimicrobial use through evaluation and monitoring of medication prescribing charts, prescriptions, medical notes, as well as the prescribing patterns of medical practitioners.</w:t>
            </w:r>
          </w:p>
          <w:p w14:paraId="5AFEC835"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Hand sanitisers are strategically placed around the care home. Residents and staff are offered vaccinations as required.</w:t>
            </w:r>
          </w:p>
          <w:p w14:paraId="7B538380" w14:textId="77777777" w:rsidR="00000000" w:rsidRPr="00BE00C7" w:rsidRDefault="00000000" w:rsidP="00BE00C7">
            <w:pPr>
              <w:pStyle w:val="OutcomeDescription"/>
              <w:spacing w:before="120" w:after="120"/>
              <w:rPr>
                <w:rFonts w:cs="Arial"/>
                <w:lang w:eastAsia="en-NZ"/>
              </w:rPr>
            </w:pPr>
          </w:p>
        </w:tc>
      </w:tr>
      <w:tr w:rsidR="00A16AB0" w14:paraId="4AA7D6F0" w14:textId="77777777">
        <w:tc>
          <w:tcPr>
            <w:tcW w:w="0" w:type="auto"/>
          </w:tcPr>
          <w:p w14:paraId="737738D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FCCB7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A294FE" w14:textId="77777777" w:rsidR="00000000" w:rsidRPr="00BE00C7" w:rsidRDefault="00000000" w:rsidP="00BE00C7">
            <w:pPr>
              <w:pStyle w:val="OutcomeDescription"/>
              <w:spacing w:before="120" w:after="120"/>
              <w:rPr>
                <w:rFonts w:cs="Arial"/>
                <w:lang w:eastAsia="en-NZ"/>
              </w:rPr>
            </w:pPr>
          </w:p>
        </w:tc>
        <w:tc>
          <w:tcPr>
            <w:tcW w:w="0" w:type="auto"/>
          </w:tcPr>
          <w:p w14:paraId="173AAEF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55FE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coordinator, a registered nurse, oversees infection control and the AMS programme across the service as the infection control resource nurse (IFCRN). They work alongside a committee with representation from all departments. The job description outlines the </w:t>
            </w:r>
            <w:r w:rsidRPr="00BE00C7">
              <w:rPr>
                <w:rFonts w:cs="Arial"/>
                <w:lang w:eastAsia="en-NZ"/>
              </w:rPr>
              <w:lastRenderedPageBreak/>
              <w:t xml:space="preserve">responsibility of the role. The infection control programme, its content and detail, is appropriate for the size, complexity and degree of risk associated with the service. The service has an outbreak and pandemic response plan (incorporating Covid-19), which includes preparation, planning and the management of outbreaks. There is ample personal protective equipment, with extra stocks available as required. There is a process to ensure rotation of stock and expiry dates are checked. </w:t>
            </w:r>
          </w:p>
          <w:p w14:paraId="1B1C37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resource nurse (IFCRN) has completed infection control education. There is good external support from the general practitioner, laboratory, Bug Control, and Health New Zealand – Te Whatu Ora infection control nurse specialist. The IFCRN has input to purchasing supplies and equipment. Infection control advice has been included as part of the planning of the kitchen refurbishment. </w:t>
            </w:r>
          </w:p>
          <w:p w14:paraId="2487BC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online infection control manual from Bug Control outlines a comprehensive range of policies, standards and guidelines and includes defining roles, responsibilities and oversight, training, and education of staff. Policies and procedures are reviewed by Bug Control in consultation with infection control resource nurses. Policies are available to staff.</w:t>
            </w:r>
          </w:p>
          <w:p w14:paraId="065360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and internal audits have been updated to include this. The service incorporates te reo Māori information around infection control for Māori residents, Māori protocols are adhered to, and staff can describe these practices, acknowledging the spirit of Te Tiriti.</w:t>
            </w:r>
          </w:p>
          <w:p w14:paraId="47A751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CHT Beachhaven is committed to the ongoing education of staff and residents. Infection prevention and control is part of staff orientation and included in the annual training plan. There has been additional infection control training during the last Covid-19 outbreak. Resident education occurs as part of the daily cares. Residents and family/whānau were kept informed and updated on pandemic policies and procedures through resident meetings, newsletters, and emails.</w:t>
            </w:r>
          </w:p>
          <w:p w14:paraId="78FADAC6" w14:textId="77777777" w:rsidR="00000000" w:rsidRPr="00BE00C7" w:rsidRDefault="00000000" w:rsidP="00BE00C7">
            <w:pPr>
              <w:pStyle w:val="OutcomeDescription"/>
              <w:spacing w:before="120" w:after="120"/>
              <w:rPr>
                <w:rFonts w:cs="Arial"/>
                <w:lang w:eastAsia="en-NZ"/>
              </w:rPr>
            </w:pPr>
          </w:p>
        </w:tc>
      </w:tr>
      <w:tr w:rsidR="00A16AB0" w14:paraId="0BB67F83" w14:textId="77777777">
        <w:tc>
          <w:tcPr>
            <w:tcW w:w="0" w:type="auto"/>
          </w:tcPr>
          <w:p w14:paraId="23ED9C8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D9A39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0AD78B0" w14:textId="77777777" w:rsidR="00000000" w:rsidRPr="00BE00C7" w:rsidRDefault="00000000" w:rsidP="00BE00C7">
            <w:pPr>
              <w:pStyle w:val="OutcomeDescription"/>
              <w:spacing w:before="120" w:after="120"/>
              <w:rPr>
                <w:rFonts w:cs="Arial"/>
                <w:lang w:eastAsia="en-NZ"/>
              </w:rPr>
            </w:pPr>
          </w:p>
        </w:tc>
        <w:tc>
          <w:tcPr>
            <w:tcW w:w="0" w:type="auto"/>
          </w:tcPr>
          <w:p w14:paraId="29FBE35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4C32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general practitioner reviews antimicrobial use monthly with the clinical team. The antimicrobial policy is appropriate for the size, scope, and complexity of the resident cohort. </w:t>
            </w:r>
          </w:p>
          <w:p w14:paraId="6941F788"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rates are collated monthly and reported to the quality, health and safety and infection control meetings, as well as CHT head office. Prophylactic use of antibiotics is not considered to be appropriate and is discouraged.</w:t>
            </w:r>
          </w:p>
          <w:p w14:paraId="22C21BF0" w14:textId="77777777" w:rsidR="00000000" w:rsidRPr="00BE00C7" w:rsidRDefault="00000000" w:rsidP="00BE00C7">
            <w:pPr>
              <w:pStyle w:val="OutcomeDescription"/>
              <w:spacing w:before="120" w:after="120"/>
              <w:rPr>
                <w:rFonts w:cs="Arial"/>
                <w:lang w:eastAsia="en-NZ"/>
              </w:rPr>
            </w:pPr>
          </w:p>
        </w:tc>
      </w:tr>
      <w:tr w:rsidR="00A16AB0" w14:paraId="42B5FCD4" w14:textId="77777777">
        <w:tc>
          <w:tcPr>
            <w:tcW w:w="0" w:type="auto"/>
          </w:tcPr>
          <w:p w14:paraId="7346765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136D8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028DBCF" w14:textId="77777777" w:rsidR="00000000" w:rsidRPr="00BE00C7" w:rsidRDefault="00000000" w:rsidP="00BE00C7">
            <w:pPr>
              <w:pStyle w:val="OutcomeDescription"/>
              <w:spacing w:before="120" w:after="120"/>
              <w:rPr>
                <w:rFonts w:cs="Arial"/>
                <w:lang w:eastAsia="en-NZ"/>
              </w:rPr>
            </w:pPr>
          </w:p>
        </w:tc>
        <w:tc>
          <w:tcPr>
            <w:tcW w:w="0" w:type="auto"/>
          </w:tcPr>
          <w:p w14:paraId="1A85873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A11B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data is collected for all infections based on signs, symptoms, and definition of infection. Infections are entered into the infection register on the electronic resident management system. Surveillance of all infections (including organisms) is entered onto a monthly infection summary. This data is monitored and analysed for trends, monthly and annually. Infection control surveillance is discussed at quality and staff meetings and sent to CHT head office. </w:t>
            </w:r>
          </w:p>
          <w:p w14:paraId="32B64FFD" w14:textId="77777777" w:rsidR="00000000" w:rsidRPr="00BE00C7" w:rsidRDefault="00000000" w:rsidP="00BE00C7">
            <w:pPr>
              <w:pStyle w:val="OutcomeDescription"/>
              <w:spacing w:before="120" w:after="120"/>
              <w:rPr>
                <w:rFonts w:cs="Arial"/>
                <w:lang w:eastAsia="en-NZ"/>
              </w:rPr>
            </w:pPr>
            <w:r w:rsidRPr="00BE00C7">
              <w:rPr>
                <w:rFonts w:cs="Arial"/>
                <w:lang w:eastAsia="en-NZ"/>
              </w:rPr>
              <w:t>Meeting minutes and graphs are displayed for staff. Action plans are required for any infection rates of concern. The service captures ethnicity data on admission and incorporates this into surveillance methods and data captured around infections. Internal infection control audits are completed with corrective actions for areas of improvement. The service receives email notifications and alerts from CHT head office and Health New Zealand - Te Whatu Ora for any community concerns.</w:t>
            </w:r>
          </w:p>
          <w:p w14:paraId="172775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seven outbreaks since last audit; Covid-19 in December 2023, Norovirus in January 2024, Respiratory outbreak in April 2024, Scabies in May 2024, Covid- 19 in July 2024, Scabies in August 2024 and another respiratory outbreak in October 2024. All the outbreaks were reported, managed appropriately and opportunities of improvement identified in the debriefs completed. The IFCRN explained staff are well trained to respond rapidly. Family/whānau </w:t>
            </w:r>
            <w:r w:rsidRPr="00BE00C7">
              <w:rPr>
                <w:rFonts w:cs="Arial"/>
                <w:lang w:eastAsia="en-NZ"/>
              </w:rPr>
              <w:lastRenderedPageBreak/>
              <w:t>were kept informed by phone or email. Visiting was able to continue under restricted conditions with PPE made available on entry to the facility.</w:t>
            </w:r>
          </w:p>
          <w:p w14:paraId="5FE3D6D8" w14:textId="77777777" w:rsidR="00000000" w:rsidRPr="00BE00C7" w:rsidRDefault="00000000" w:rsidP="00BE00C7">
            <w:pPr>
              <w:pStyle w:val="OutcomeDescription"/>
              <w:spacing w:before="120" w:after="120"/>
              <w:rPr>
                <w:rFonts w:cs="Arial"/>
                <w:lang w:eastAsia="en-NZ"/>
              </w:rPr>
            </w:pPr>
          </w:p>
        </w:tc>
      </w:tr>
      <w:tr w:rsidR="00A16AB0" w14:paraId="64566C84" w14:textId="77777777">
        <w:tc>
          <w:tcPr>
            <w:tcW w:w="0" w:type="auto"/>
          </w:tcPr>
          <w:p w14:paraId="5AB11B1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76A40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23504C9" w14:textId="77777777" w:rsidR="00000000" w:rsidRPr="00BE00C7" w:rsidRDefault="00000000" w:rsidP="00BE00C7">
            <w:pPr>
              <w:pStyle w:val="OutcomeDescription"/>
              <w:spacing w:before="120" w:after="120"/>
              <w:rPr>
                <w:rFonts w:cs="Arial"/>
                <w:lang w:eastAsia="en-NZ"/>
              </w:rPr>
            </w:pPr>
          </w:p>
        </w:tc>
        <w:tc>
          <w:tcPr>
            <w:tcW w:w="0" w:type="auto"/>
          </w:tcPr>
          <w:p w14:paraId="67055F4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25BD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secure cupboard on the cleaning trolley and the trolley is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Eye protection (goggles and face shields) is available. Staff have completed chemical safety training. A chemical provider monitors the effectiveness of chemicals. Cleaning is done by on-site cleaners who are contracted by an external service. There are sluice rooms (with a sanitisers) in each wing for the disposal of soiled water or waste. The sluice rooms are kept closed when not in use.</w:t>
            </w:r>
          </w:p>
          <w:p w14:paraId="46D09366" w14:textId="77777777" w:rsidR="00000000" w:rsidRPr="00BE00C7" w:rsidRDefault="00000000" w:rsidP="00BE00C7">
            <w:pPr>
              <w:pStyle w:val="OutcomeDescription"/>
              <w:spacing w:before="120" w:after="120"/>
              <w:rPr>
                <w:rFonts w:cs="Arial"/>
                <w:lang w:eastAsia="en-NZ"/>
              </w:rPr>
            </w:pPr>
            <w:r w:rsidRPr="00BE00C7">
              <w:rPr>
                <w:rFonts w:cs="Arial"/>
                <w:lang w:eastAsia="en-NZ"/>
              </w:rPr>
              <w:t>Personal laundry and bed linen is washed on site by a contracted service. The soiled laundry is delivered in appropriate colour coded bags on trollies, by care staff. The laundry is clearly separated into clean and dirty areas. Clean laundry is sorted into clearly labelled baskets and delivered back to the residents daily by care staff. The numerous linen cupboards were well stocked. Washing temperatures are monitored and maintained to meet safe hygiene requirements. All laundry personnel and care staff have received training and documented guidelines are available. The effectiveness of laundry and cleaning processes is monitored by the internal audit programme, which is reviewed by the infection control coordinator. On interview, the laundry personnel, care staff, cleaning staff and compass site manager demonstrated awareness of the infection prevention and control protocols. Resident and family/whānau interviews confirmed satisfaction with cleaning and laundry processes.</w:t>
            </w:r>
          </w:p>
          <w:p w14:paraId="4AB38732" w14:textId="77777777" w:rsidR="00000000" w:rsidRPr="00BE00C7" w:rsidRDefault="00000000" w:rsidP="00BE00C7">
            <w:pPr>
              <w:pStyle w:val="OutcomeDescription"/>
              <w:spacing w:before="120" w:after="120"/>
              <w:rPr>
                <w:rFonts w:cs="Arial"/>
                <w:lang w:eastAsia="en-NZ"/>
              </w:rPr>
            </w:pPr>
          </w:p>
        </w:tc>
      </w:tr>
      <w:tr w:rsidR="00A16AB0" w14:paraId="4450F773" w14:textId="77777777">
        <w:tc>
          <w:tcPr>
            <w:tcW w:w="0" w:type="auto"/>
          </w:tcPr>
          <w:p w14:paraId="628DFE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C6D8D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1E4BC60" w14:textId="77777777" w:rsidR="00000000" w:rsidRPr="00BE00C7" w:rsidRDefault="00000000" w:rsidP="00BE00C7">
            <w:pPr>
              <w:pStyle w:val="OutcomeDescription"/>
              <w:spacing w:before="120" w:after="120"/>
              <w:rPr>
                <w:rFonts w:cs="Arial"/>
                <w:lang w:eastAsia="en-NZ"/>
              </w:rPr>
            </w:pPr>
          </w:p>
        </w:tc>
        <w:tc>
          <w:tcPr>
            <w:tcW w:w="0" w:type="auto"/>
          </w:tcPr>
          <w:p w14:paraId="0F1B617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7669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residents, families/whānau, and the choice of device must be the least restrictive possible. When restraint is considered, the facility works in partnership with the resident and family/whānau to ensure services are mana enhancing. </w:t>
            </w:r>
          </w:p>
          <w:p w14:paraId="61CA40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a RN. There are currently three hospital level care residents listed on the restraint register as using bed rails. The residents use bed rails to provide safety, minimise risk of injury, assistance with bed mobility, and repositioning. The bed rails all have covers. There are currently six psychogeriatric residents using lap belts pro re nata when up in chairs.</w:t>
            </w:r>
          </w:p>
          <w:p w14:paraId="2726B4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reviewed monthly by the restraint coordinator and reported at the staff meetings and to the clinical coordinator. The resident and/or family/whānau are consulted on the restraint procedures, as part of the restraint review processes, as required. The restraint coordinator interviewed described the focus on minimising restraint wherever possible and working towards a restraint-free environment. Restraint minimisation is included as part of the mandatory training plan and orientation programme. Restraint education was last completed October 2024. </w:t>
            </w:r>
          </w:p>
          <w:p w14:paraId="12F7B7C0" w14:textId="77777777" w:rsidR="00000000" w:rsidRPr="00BE00C7" w:rsidRDefault="00000000" w:rsidP="00BE00C7">
            <w:pPr>
              <w:pStyle w:val="OutcomeDescription"/>
              <w:spacing w:before="120" w:after="120"/>
              <w:rPr>
                <w:rFonts w:cs="Arial"/>
                <w:lang w:eastAsia="en-NZ"/>
              </w:rPr>
            </w:pPr>
          </w:p>
        </w:tc>
      </w:tr>
      <w:tr w:rsidR="00A16AB0" w14:paraId="3F68465B" w14:textId="77777777">
        <w:tc>
          <w:tcPr>
            <w:tcW w:w="0" w:type="auto"/>
          </w:tcPr>
          <w:p w14:paraId="7131C1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1CCCE9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C2EC973" w14:textId="77777777" w:rsidR="00000000" w:rsidRPr="00BE00C7" w:rsidRDefault="00000000" w:rsidP="00BE00C7">
            <w:pPr>
              <w:pStyle w:val="OutcomeDescription"/>
              <w:spacing w:before="120" w:after="120"/>
              <w:rPr>
                <w:rFonts w:cs="Arial"/>
                <w:lang w:eastAsia="en-NZ"/>
              </w:rPr>
            </w:pPr>
          </w:p>
        </w:tc>
        <w:tc>
          <w:tcPr>
            <w:tcW w:w="0" w:type="auto"/>
          </w:tcPr>
          <w:p w14:paraId="29F334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41E3D3"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restraint register is maintained by the restraint coordinator. The files of the three hospital residents and six psychogeriatric residents listed as using restraint were reviewed. The restraint assessment addresses alternatives to restraint use before restraint is initiated (e.g., falls prevention strategies, managing behaviours). The residents were using restraint as a last resort and/or at the insistence of them or their activated EPOA. Written consent was obtained from each resident and/or their EPOA. The use of restraint is approved by the GP and reviewed monthly. No emergency restraints have been required; however, the use of emergency restraint is included in the restraint policy.</w:t>
            </w:r>
          </w:p>
          <w:p w14:paraId="64CE08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Monitoring forms are completed for each resident using restraint and </w:t>
            </w:r>
            <w:r w:rsidRPr="00BE00C7">
              <w:rPr>
                <w:rFonts w:cs="Arial"/>
                <w:lang w:eastAsia="en-NZ"/>
              </w:rPr>
              <w:lastRenderedPageBreak/>
              <w:t>review of the resident records confirmed that they have been completed as scheduled. Restraints are scheduled to be monitored two to four-hourly or more frequently should the risk assessment indicate this is required. Monitoring includes resident’s cultural, physical, psychological, spiritual and psychosocial needs. No accidents or incidents have occurred because of restraint use. Restraints are regularly reviewed and discussed in the staff meetings. The formal and documented review of restraint use takes place annually, with the last one completed in November 2023.</w:t>
            </w:r>
          </w:p>
          <w:p w14:paraId="4F20FBCA" w14:textId="77777777" w:rsidR="00000000" w:rsidRPr="00BE00C7" w:rsidRDefault="00000000" w:rsidP="00BE00C7">
            <w:pPr>
              <w:pStyle w:val="OutcomeDescription"/>
              <w:spacing w:before="120" w:after="120"/>
              <w:rPr>
                <w:rFonts w:cs="Arial"/>
                <w:lang w:eastAsia="en-NZ"/>
              </w:rPr>
            </w:pPr>
          </w:p>
        </w:tc>
      </w:tr>
      <w:tr w:rsidR="00A16AB0" w14:paraId="31B44228" w14:textId="77777777">
        <w:tc>
          <w:tcPr>
            <w:tcW w:w="0" w:type="auto"/>
          </w:tcPr>
          <w:p w14:paraId="1E5FDFF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F1F9E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B01656C" w14:textId="77777777" w:rsidR="00000000" w:rsidRPr="00BE00C7" w:rsidRDefault="00000000" w:rsidP="00BE00C7">
            <w:pPr>
              <w:pStyle w:val="OutcomeDescription"/>
              <w:spacing w:before="120" w:after="120"/>
              <w:rPr>
                <w:rFonts w:cs="Arial"/>
                <w:lang w:eastAsia="en-NZ"/>
              </w:rPr>
            </w:pPr>
          </w:p>
        </w:tc>
        <w:tc>
          <w:tcPr>
            <w:tcW w:w="0" w:type="auto"/>
          </w:tcPr>
          <w:p w14:paraId="5F9CC4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2ACA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annual review is completed by the restraint coordinator and the restraint support staff at CHT head office. The outcome of the internal audit is discussed in meetings. The restraint coordinator reports to all staff at monthly meetings. This report includes a review of restraint use, restraint incidents (should they occur), and education needs. Each resident utilising restraint and/or their EPOA has input into the review process. Restraint data, including any incidents, are reported as part of the restraint coordinator reporting to the clinical coordinator. The restraint coordinator described how learnings and changes to care plans culminated from the analysis of the restraint data.</w:t>
            </w:r>
          </w:p>
          <w:p w14:paraId="30AB2B98" w14:textId="77777777" w:rsidR="00000000" w:rsidRPr="00BE00C7" w:rsidRDefault="00000000" w:rsidP="00BE00C7">
            <w:pPr>
              <w:pStyle w:val="OutcomeDescription"/>
              <w:spacing w:before="120" w:after="120"/>
              <w:rPr>
                <w:rFonts w:cs="Arial"/>
                <w:lang w:eastAsia="en-NZ"/>
              </w:rPr>
            </w:pPr>
          </w:p>
        </w:tc>
      </w:tr>
    </w:tbl>
    <w:p w14:paraId="6B5ACD7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58A8098" w14:textId="77777777" w:rsidR="00000000" w:rsidRDefault="00000000">
      <w:pPr>
        <w:pStyle w:val="Heading1"/>
        <w:rPr>
          <w:rFonts w:cs="Arial"/>
        </w:rPr>
      </w:pPr>
      <w:r>
        <w:rPr>
          <w:rFonts w:cs="Arial"/>
        </w:rPr>
        <w:lastRenderedPageBreak/>
        <w:t>Specific results for criterion where corrective actions are required</w:t>
      </w:r>
    </w:p>
    <w:p w14:paraId="7D73F9A4"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3D1225"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2EE0229"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323"/>
        <w:gridCol w:w="4437"/>
        <w:gridCol w:w="3427"/>
        <w:gridCol w:w="2526"/>
      </w:tblGrid>
      <w:tr w:rsidR="00A16AB0" w14:paraId="1D90BBF1" w14:textId="77777777">
        <w:tc>
          <w:tcPr>
            <w:tcW w:w="0" w:type="auto"/>
          </w:tcPr>
          <w:p w14:paraId="2FD5CE3D"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855D10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3FDAD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FBB753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58DD77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16AB0" w14:paraId="51264022" w14:textId="77777777">
        <w:tc>
          <w:tcPr>
            <w:tcW w:w="0" w:type="auto"/>
          </w:tcPr>
          <w:p w14:paraId="5486C4B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5136B61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AF38C7B"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C6130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Clinical indicator data (e.g., falls, skin tears, infections, medications) is collected, analysed at care home level, and benchmarked within the organisation and nationally with other aged care providers. Meeting minutes reviewed evidence quality data is shared in staff meetings.</w:t>
            </w:r>
          </w:p>
          <w:p w14:paraId="278EE5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audits are completed six-monthly by the area manager (last completed in July and October 2024). However, these have not been completed comprehensively and corrective actions have not always been documented identifying areas of non-conformity to be addressed and signed off when achieved. Internal audit completed in July 2024 only covered the clinical files with no evidence of the </w:t>
            </w:r>
            <w:r w:rsidRPr="00BE00C7">
              <w:rPr>
                <w:rFonts w:cs="Arial"/>
                <w:lang w:eastAsia="en-NZ"/>
              </w:rPr>
              <w:lastRenderedPageBreak/>
              <w:t>other key areas being audited including (but not limited to) restraint, meal and food service, health and safety, laundry and complaints management. The October 2024 internal audit assessed compliance across all the required areas; there were areas of non-conformity identified in the comments section (related to access to mobile generator and batteries, hot water temperature documentation, staff name badges, shared goals of care) of the audit report. Both reports sighted on the day of the audit do not clearly document the corrective actions identified with timeframe for completion and by whom.</w:t>
            </w:r>
          </w:p>
          <w:p w14:paraId="300D5698" w14:textId="77777777" w:rsidR="00000000" w:rsidRPr="00BE00C7" w:rsidRDefault="00000000" w:rsidP="00BE00C7">
            <w:pPr>
              <w:pStyle w:val="OutcomeDescription"/>
              <w:spacing w:before="120" w:after="120"/>
              <w:rPr>
                <w:rFonts w:cs="Arial"/>
                <w:lang w:eastAsia="en-NZ"/>
              </w:rPr>
            </w:pPr>
          </w:p>
        </w:tc>
        <w:tc>
          <w:tcPr>
            <w:tcW w:w="0" w:type="auto"/>
          </w:tcPr>
          <w:p w14:paraId="0ABFC2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Internal audits have not been completed comprehensively to assess all key risk areas and corrective actions have not always been documented identifying key non-conformity areas to be addressed and signed off when completed. </w:t>
            </w:r>
          </w:p>
          <w:p w14:paraId="799BA522" w14:textId="77777777" w:rsidR="00000000" w:rsidRPr="00BE00C7" w:rsidRDefault="00000000" w:rsidP="00BE00C7">
            <w:pPr>
              <w:pStyle w:val="OutcomeDescription"/>
              <w:spacing w:before="120" w:after="120"/>
              <w:rPr>
                <w:rFonts w:cs="Arial"/>
                <w:lang w:eastAsia="en-NZ"/>
              </w:rPr>
            </w:pPr>
          </w:p>
        </w:tc>
        <w:tc>
          <w:tcPr>
            <w:tcW w:w="0" w:type="auto"/>
          </w:tcPr>
          <w:p w14:paraId="631AFE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internal audits are completed comprehensively to monitor performance and improve service delivery and care. </w:t>
            </w:r>
          </w:p>
          <w:p w14:paraId="1D929232" w14:textId="77777777" w:rsidR="00000000" w:rsidRPr="00BE00C7" w:rsidRDefault="00000000" w:rsidP="00BE00C7">
            <w:pPr>
              <w:pStyle w:val="OutcomeDescription"/>
              <w:spacing w:before="120" w:after="120"/>
              <w:rPr>
                <w:rFonts w:cs="Arial"/>
                <w:lang w:eastAsia="en-NZ"/>
              </w:rPr>
            </w:pPr>
          </w:p>
          <w:p w14:paraId="1AFF59D7"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3772694"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D0FC785" w14:textId="77777777" w:rsidR="00000000" w:rsidRDefault="00000000">
      <w:pPr>
        <w:pStyle w:val="Heading1"/>
        <w:rPr>
          <w:rFonts w:cs="Arial"/>
        </w:rPr>
      </w:pPr>
      <w:r>
        <w:rPr>
          <w:rFonts w:cs="Arial"/>
        </w:rPr>
        <w:lastRenderedPageBreak/>
        <w:t>Specific results for criterion where a continuous improvement has been recorded</w:t>
      </w:r>
    </w:p>
    <w:p w14:paraId="7166054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E5EF20"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13999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336"/>
        <w:gridCol w:w="4930"/>
        <w:gridCol w:w="4920"/>
      </w:tblGrid>
      <w:tr w:rsidR="00A16AB0" w14:paraId="33EC3B31" w14:textId="77777777">
        <w:tc>
          <w:tcPr>
            <w:tcW w:w="0" w:type="auto"/>
          </w:tcPr>
          <w:p w14:paraId="13F7C5D1"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36CB0D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C9717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A11B22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A16AB0" w14:paraId="6CAE997F" w14:textId="77777777">
        <w:tc>
          <w:tcPr>
            <w:tcW w:w="0" w:type="auto"/>
          </w:tcPr>
          <w:p w14:paraId="08A7830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3.5.3</w:t>
            </w:r>
          </w:p>
          <w:p w14:paraId="1D5B1856"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4AC15ED4"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775FBE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and any weight loss notified to the clinical coordinator who refers to the dietitian as required. There was concern about the high incidence of unintentional weight loss, particularly in the psychogeriatric wings. In February 2023 there was a 10.1% weight loss and overall from January 2023 through to August 2023 the average was 4.8%. Psychogeriatric residents are often restless and frequently pace. They can forget to eat and sometimes are unable to recognise food. To encourage residents to eat and consequently prevent unintentional weight loss, the facility decided they needed to explore opportunities to improve the dining experience. They formed a team of staff members and the dietitian. They consulted with their dementia advisor, discussed the project at staff meetings and delivered education to staff on nutrition and hydration and the dining experience (provided </w:t>
            </w:r>
            <w:r w:rsidRPr="00BE00C7">
              <w:rPr>
                <w:rFonts w:cs="Arial"/>
                <w:lang w:eastAsia="en-NZ"/>
              </w:rPr>
              <w:lastRenderedPageBreak/>
              <w:t>by gerontology nurse specialist).</w:t>
            </w:r>
          </w:p>
          <w:p w14:paraId="2F2421D6" w14:textId="77777777" w:rsidR="00000000" w:rsidRPr="00BE00C7" w:rsidRDefault="00000000" w:rsidP="00BE00C7">
            <w:pPr>
              <w:pStyle w:val="OutcomeDescription"/>
              <w:spacing w:before="120" w:after="120"/>
              <w:rPr>
                <w:rFonts w:cs="Arial"/>
                <w:lang w:eastAsia="en-NZ"/>
              </w:rPr>
            </w:pPr>
          </w:p>
        </w:tc>
        <w:tc>
          <w:tcPr>
            <w:tcW w:w="0" w:type="auto"/>
          </w:tcPr>
          <w:p w14:paraId="1832E0CB" w14:textId="15B05713"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Changes implemented included ensuring there was adequate assistance and supervision to residents at mealtime and ensuring that there was a pleasant ambience (including soft music). Environmental changes were also made including smaller tables, the use of appropriate cutlery and the introduction of coloured crockery that contrasted with the table. Improving the taste and presentation of food was also revised. A herb garden was started so fresh herbs could be used and they also used edible flowers. Desserts were individual</w:t>
            </w:r>
            <w:r w:rsidR="00C93DE8">
              <w:rPr>
                <w:rFonts w:cs="Arial"/>
                <w:lang w:eastAsia="en-NZ"/>
              </w:rPr>
              <w:t>ly</w:t>
            </w:r>
            <w:r w:rsidRPr="00BE00C7">
              <w:rPr>
                <w:rFonts w:cs="Arial"/>
                <w:lang w:eastAsia="en-NZ"/>
              </w:rPr>
              <w:t xml:space="preserve"> plated in the kitchen, and textured and modified food was beautifully presented. Cultural meals and snacks were always available and extra fluids were offered. They are now looking to implement a choice menu.</w:t>
            </w:r>
          </w:p>
          <w:p w14:paraId="72E67B3F" w14:textId="77777777" w:rsidR="00000000" w:rsidRPr="00BE00C7" w:rsidRDefault="00000000" w:rsidP="00BE00C7">
            <w:pPr>
              <w:pStyle w:val="OutcomeDescription"/>
              <w:spacing w:before="120" w:after="120"/>
              <w:rPr>
                <w:rFonts w:cs="Arial"/>
                <w:lang w:eastAsia="en-NZ"/>
              </w:rPr>
            </w:pPr>
            <w:r w:rsidRPr="00BE00C7">
              <w:rPr>
                <w:rFonts w:cs="Arial"/>
                <w:lang w:eastAsia="en-NZ"/>
              </w:rPr>
              <w:t>Weight reduction data shows that from September 2023 to February 2024 the average weight loss was down to 2.9%. Pre-implementation versus post-</w:t>
            </w:r>
            <w:r w:rsidRPr="00BE00C7">
              <w:rPr>
                <w:rFonts w:cs="Arial"/>
                <w:lang w:eastAsia="en-NZ"/>
              </w:rPr>
              <w:lastRenderedPageBreak/>
              <w:t>implementation equated to a 39.6% reduction in new weight loss incidence.</w:t>
            </w:r>
          </w:p>
          <w:p w14:paraId="0F13263D" w14:textId="77777777" w:rsidR="00000000" w:rsidRPr="00BE00C7" w:rsidRDefault="00000000" w:rsidP="00BE00C7">
            <w:pPr>
              <w:pStyle w:val="OutcomeDescription"/>
              <w:spacing w:before="120" w:after="120"/>
              <w:rPr>
                <w:rFonts w:cs="Arial"/>
                <w:lang w:eastAsia="en-NZ"/>
              </w:rPr>
            </w:pPr>
          </w:p>
        </w:tc>
      </w:tr>
    </w:tbl>
    <w:p w14:paraId="014384D7"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64BEE9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03D5" w14:textId="77777777" w:rsidR="00351E38" w:rsidRDefault="00351E38">
      <w:r>
        <w:separator/>
      </w:r>
    </w:p>
  </w:endnote>
  <w:endnote w:type="continuationSeparator" w:id="0">
    <w:p w14:paraId="148C1BD0" w14:textId="77777777" w:rsidR="00351E38" w:rsidRDefault="0035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A17D" w14:textId="77777777" w:rsidR="00000000" w:rsidRDefault="00000000">
    <w:pPr>
      <w:pStyle w:val="Footer"/>
    </w:pPr>
  </w:p>
  <w:p w14:paraId="2C72013E" w14:textId="77777777" w:rsidR="00000000" w:rsidRDefault="00000000"/>
  <w:p w14:paraId="2CA6704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78D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Beachhaven Care Home</w:t>
    </w:r>
    <w:bookmarkEnd w:id="59"/>
    <w:r>
      <w:rPr>
        <w:rFonts w:cs="Arial"/>
        <w:sz w:val="16"/>
        <w:szCs w:val="20"/>
      </w:rPr>
      <w:tab/>
      <w:t xml:space="preserve">Date of Audit: </w:t>
    </w:r>
    <w:bookmarkStart w:id="60" w:name="AuditStartDate1"/>
    <w:r>
      <w:rPr>
        <w:rFonts w:cs="Arial"/>
        <w:sz w:val="16"/>
        <w:szCs w:val="20"/>
      </w:rPr>
      <w:t>21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2DFC2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7A9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DF2E" w14:textId="77777777" w:rsidR="00351E38" w:rsidRDefault="00351E38">
      <w:r>
        <w:separator/>
      </w:r>
    </w:p>
  </w:footnote>
  <w:footnote w:type="continuationSeparator" w:id="0">
    <w:p w14:paraId="2ED327A3" w14:textId="77777777" w:rsidR="00351E38" w:rsidRDefault="0035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DB38" w14:textId="77777777" w:rsidR="00000000" w:rsidRDefault="00000000">
    <w:pPr>
      <w:pStyle w:val="Header"/>
    </w:pPr>
  </w:p>
  <w:p w14:paraId="3D75E4F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04A" w14:textId="77777777" w:rsidR="00000000" w:rsidRDefault="00000000">
    <w:pPr>
      <w:pStyle w:val="Header"/>
    </w:pPr>
  </w:p>
  <w:p w14:paraId="2DD2B0F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6D7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7D6E070">
      <w:start w:val="1"/>
      <w:numFmt w:val="decimal"/>
      <w:lvlText w:val="%1."/>
      <w:lvlJc w:val="left"/>
      <w:pPr>
        <w:ind w:left="360" w:hanging="360"/>
      </w:pPr>
    </w:lvl>
    <w:lvl w:ilvl="1" w:tplc="E312E834" w:tentative="1">
      <w:start w:val="1"/>
      <w:numFmt w:val="lowerLetter"/>
      <w:lvlText w:val="%2."/>
      <w:lvlJc w:val="left"/>
      <w:pPr>
        <w:ind w:left="1080" w:hanging="360"/>
      </w:pPr>
    </w:lvl>
    <w:lvl w:ilvl="2" w:tplc="BB2AEEAC" w:tentative="1">
      <w:start w:val="1"/>
      <w:numFmt w:val="lowerRoman"/>
      <w:lvlText w:val="%3."/>
      <w:lvlJc w:val="right"/>
      <w:pPr>
        <w:ind w:left="1800" w:hanging="180"/>
      </w:pPr>
    </w:lvl>
    <w:lvl w:ilvl="3" w:tplc="EB7EC3A4" w:tentative="1">
      <w:start w:val="1"/>
      <w:numFmt w:val="decimal"/>
      <w:lvlText w:val="%4."/>
      <w:lvlJc w:val="left"/>
      <w:pPr>
        <w:ind w:left="2520" w:hanging="360"/>
      </w:pPr>
    </w:lvl>
    <w:lvl w:ilvl="4" w:tplc="EE0031E0" w:tentative="1">
      <w:start w:val="1"/>
      <w:numFmt w:val="lowerLetter"/>
      <w:lvlText w:val="%5."/>
      <w:lvlJc w:val="left"/>
      <w:pPr>
        <w:ind w:left="3240" w:hanging="360"/>
      </w:pPr>
    </w:lvl>
    <w:lvl w:ilvl="5" w:tplc="B54CBD14" w:tentative="1">
      <w:start w:val="1"/>
      <w:numFmt w:val="lowerRoman"/>
      <w:lvlText w:val="%6."/>
      <w:lvlJc w:val="right"/>
      <w:pPr>
        <w:ind w:left="3960" w:hanging="180"/>
      </w:pPr>
    </w:lvl>
    <w:lvl w:ilvl="6" w:tplc="2A988D44" w:tentative="1">
      <w:start w:val="1"/>
      <w:numFmt w:val="decimal"/>
      <w:lvlText w:val="%7."/>
      <w:lvlJc w:val="left"/>
      <w:pPr>
        <w:ind w:left="4680" w:hanging="360"/>
      </w:pPr>
    </w:lvl>
    <w:lvl w:ilvl="7" w:tplc="CBC4B3B4" w:tentative="1">
      <w:start w:val="1"/>
      <w:numFmt w:val="lowerLetter"/>
      <w:lvlText w:val="%8."/>
      <w:lvlJc w:val="left"/>
      <w:pPr>
        <w:ind w:left="5400" w:hanging="360"/>
      </w:pPr>
    </w:lvl>
    <w:lvl w:ilvl="8" w:tplc="998ABC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7882C2">
      <w:start w:val="1"/>
      <w:numFmt w:val="bullet"/>
      <w:lvlText w:val=""/>
      <w:lvlJc w:val="left"/>
      <w:pPr>
        <w:ind w:left="720" w:hanging="360"/>
      </w:pPr>
      <w:rPr>
        <w:rFonts w:ascii="Symbol" w:hAnsi="Symbol" w:hint="default"/>
      </w:rPr>
    </w:lvl>
    <w:lvl w:ilvl="1" w:tplc="C8EEDFEC" w:tentative="1">
      <w:start w:val="1"/>
      <w:numFmt w:val="bullet"/>
      <w:lvlText w:val="o"/>
      <w:lvlJc w:val="left"/>
      <w:pPr>
        <w:ind w:left="1440" w:hanging="360"/>
      </w:pPr>
      <w:rPr>
        <w:rFonts w:ascii="Courier New" w:hAnsi="Courier New" w:cs="Courier New" w:hint="default"/>
      </w:rPr>
    </w:lvl>
    <w:lvl w:ilvl="2" w:tplc="FB50BA38" w:tentative="1">
      <w:start w:val="1"/>
      <w:numFmt w:val="bullet"/>
      <w:lvlText w:val=""/>
      <w:lvlJc w:val="left"/>
      <w:pPr>
        <w:ind w:left="2160" w:hanging="360"/>
      </w:pPr>
      <w:rPr>
        <w:rFonts w:ascii="Wingdings" w:hAnsi="Wingdings" w:hint="default"/>
      </w:rPr>
    </w:lvl>
    <w:lvl w:ilvl="3" w:tplc="A7AE72B6" w:tentative="1">
      <w:start w:val="1"/>
      <w:numFmt w:val="bullet"/>
      <w:lvlText w:val=""/>
      <w:lvlJc w:val="left"/>
      <w:pPr>
        <w:ind w:left="2880" w:hanging="360"/>
      </w:pPr>
      <w:rPr>
        <w:rFonts w:ascii="Symbol" w:hAnsi="Symbol" w:hint="default"/>
      </w:rPr>
    </w:lvl>
    <w:lvl w:ilvl="4" w:tplc="2CBEE66E" w:tentative="1">
      <w:start w:val="1"/>
      <w:numFmt w:val="bullet"/>
      <w:lvlText w:val="o"/>
      <w:lvlJc w:val="left"/>
      <w:pPr>
        <w:ind w:left="3600" w:hanging="360"/>
      </w:pPr>
      <w:rPr>
        <w:rFonts w:ascii="Courier New" w:hAnsi="Courier New" w:cs="Courier New" w:hint="default"/>
      </w:rPr>
    </w:lvl>
    <w:lvl w:ilvl="5" w:tplc="B0C058F8" w:tentative="1">
      <w:start w:val="1"/>
      <w:numFmt w:val="bullet"/>
      <w:lvlText w:val=""/>
      <w:lvlJc w:val="left"/>
      <w:pPr>
        <w:ind w:left="4320" w:hanging="360"/>
      </w:pPr>
      <w:rPr>
        <w:rFonts w:ascii="Wingdings" w:hAnsi="Wingdings" w:hint="default"/>
      </w:rPr>
    </w:lvl>
    <w:lvl w:ilvl="6" w:tplc="9D648E40" w:tentative="1">
      <w:start w:val="1"/>
      <w:numFmt w:val="bullet"/>
      <w:lvlText w:val=""/>
      <w:lvlJc w:val="left"/>
      <w:pPr>
        <w:ind w:left="5040" w:hanging="360"/>
      </w:pPr>
      <w:rPr>
        <w:rFonts w:ascii="Symbol" w:hAnsi="Symbol" w:hint="default"/>
      </w:rPr>
    </w:lvl>
    <w:lvl w:ilvl="7" w:tplc="C2082C64" w:tentative="1">
      <w:start w:val="1"/>
      <w:numFmt w:val="bullet"/>
      <w:lvlText w:val="o"/>
      <w:lvlJc w:val="left"/>
      <w:pPr>
        <w:ind w:left="5760" w:hanging="360"/>
      </w:pPr>
      <w:rPr>
        <w:rFonts w:ascii="Courier New" w:hAnsi="Courier New" w:cs="Courier New" w:hint="default"/>
      </w:rPr>
    </w:lvl>
    <w:lvl w:ilvl="8" w:tplc="7B200626" w:tentative="1">
      <w:start w:val="1"/>
      <w:numFmt w:val="bullet"/>
      <w:lvlText w:val=""/>
      <w:lvlJc w:val="left"/>
      <w:pPr>
        <w:ind w:left="6480" w:hanging="360"/>
      </w:pPr>
      <w:rPr>
        <w:rFonts w:ascii="Wingdings" w:hAnsi="Wingdings" w:hint="default"/>
      </w:rPr>
    </w:lvl>
  </w:abstractNum>
  <w:num w:numId="1" w16cid:durableId="112360871">
    <w:abstractNumId w:val="1"/>
  </w:num>
  <w:num w:numId="2" w16cid:durableId="9124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AB0"/>
    <w:rsid w:val="00004211"/>
    <w:rsid w:val="00351E38"/>
    <w:rsid w:val="00753433"/>
    <w:rsid w:val="00A16AB0"/>
    <w:rsid w:val="00C93DE8"/>
    <w:rsid w:val="00CF61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3075"/>
  <w15:docId w15:val="{ADAA9D65-32E0-4B10-A7DC-9AF49A40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14384</Words>
  <Characters>81994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7</cp:revision>
  <dcterms:created xsi:type="dcterms:W3CDTF">2023-11-22T21:26:00Z</dcterms:created>
  <dcterms:modified xsi:type="dcterms:W3CDTF">2025-01-14T20:37:00Z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