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096C" w14:textId="77777777" w:rsidR="00000000" w:rsidRDefault="00000000">
      <w:pPr>
        <w:pStyle w:val="Heading1"/>
        <w:rPr>
          <w:rFonts w:cs="Arial"/>
        </w:rPr>
      </w:pPr>
      <w:bookmarkStart w:id="0" w:name="PRMS_RIName"/>
      <w:r>
        <w:rPr>
          <w:rFonts w:cs="Arial"/>
        </w:rPr>
        <w:t>Heritage Lifecare Limited - Cantabria Lifecare</w:t>
      </w:r>
      <w:bookmarkEnd w:id="0"/>
    </w:p>
    <w:p w14:paraId="2FD829E2" w14:textId="77777777" w:rsidR="00000000" w:rsidRDefault="00000000">
      <w:pPr>
        <w:pStyle w:val="Heading2"/>
        <w:spacing w:after="0"/>
        <w:rPr>
          <w:rFonts w:cs="Arial"/>
        </w:rPr>
      </w:pPr>
      <w:r>
        <w:rPr>
          <w:rFonts w:cs="Arial"/>
        </w:rPr>
        <w:t>Introduction</w:t>
      </w:r>
    </w:p>
    <w:p w14:paraId="12CB9F0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8A1179A"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713480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BF59F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CEBF4C8" w14:textId="77777777" w:rsidR="00000000" w:rsidRDefault="00000000">
      <w:pPr>
        <w:spacing w:before="240" w:after="240"/>
        <w:rPr>
          <w:rFonts w:cs="Arial"/>
          <w:lang w:eastAsia="en-NZ"/>
        </w:rPr>
      </w:pPr>
      <w:r>
        <w:rPr>
          <w:rFonts w:cs="Arial"/>
          <w:lang w:eastAsia="en-NZ"/>
        </w:rPr>
        <w:t>The specifics of this audit included:</w:t>
      </w:r>
    </w:p>
    <w:p w14:paraId="131A8D8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CB3301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14956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Cantabria Lifecare</w:t>
      </w:r>
      <w:bookmarkEnd w:id="5"/>
    </w:p>
    <w:p w14:paraId="7575F2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w:t>
      </w:r>
      <w:r>
        <w:rPr>
          <w:rFonts w:cs="Arial"/>
        </w:rPr>
        <w:t>Residential disability services - Physical; Dementia care</w:t>
      </w:r>
      <w:bookmarkEnd w:id="6"/>
    </w:p>
    <w:p w14:paraId="48DE6BA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November 2024</w:t>
      </w:r>
      <w:bookmarkEnd w:id="7"/>
      <w:r w:rsidRPr="009418D4">
        <w:rPr>
          <w:rFonts w:cs="Arial"/>
        </w:rPr>
        <w:tab/>
        <w:t xml:space="preserve">End date: </w:t>
      </w:r>
      <w:bookmarkStart w:id="8" w:name="AuditEndDate"/>
      <w:r>
        <w:rPr>
          <w:rFonts w:cs="Arial"/>
        </w:rPr>
        <w:t>15 November 2024</w:t>
      </w:r>
      <w:bookmarkEnd w:id="8"/>
    </w:p>
    <w:p w14:paraId="17D5346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47E626" w14:textId="77777777" w:rsidR="009E023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149</w:t>
      </w:r>
      <w:bookmarkEnd w:id="10"/>
    </w:p>
    <w:p w14:paraId="0655296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C214575" w14:textId="77777777" w:rsidR="00000000" w:rsidRDefault="00000000">
      <w:pPr>
        <w:pStyle w:val="Heading1"/>
        <w:rPr>
          <w:rFonts w:cs="Arial"/>
        </w:rPr>
      </w:pPr>
      <w:r>
        <w:rPr>
          <w:rFonts w:cs="Arial"/>
        </w:rPr>
        <w:lastRenderedPageBreak/>
        <w:t>Executive summary of the audit</w:t>
      </w:r>
    </w:p>
    <w:p w14:paraId="73725D76" w14:textId="77777777" w:rsidR="00000000" w:rsidRDefault="00000000">
      <w:pPr>
        <w:pStyle w:val="Heading2"/>
        <w:rPr>
          <w:rFonts w:cs="Arial"/>
        </w:rPr>
      </w:pPr>
      <w:r>
        <w:rPr>
          <w:rFonts w:cs="Arial"/>
        </w:rPr>
        <w:t>Introduction</w:t>
      </w:r>
    </w:p>
    <w:p w14:paraId="05786E6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8304D0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00880D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440DB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ACF6D0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296012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FB61E5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B6B0C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3A94DA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E023E" w14:paraId="3F76811B" w14:textId="77777777">
        <w:trPr>
          <w:cantSplit/>
          <w:tblHeader/>
        </w:trPr>
        <w:tc>
          <w:tcPr>
            <w:tcW w:w="1260" w:type="dxa"/>
            <w:tcBorders>
              <w:bottom w:val="single" w:sz="4" w:space="0" w:color="000000"/>
            </w:tcBorders>
            <w:vAlign w:val="center"/>
          </w:tcPr>
          <w:p w14:paraId="011443A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174248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FAB089E" w14:textId="77777777" w:rsidR="00000000" w:rsidRDefault="00000000">
            <w:pPr>
              <w:spacing w:before="60" w:after="60"/>
              <w:rPr>
                <w:rFonts w:eastAsia="Calibri"/>
                <w:b/>
                <w:szCs w:val="24"/>
              </w:rPr>
            </w:pPr>
            <w:r>
              <w:rPr>
                <w:rFonts w:eastAsia="Calibri"/>
                <w:b/>
                <w:szCs w:val="24"/>
              </w:rPr>
              <w:t>Definition</w:t>
            </w:r>
          </w:p>
        </w:tc>
      </w:tr>
      <w:tr w:rsidR="009E023E" w14:paraId="4EE149DC" w14:textId="77777777">
        <w:trPr>
          <w:cantSplit/>
          <w:trHeight w:val="964"/>
        </w:trPr>
        <w:tc>
          <w:tcPr>
            <w:tcW w:w="1260" w:type="dxa"/>
            <w:tcBorders>
              <w:bottom w:val="single" w:sz="4" w:space="0" w:color="000000"/>
            </w:tcBorders>
            <w:shd w:val="clear" w:color="0066FF" w:fill="0000FF"/>
            <w:vAlign w:val="center"/>
          </w:tcPr>
          <w:p w14:paraId="4043C30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29D8B5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0F700A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E023E" w14:paraId="5D62EDF6" w14:textId="77777777">
        <w:trPr>
          <w:cantSplit/>
          <w:trHeight w:val="964"/>
        </w:trPr>
        <w:tc>
          <w:tcPr>
            <w:tcW w:w="1260" w:type="dxa"/>
            <w:shd w:val="clear" w:color="33CC33" w:fill="00FF00"/>
            <w:vAlign w:val="center"/>
          </w:tcPr>
          <w:p w14:paraId="33DB4E12" w14:textId="77777777" w:rsidR="00000000" w:rsidRDefault="00000000">
            <w:pPr>
              <w:spacing w:before="60" w:after="60"/>
              <w:rPr>
                <w:rFonts w:eastAsia="Calibri"/>
                <w:szCs w:val="24"/>
              </w:rPr>
            </w:pPr>
          </w:p>
        </w:tc>
        <w:tc>
          <w:tcPr>
            <w:tcW w:w="7095" w:type="dxa"/>
            <w:shd w:val="clear" w:color="auto" w:fill="auto"/>
            <w:vAlign w:val="center"/>
          </w:tcPr>
          <w:p w14:paraId="7F4ED78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AEA7A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E023E" w14:paraId="6ABAF4B0" w14:textId="77777777">
        <w:trPr>
          <w:cantSplit/>
          <w:trHeight w:val="964"/>
        </w:trPr>
        <w:tc>
          <w:tcPr>
            <w:tcW w:w="1260" w:type="dxa"/>
            <w:tcBorders>
              <w:bottom w:val="single" w:sz="4" w:space="0" w:color="000000"/>
            </w:tcBorders>
            <w:shd w:val="clear" w:color="auto" w:fill="FFFF00"/>
            <w:vAlign w:val="center"/>
          </w:tcPr>
          <w:p w14:paraId="374FE1F7" w14:textId="77777777" w:rsidR="00000000" w:rsidRDefault="00000000">
            <w:pPr>
              <w:spacing w:before="60" w:after="60"/>
              <w:rPr>
                <w:rFonts w:eastAsia="Calibri"/>
                <w:szCs w:val="24"/>
              </w:rPr>
            </w:pPr>
          </w:p>
        </w:tc>
        <w:tc>
          <w:tcPr>
            <w:tcW w:w="7095" w:type="dxa"/>
            <w:shd w:val="clear" w:color="auto" w:fill="auto"/>
            <w:vAlign w:val="center"/>
          </w:tcPr>
          <w:p w14:paraId="0E9C944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7F12F9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E023E" w14:paraId="19BFB388" w14:textId="77777777">
        <w:trPr>
          <w:cantSplit/>
          <w:trHeight w:val="964"/>
        </w:trPr>
        <w:tc>
          <w:tcPr>
            <w:tcW w:w="1260" w:type="dxa"/>
            <w:tcBorders>
              <w:bottom w:val="single" w:sz="4" w:space="0" w:color="000000"/>
            </w:tcBorders>
            <w:shd w:val="clear" w:color="auto" w:fill="FFC800"/>
            <w:vAlign w:val="center"/>
          </w:tcPr>
          <w:p w14:paraId="2149FF6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ED892E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588520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E023E" w14:paraId="496E1234" w14:textId="77777777">
        <w:trPr>
          <w:cantSplit/>
          <w:trHeight w:val="964"/>
        </w:trPr>
        <w:tc>
          <w:tcPr>
            <w:tcW w:w="1260" w:type="dxa"/>
            <w:shd w:val="clear" w:color="auto" w:fill="FF0000"/>
            <w:vAlign w:val="center"/>
          </w:tcPr>
          <w:p w14:paraId="6A572BD7" w14:textId="77777777" w:rsidR="00000000" w:rsidRDefault="00000000">
            <w:pPr>
              <w:spacing w:before="60" w:after="60"/>
              <w:rPr>
                <w:rFonts w:eastAsia="Calibri"/>
                <w:szCs w:val="24"/>
              </w:rPr>
            </w:pPr>
          </w:p>
        </w:tc>
        <w:tc>
          <w:tcPr>
            <w:tcW w:w="7095" w:type="dxa"/>
            <w:shd w:val="clear" w:color="auto" w:fill="auto"/>
            <w:vAlign w:val="center"/>
          </w:tcPr>
          <w:p w14:paraId="2D39C33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C03660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EBD31CE" w14:textId="77777777" w:rsidR="00000000" w:rsidRDefault="00000000">
      <w:pPr>
        <w:pStyle w:val="Heading2"/>
        <w:spacing w:after="0"/>
        <w:rPr>
          <w:rFonts w:cs="Arial"/>
        </w:rPr>
      </w:pPr>
      <w:r>
        <w:rPr>
          <w:rFonts w:cs="Arial"/>
        </w:rPr>
        <w:t>General overview of the audit</w:t>
      </w:r>
    </w:p>
    <w:p w14:paraId="5B2C684D" w14:textId="77777777" w:rsidR="00000000" w:rsidRDefault="00000000">
      <w:pPr>
        <w:spacing w:before="240" w:line="276" w:lineRule="auto"/>
        <w:rPr>
          <w:rFonts w:eastAsia="Calibri"/>
        </w:rPr>
      </w:pPr>
      <w:bookmarkStart w:id="13" w:name="GeneralOverview"/>
      <w:r w:rsidRPr="00A4268A">
        <w:rPr>
          <w:rFonts w:eastAsia="Calibri"/>
        </w:rPr>
        <w:t>Cantabria Lifecare is certified to provide rest home, hospital, dementia, and residential disability services (including younger disabled people) for up to 236 residents; however, only 169 beds are currently in use by the service. The remaining rooms 67 rooms are being used for other purposes and some rooms which were certified as double rooms are now being used as single rooms. The service is owned and operated by Heritage Lifecare Limited. Residents and whānau interviewed were complimentary about the service.</w:t>
      </w:r>
    </w:p>
    <w:p w14:paraId="51AA4237" w14:textId="77777777" w:rsidR="009E023E"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agreements with Health New Zealand – Te Whatu Ora. The audit process included review of policies and procedures, review of resident and staff files, observations and interviews with residents, whānau, members of the governance group, managers, staff, and a general practitioner.</w:t>
      </w:r>
    </w:p>
    <w:p w14:paraId="0BBB1592" w14:textId="77777777" w:rsidR="009E023E" w:rsidRPr="00A4268A" w:rsidRDefault="00000000">
      <w:pPr>
        <w:spacing w:before="240" w:line="276" w:lineRule="auto"/>
        <w:rPr>
          <w:rFonts w:eastAsia="Calibri"/>
        </w:rPr>
      </w:pPr>
      <w:r w:rsidRPr="00A4268A">
        <w:rPr>
          <w:rFonts w:eastAsia="Calibri"/>
        </w:rPr>
        <w:t>The service is managed by an experienced facility manager, supported by an experienced clinical manager who has clinical oversight of the facility.</w:t>
      </w:r>
    </w:p>
    <w:p w14:paraId="2337307F" w14:textId="77777777" w:rsidR="009E023E" w:rsidRPr="00A4268A" w:rsidRDefault="00000000">
      <w:pPr>
        <w:spacing w:before="240" w:line="276" w:lineRule="auto"/>
        <w:rPr>
          <w:rFonts w:eastAsia="Calibri"/>
        </w:rPr>
      </w:pPr>
      <w:r w:rsidRPr="00A4268A">
        <w:rPr>
          <w:rFonts w:eastAsia="Calibri"/>
        </w:rPr>
        <w:t>An improvement identified during the audit related to the management of pressure injuries.</w:t>
      </w:r>
    </w:p>
    <w:bookmarkEnd w:id="13"/>
    <w:p w14:paraId="174C434B" w14:textId="77777777" w:rsidR="009E023E" w:rsidRPr="00A4268A" w:rsidRDefault="009E023E">
      <w:pPr>
        <w:spacing w:before="240" w:line="276" w:lineRule="auto"/>
        <w:rPr>
          <w:rFonts w:eastAsia="Calibri"/>
        </w:rPr>
      </w:pPr>
    </w:p>
    <w:p w14:paraId="63BE4ED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023E" w14:paraId="07E10B8A" w14:textId="77777777" w:rsidTr="00A4268A">
        <w:trPr>
          <w:cantSplit/>
        </w:trPr>
        <w:tc>
          <w:tcPr>
            <w:tcW w:w="10206" w:type="dxa"/>
            <w:vAlign w:val="center"/>
          </w:tcPr>
          <w:p w14:paraId="16E3699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D56BDB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3B9ED7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ED837C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F8467BA" w14:textId="77777777" w:rsidR="00000000" w:rsidRDefault="00000000">
      <w:pPr>
        <w:spacing w:before="240" w:line="276" w:lineRule="auto"/>
        <w:rPr>
          <w:rFonts w:eastAsia="Calibri"/>
        </w:rPr>
      </w:pPr>
      <w:bookmarkStart w:id="16" w:name="ConsumerRights"/>
      <w:r w:rsidRPr="00A4268A">
        <w:rPr>
          <w:rFonts w:eastAsia="Calibri"/>
        </w:rPr>
        <w:t>Cantabria Lifecare provided an environment that supported residents’ rights and culturally safe care. Staff demonstrated an understanding of residents' rights and obligations. There was a health plan that encapsulated care specifically directed at Māori, Pacific peoples, and other ethnicities.</w:t>
      </w:r>
    </w:p>
    <w:p w14:paraId="758C260E" w14:textId="77777777" w:rsidR="009E023E" w:rsidRPr="00A4268A" w:rsidRDefault="00000000">
      <w:pPr>
        <w:spacing w:before="240" w:line="276" w:lineRule="auto"/>
        <w:rPr>
          <w:rFonts w:eastAsia="Calibri"/>
        </w:rPr>
      </w:pPr>
      <w:r w:rsidRPr="00A4268A">
        <w:rPr>
          <w:rFonts w:eastAsia="Calibri"/>
        </w:rPr>
        <w:t>The service works collaboratively to support and encourage a Māori world view of health in service delivery. Māori are provided with equitable and effective services based on Te Tiriti o Waitangi and the principles of mana motuhake (self-determination), and this was confirmed by Māori residents and whānau interviewed.</w:t>
      </w:r>
    </w:p>
    <w:p w14:paraId="1C9CDEF9" w14:textId="77777777" w:rsidR="009E023E" w:rsidRPr="00A4268A" w:rsidRDefault="00000000">
      <w:pPr>
        <w:spacing w:before="240" w:line="276" w:lineRule="auto"/>
        <w:rPr>
          <w:rFonts w:eastAsia="Calibri"/>
        </w:rPr>
      </w:pPr>
      <w:r w:rsidRPr="00A4268A">
        <w:rPr>
          <w:rFonts w:eastAsia="Calibri"/>
        </w:rPr>
        <w:t>Pacific peoples are provided with services that recognise their worldviews and are culturally safe.</w:t>
      </w:r>
    </w:p>
    <w:p w14:paraId="4922C1E9" w14:textId="77777777" w:rsidR="009E023E"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5575DE1C" w14:textId="77777777" w:rsidR="009E023E"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were provided as needed. Whānau and legal representatives participate in decision-making that complies with the law. Advance directives are followed wherever possible.</w:t>
      </w:r>
    </w:p>
    <w:p w14:paraId="25D6C98A" w14:textId="77777777" w:rsidR="009E023E" w:rsidRPr="00A4268A" w:rsidRDefault="00000000">
      <w:pPr>
        <w:spacing w:before="240" w:line="276" w:lineRule="auto"/>
        <w:rPr>
          <w:rFonts w:eastAsia="Calibri"/>
        </w:rPr>
      </w:pPr>
      <w:r w:rsidRPr="00A4268A">
        <w:rPr>
          <w:rFonts w:eastAsia="Calibri"/>
        </w:rPr>
        <w:t>Processes are in place to ensure that complaints from all sources are resolved promptly and effectively in collaboration with all parties. There are processes in place to ensure that the complaints process works equitably for Māori.</w:t>
      </w:r>
    </w:p>
    <w:bookmarkEnd w:id="16"/>
    <w:p w14:paraId="3BFE8627" w14:textId="77777777" w:rsidR="009E023E" w:rsidRPr="00A4268A" w:rsidRDefault="009E023E">
      <w:pPr>
        <w:spacing w:before="240" w:line="276" w:lineRule="auto"/>
        <w:rPr>
          <w:rFonts w:eastAsia="Calibri"/>
        </w:rPr>
      </w:pPr>
    </w:p>
    <w:p w14:paraId="2E6D69E6"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023E" w14:paraId="256F8B0A" w14:textId="77777777" w:rsidTr="00A4268A">
        <w:trPr>
          <w:cantSplit/>
        </w:trPr>
        <w:tc>
          <w:tcPr>
            <w:tcW w:w="10206" w:type="dxa"/>
            <w:vAlign w:val="center"/>
          </w:tcPr>
          <w:p w14:paraId="36846D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163020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51066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335CE82" w14:textId="77777777" w:rsidR="00000000" w:rsidRDefault="00000000">
      <w:pPr>
        <w:spacing w:before="240" w:line="276" w:lineRule="auto"/>
        <w:rPr>
          <w:rFonts w:eastAsia="Calibri"/>
        </w:rPr>
      </w:pPr>
      <w:bookmarkStart w:id="19" w:name="OrganisationalManagement"/>
      <w:r w:rsidRPr="00A4268A">
        <w:rPr>
          <w:rFonts w:eastAsia="Calibri"/>
        </w:rPr>
        <w:t>The organisation is governed by Heritage Lifecare Limited. The board of directors’ work with the facility manager at Cantabria Lifecare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02401CD5" w14:textId="77777777" w:rsidR="009E023E"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709ED56B" w14:textId="77777777" w:rsidR="009E023E" w:rsidRPr="00A4268A" w:rsidRDefault="00000000">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participate in quality activities. An integrated approach includes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obligations.</w:t>
      </w:r>
    </w:p>
    <w:p w14:paraId="186E5300" w14:textId="77777777" w:rsidR="009E023E" w:rsidRPr="00A4268A" w:rsidRDefault="00000000">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Staff working in the secure dementia unit had completed or commenced the required education in the appropriate timeframe. A systematic approach to identify and deliver ongoing learning supports safe and equitable service delivery. Staff performance was monitored.</w:t>
      </w:r>
    </w:p>
    <w:p w14:paraId="5B72EB68" w14:textId="77777777" w:rsidR="009E023E" w:rsidRPr="00A4268A" w:rsidRDefault="00000000">
      <w:pPr>
        <w:spacing w:before="240" w:line="276" w:lineRule="auto"/>
        <w:rPr>
          <w:rFonts w:eastAsia="Calibri"/>
        </w:rPr>
      </w:pPr>
      <w:r w:rsidRPr="00A4268A">
        <w:rPr>
          <w:rFonts w:eastAsia="Calibri"/>
        </w:rPr>
        <w:t>Residents’ information was accurately recorded, securely stored, was not on public display, or accessible to unauthorised people.</w:t>
      </w:r>
    </w:p>
    <w:bookmarkEnd w:id="19"/>
    <w:p w14:paraId="62BDEEC3" w14:textId="77777777" w:rsidR="009E023E" w:rsidRPr="00A4268A" w:rsidRDefault="009E023E">
      <w:pPr>
        <w:spacing w:before="240" w:line="276" w:lineRule="auto"/>
        <w:rPr>
          <w:rFonts w:eastAsia="Calibri"/>
        </w:rPr>
      </w:pPr>
    </w:p>
    <w:p w14:paraId="2B7DA3F4"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023E" w14:paraId="4D412111" w14:textId="77777777" w:rsidTr="00A4268A">
        <w:trPr>
          <w:cantSplit/>
        </w:trPr>
        <w:tc>
          <w:tcPr>
            <w:tcW w:w="10206" w:type="dxa"/>
            <w:vAlign w:val="center"/>
          </w:tcPr>
          <w:p w14:paraId="0E079D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53DE3B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254E0C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69E680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 Cantabria Lifecare, a person-centred and whānau-centred approach is adopted. Relevant information is provided to the potential residents and whānau.</w:t>
      </w:r>
    </w:p>
    <w:p w14:paraId="1609F977" w14:textId="77777777" w:rsidR="009E023E"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recent problems that arose. Files reviewed demonstrated that care met the needs of residents and whānau.</w:t>
      </w:r>
    </w:p>
    <w:p w14:paraId="17B3F5B1" w14:textId="77777777" w:rsidR="009E023E"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6DE54843" w14:textId="77777777" w:rsidR="009E023E"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10121EB0" w14:textId="77777777" w:rsidR="009E023E"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22301297" w14:textId="77777777" w:rsidR="009E023E" w:rsidRPr="00A4268A" w:rsidRDefault="00000000" w:rsidP="00621629">
      <w:pPr>
        <w:spacing w:before="240" w:line="276" w:lineRule="auto"/>
        <w:rPr>
          <w:rFonts w:eastAsia="Calibri"/>
        </w:rPr>
      </w:pPr>
      <w:r w:rsidRPr="00A4268A">
        <w:rPr>
          <w:rFonts w:eastAsia="Calibri"/>
        </w:rPr>
        <w:t>Residents were transferred to other health services as required.</w:t>
      </w:r>
    </w:p>
    <w:bookmarkEnd w:id="22"/>
    <w:p w14:paraId="2945FDBA" w14:textId="77777777" w:rsidR="009E023E" w:rsidRPr="00A4268A" w:rsidRDefault="009E023E" w:rsidP="00621629">
      <w:pPr>
        <w:spacing w:before="240" w:line="276" w:lineRule="auto"/>
        <w:rPr>
          <w:rFonts w:eastAsia="Calibri"/>
        </w:rPr>
      </w:pPr>
    </w:p>
    <w:p w14:paraId="7D239E5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023E" w14:paraId="1476B77F" w14:textId="77777777" w:rsidTr="00A4268A">
        <w:trPr>
          <w:cantSplit/>
        </w:trPr>
        <w:tc>
          <w:tcPr>
            <w:tcW w:w="10206" w:type="dxa"/>
            <w:vAlign w:val="center"/>
          </w:tcPr>
          <w:p w14:paraId="5A7F2EC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33403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53384B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96A4F44"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well maintained. There was a current building warrant of fitness. Electrical equipment is tested as required. External areas are accessible, safe and provide shade and seating, and meet the needs of people with disabilities. External areas adjacent to the secure dementia care unit are secure and meet the leisure and recreation needs of the residents housed in this area.</w:t>
      </w:r>
    </w:p>
    <w:p w14:paraId="6E6FAC28" w14:textId="77777777" w:rsidR="009E023E"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Emergency supplies were adequate for the region. Residents reported a timely staff response to call bells. Security is maintained.</w:t>
      </w:r>
    </w:p>
    <w:bookmarkEnd w:id="25"/>
    <w:p w14:paraId="4D2C6D2C" w14:textId="77777777" w:rsidR="009E023E" w:rsidRPr="00A4268A" w:rsidRDefault="009E023E">
      <w:pPr>
        <w:spacing w:before="240" w:line="276" w:lineRule="auto"/>
        <w:rPr>
          <w:rFonts w:eastAsia="Calibri"/>
        </w:rPr>
      </w:pPr>
    </w:p>
    <w:p w14:paraId="3C65078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023E" w14:paraId="7E6805B8" w14:textId="77777777" w:rsidTr="00A4268A">
        <w:trPr>
          <w:cantSplit/>
        </w:trPr>
        <w:tc>
          <w:tcPr>
            <w:tcW w:w="10206" w:type="dxa"/>
            <w:vAlign w:val="center"/>
          </w:tcPr>
          <w:p w14:paraId="0ADE980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87AA05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6680C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7B06E75"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of Cantabria Lifecare ensures the safety of residents and staff through a planned infection prevention and antimicrobial stewardship programme that was appropriate to the size and complexity of the service. Two experienced and trained infection control nurses lead the programme.</w:t>
      </w:r>
    </w:p>
    <w:p w14:paraId="468A8034" w14:textId="77777777" w:rsidR="009E023E" w:rsidRPr="00A4268A" w:rsidRDefault="00000000">
      <w:pPr>
        <w:spacing w:before="240" w:line="276" w:lineRule="auto"/>
        <w:rPr>
          <w:rFonts w:eastAsia="Calibri"/>
        </w:rPr>
      </w:pPr>
      <w:r w:rsidRPr="00A4268A">
        <w:rPr>
          <w:rFonts w:eastAsia="Calibri"/>
        </w:rPr>
        <w:t>The infection control nurses participate in procurement processes, any facility changes, and processes related to decontamination of any reusable devices.</w:t>
      </w:r>
    </w:p>
    <w:p w14:paraId="4A6534EA" w14:textId="77777777" w:rsidR="009E023E"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7ABCFAC" w14:textId="77777777" w:rsidR="009E023E"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054ACB16" w14:textId="77777777" w:rsidR="009E023E"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cleaning and laundry services.</w:t>
      </w:r>
    </w:p>
    <w:bookmarkEnd w:id="28"/>
    <w:p w14:paraId="215DB70D" w14:textId="77777777" w:rsidR="009E023E" w:rsidRPr="00A4268A" w:rsidRDefault="009E023E">
      <w:pPr>
        <w:spacing w:before="240" w:line="276" w:lineRule="auto"/>
        <w:rPr>
          <w:rFonts w:eastAsia="Calibri"/>
        </w:rPr>
      </w:pPr>
    </w:p>
    <w:p w14:paraId="2344401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023E" w14:paraId="07098A5D" w14:textId="77777777" w:rsidTr="00A4268A">
        <w:trPr>
          <w:cantSplit/>
        </w:trPr>
        <w:tc>
          <w:tcPr>
            <w:tcW w:w="10206" w:type="dxa"/>
            <w:vAlign w:val="center"/>
          </w:tcPr>
          <w:p w14:paraId="0C5ABDE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034AFE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04BCD2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40DD2AD"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Should restraint be required, there is a comprehensive assessment, approval, consent and monitoring process for restraint, requiring regular review. Restraint would be used only as a last resort and when all other interventions/strategies have failed.</w:t>
      </w:r>
    </w:p>
    <w:p w14:paraId="7157F5DC" w14:textId="77777777" w:rsidR="009E023E" w:rsidRPr="00A4268A" w:rsidRDefault="00000000">
      <w:pPr>
        <w:spacing w:before="240" w:line="276" w:lineRule="auto"/>
        <w:rPr>
          <w:rFonts w:eastAsia="Calibri"/>
        </w:rPr>
      </w:pPr>
      <w:r w:rsidRPr="00A4268A">
        <w:rPr>
          <w:rFonts w:eastAsia="Calibri"/>
        </w:rPr>
        <w:t>The restraint coordinator is a registered nurse. The restraint coordinator has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w:t>
      </w:r>
    </w:p>
    <w:bookmarkEnd w:id="31"/>
    <w:p w14:paraId="567FEFE8" w14:textId="77777777" w:rsidR="009E023E" w:rsidRPr="00A4268A" w:rsidRDefault="009E023E">
      <w:pPr>
        <w:spacing w:before="240" w:line="276" w:lineRule="auto"/>
        <w:rPr>
          <w:rFonts w:eastAsia="Calibri"/>
        </w:rPr>
      </w:pPr>
    </w:p>
    <w:p w14:paraId="05238235" w14:textId="77777777" w:rsidR="00000000" w:rsidRDefault="00000000" w:rsidP="000E6E02">
      <w:pPr>
        <w:pStyle w:val="Heading2"/>
        <w:spacing w:before="0"/>
        <w:rPr>
          <w:rFonts w:cs="Arial"/>
        </w:rPr>
      </w:pPr>
      <w:r>
        <w:rPr>
          <w:rFonts w:cs="Arial"/>
        </w:rPr>
        <w:lastRenderedPageBreak/>
        <w:t>Summary of attainment</w:t>
      </w:r>
    </w:p>
    <w:p w14:paraId="3E46E67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E023E" w14:paraId="454C0AC2" w14:textId="77777777">
        <w:tc>
          <w:tcPr>
            <w:tcW w:w="1384" w:type="dxa"/>
            <w:vAlign w:val="center"/>
          </w:tcPr>
          <w:p w14:paraId="410390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0C31770" w14:textId="77777777" w:rsidR="00000000" w:rsidRDefault="00000000">
            <w:pPr>
              <w:keepNext/>
              <w:spacing w:before="60" w:after="60"/>
              <w:jc w:val="center"/>
              <w:rPr>
                <w:rFonts w:cs="Arial"/>
                <w:b/>
                <w:sz w:val="20"/>
                <w:szCs w:val="20"/>
              </w:rPr>
            </w:pPr>
            <w:r>
              <w:rPr>
                <w:rFonts w:cs="Arial"/>
                <w:b/>
                <w:sz w:val="20"/>
                <w:szCs w:val="20"/>
              </w:rPr>
              <w:t>Continuous Improvement</w:t>
            </w:r>
          </w:p>
          <w:p w14:paraId="1766F22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364095F" w14:textId="77777777" w:rsidR="00000000" w:rsidRDefault="00000000">
            <w:pPr>
              <w:keepNext/>
              <w:spacing w:before="60" w:after="60"/>
              <w:jc w:val="center"/>
              <w:rPr>
                <w:rFonts w:cs="Arial"/>
                <w:b/>
                <w:sz w:val="20"/>
                <w:szCs w:val="20"/>
              </w:rPr>
            </w:pPr>
            <w:r>
              <w:rPr>
                <w:rFonts w:cs="Arial"/>
                <w:b/>
                <w:sz w:val="20"/>
                <w:szCs w:val="20"/>
              </w:rPr>
              <w:t>Fully Attained</w:t>
            </w:r>
          </w:p>
          <w:p w14:paraId="0FC8677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637086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84ABAD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5EE153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9B062F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ED0F62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180AD0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07BDF5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B33934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4A5C4A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67583BE" w14:textId="77777777" w:rsidR="00000000" w:rsidRDefault="00000000">
            <w:pPr>
              <w:keepNext/>
              <w:spacing w:before="60" w:after="60"/>
              <w:jc w:val="center"/>
              <w:rPr>
                <w:rFonts w:cs="Arial"/>
                <w:b/>
                <w:sz w:val="20"/>
                <w:szCs w:val="20"/>
              </w:rPr>
            </w:pPr>
            <w:r>
              <w:rPr>
                <w:rFonts w:cs="Arial"/>
                <w:b/>
                <w:sz w:val="20"/>
                <w:szCs w:val="20"/>
              </w:rPr>
              <w:t>(PA Critical)</w:t>
            </w:r>
          </w:p>
        </w:tc>
      </w:tr>
      <w:tr w:rsidR="009E023E" w14:paraId="2DC81C63" w14:textId="77777777">
        <w:tc>
          <w:tcPr>
            <w:tcW w:w="1384" w:type="dxa"/>
            <w:vAlign w:val="center"/>
          </w:tcPr>
          <w:p w14:paraId="11457C3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1B9EA6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461FDE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E577A1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CF47E8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AA6F2B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1B9F8B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87AB6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E023E" w14:paraId="402D27B9" w14:textId="77777777">
        <w:tc>
          <w:tcPr>
            <w:tcW w:w="1384" w:type="dxa"/>
            <w:vAlign w:val="center"/>
          </w:tcPr>
          <w:p w14:paraId="70F5DDC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48FC2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FDF8C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473D9BE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92837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CCA864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08E636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187574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F59BCA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E023E" w14:paraId="27B0E7F1" w14:textId="77777777">
        <w:tc>
          <w:tcPr>
            <w:tcW w:w="1384" w:type="dxa"/>
            <w:vAlign w:val="center"/>
          </w:tcPr>
          <w:p w14:paraId="50A611F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E0B909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CB6A74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3B3D82" w14:textId="77777777" w:rsidR="00000000" w:rsidRDefault="00000000">
            <w:pPr>
              <w:keepNext/>
              <w:spacing w:before="60" w:after="60"/>
              <w:jc w:val="center"/>
              <w:rPr>
                <w:rFonts w:cs="Arial"/>
                <w:b/>
                <w:sz w:val="20"/>
                <w:szCs w:val="20"/>
              </w:rPr>
            </w:pPr>
            <w:r>
              <w:rPr>
                <w:rFonts w:cs="Arial"/>
                <w:b/>
                <w:sz w:val="20"/>
                <w:szCs w:val="20"/>
              </w:rPr>
              <w:t>Unattained Low Risk</w:t>
            </w:r>
          </w:p>
          <w:p w14:paraId="19B3766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4D2F10B" w14:textId="77777777" w:rsidR="00000000" w:rsidRDefault="00000000">
            <w:pPr>
              <w:keepNext/>
              <w:spacing w:before="60" w:after="60"/>
              <w:jc w:val="center"/>
              <w:rPr>
                <w:rFonts w:cs="Arial"/>
                <w:b/>
                <w:sz w:val="20"/>
                <w:szCs w:val="20"/>
              </w:rPr>
            </w:pPr>
            <w:r>
              <w:rPr>
                <w:rFonts w:cs="Arial"/>
                <w:b/>
                <w:sz w:val="20"/>
                <w:szCs w:val="20"/>
              </w:rPr>
              <w:t>Unattained Moderate Risk</w:t>
            </w:r>
          </w:p>
          <w:p w14:paraId="7B75E45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4C7053F" w14:textId="77777777" w:rsidR="00000000" w:rsidRDefault="00000000">
            <w:pPr>
              <w:keepNext/>
              <w:spacing w:before="60" w:after="60"/>
              <w:jc w:val="center"/>
              <w:rPr>
                <w:rFonts w:cs="Arial"/>
                <w:b/>
                <w:sz w:val="20"/>
                <w:szCs w:val="20"/>
              </w:rPr>
            </w:pPr>
            <w:r>
              <w:rPr>
                <w:rFonts w:cs="Arial"/>
                <w:b/>
                <w:sz w:val="20"/>
                <w:szCs w:val="20"/>
              </w:rPr>
              <w:t>Unattained High Risk</w:t>
            </w:r>
          </w:p>
          <w:p w14:paraId="1221421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0F13E1B" w14:textId="77777777" w:rsidR="00000000" w:rsidRDefault="00000000">
            <w:pPr>
              <w:keepNext/>
              <w:spacing w:before="60" w:after="60"/>
              <w:jc w:val="center"/>
              <w:rPr>
                <w:rFonts w:cs="Arial"/>
                <w:b/>
                <w:sz w:val="20"/>
                <w:szCs w:val="20"/>
              </w:rPr>
            </w:pPr>
            <w:r>
              <w:rPr>
                <w:rFonts w:cs="Arial"/>
                <w:b/>
                <w:sz w:val="20"/>
                <w:szCs w:val="20"/>
              </w:rPr>
              <w:t>Unattained Critical Risk</w:t>
            </w:r>
          </w:p>
          <w:p w14:paraId="61E84BCD" w14:textId="77777777" w:rsidR="00000000" w:rsidRDefault="00000000">
            <w:pPr>
              <w:keepNext/>
              <w:spacing w:before="60" w:after="60"/>
              <w:jc w:val="center"/>
              <w:rPr>
                <w:rFonts w:cs="Arial"/>
                <w:b/>
                <w:sz w:val="20"/>
                <w:szCs w:val="20"/>
              </w:rPr>
            </w:pPr>
            <w:r>
              <w:rPr>
                <w:rFonts w:cs="Arial"/>
                <w:b/>
                <w:sz w:val="20"/>
                <w:szCs w:val="20"/>
              </w:rPr>
              <w:t>(UA Critical)</w:t>
            </w:r>
          </w:p>
        </w:tc>
      </w:tr>
      <w:tr w:rsidR="009E023E" w14:paraId="308707D2" w14:textId="77777777">
        <w:tc>
          <w:tcPr>
            <w:tcW w:w="1384" w:type="dxa"/>
            <w:vAlign w:val="center"/>
          </w:tcPr>
          <w:p w14:paraId="48BED4A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F1DFA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1E6F6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FA4727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2C769C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73327B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E023E" w14:paraId="15CDB368" w14:textId="77777777">
        <w:tc>
          <w:tcPr>
            <w:tcW w:w="1384" w:type="dxa"/>
            <w:vAlign w:val="center"/>
          </w:tcPr>
          <w:p w14:paraId="4743DE8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1BDAA3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43764B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1F491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4419A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A98DFC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6855A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0AABC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10812D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C6EB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9E023E" w14:paraId="1DABC349" w14:textId="77777777">
        <w:tc>
          <w:tcPr>
            <w:tcW w:w="0" w:type="auto"/>
          </w:tcPr>
          <w:p w14:paraId="6344F52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7D8B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5889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E023E" w14:paraId="5B530C7F" w14:textId="77777777">
        <w:tc>
          <w:tcPr>
            <w:tcW w:w="0" w:type="auto"/>
          </w:tcPr>
          <w:p w14:paraId="616F8F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FDC372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E3BE45A" w14:textId="77777777" w:rsidR="00000000" w:rsidRPr="00BE00C7" w:rsidRDefault="00000000" w:rsidP="00BE00C7">
            <w:pPr>
              <w:pStyle w:val="OutcomeDescription"/>
              <w:spacing w:before="120" w:after="120"/>
              <w:rPr>
                <w:rFonts w:cs="Arial"/>
                <w:lang w:eastAsia="en-NZ"/>
              </w:rPr>
            </w:pPr>
          </w:p>
        </w:tc>
        <w:tc>
          <w:tcPr>
            <w:tcW w:w="0" w:type="auto"/>
          </w:tcPr>
          <w:p w14:paraId="2AB411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19263F"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Lifecare (Cantabria) has developed policies, procedures and processes to embed and enact Te Tiriti o Waitangi in all aspects of its work. Residents and whānau interviewed reported that staff respected their right to mana motuhake (self-determination). Partnerships have been established with local iwi and Māori organisations to support service integration, planning, equity approaches and support for Māori. A Māori health plan has been developed with input from cultural advisors and this was being used for residents who identified as Māori.</w:t>
            </w:r>
          </w:p>
          <w:p w14:paraId="34DD2DA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participate in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are consistent with cultural safety, confirming that mana motuhake (self-determination) is respected.</w:t>
            </w:r>
          </w:p>
          <w:p w14:paraId="242C65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capacity for Māori within the service by employing more Māori staff members across differing levels of the organisation as vacancies and applications for employment permit. </w:t>
            </w:r>
            <w:r w:rsidRPr="00BE00C7">
              <w:rPr>
                <w:rFonts w:cs="Arial"/>
                <w:lang w:eastAsia="en-NZ"/>
              </w:rPr>
              <w:lastRenderedPageBreak/>
              <w:t>Recruitment of Māori into the service is outlined in the Māori health plan. Ethnicity data is gathered when staff are employed, and this data is analysed at a management level. There were staff who identified as Māori employed by the service at the time of audit.</w:t>
            </w:r>
          </w:p>
          <w:p w14:paraId="5631B068"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iwi and Māori organisations to support service integration, planning, equity approaches, and support for Māori. The service has links for Māori health support through Te Runanga O Ngāti Pikiao Trust.</w:t>
            </w:r>
          </w:p>
          <w:p w14:paraId="4B496FCE" w14:textId="77777777" w:rsidR="00000000" w:rsidRPr="00BE00C7" w:rsidRDefault="00000000" w:rsidP="00BE00C7">
            <w:pPr>
              <w:pStyle w:val="OutcomeDescription"/>
              <w:spacing w:before="120" w:after="120"/>
              <w:rPr>
                <w:rFonts w:cs="Arial"/>
                <w:lang w:eastAsia="en-NZ"/>
              </w:rPr>
            </w:pPr>
          </w:p>
        </w:tc>
      </w:tr>
      <w:tr w:rsidR="009E023E" w14:paraId="663A8960" w14:textId="77777777">
        <w:tc>
          <w:tcPr>
            <w:tcW w:w="0" w:type="auto"/>
          </w:tcPr>
          <w:p w14:paraId="1C135C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DC0F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FCA1035" w14:textId="77777777" w:rsidR="00000000" w:rsidRPr="00BE00C7" w:rsidRDefault="00000000" w:rsidP="00BE00C7">
            <w:pPr>
              <w:pStyle w:val="OutcomeDescription"/>
              <w:spacing w:before="120" w:after="120"/>
              <w:rPr>
                <w:rFonts w:cs="Arial"/>
                <w:lang w:eastAsia="en-NZ"/>
              </w:rPr>
            </w:pPr>
          </w:p>
        </w:tc>
        <w:tc>
          <w:tcPr>
            <w:tcW w:w="0" w:type="auto"/>
          </w:tcPr>
          <w:p w14:paraId="65DCB2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BB0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health plan in place which describes how the organisation will respond to the cultural needs of Pasifika residents. The document notes the need to embrace cultural and spiritual beliefs; it is based on the Manatū Hauora (Ministry of Health) Ola Manuia Pacific Health and Wellbeing Action Plan 2020 and outlines the Fonofale model of care to guide care for Pacific peoples. Representatives from the board of directors interviewed were knowledgeable about their responsibilities to health equity for Pacific peoples. There were residents who identified as Pasifika in the facility on the days of audit, those interviewed reported that they were comfortable at the facility and expressed feelings and experiences that are consistent with cultural safety.</w:t>
            </w:r>
          </w:p>
          <w:p w14:paraId="4730FD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policy in place to support increasing Pasifika service capacity by employing more Pasifika staff members across differing levels of the organisation as vacancies and applications for employment permit. Ethnicity data is gathered when staff are employed, and this data is analysed at a management level. There were staff who identified as Pasifika in the service at the time of audit.</w:t>
            </w:r>
          </w:p>
          <w:p w14:paraId="3D86F3C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to support any Pasifika entering into the service through local pastors from local churches.</w:t>
            </w:r>
          </w:p>
          <w:p w14:paraId="7D41F3FF" w14:textId="77777777" w:rsidR="00000000" w:rsidRPr="00BE00C7" w:rsidRDefault="00000000" w:rsidP="00BE00C7">
            <w:pPr>
              <w:pStyle w:val="OutcomeDescription"/>
              <w:spacing w:before="120" w:after="120"/>
              <w:rPr>
                <w:rFonts w:cs="Arial"/>
                <w:lang w:eastAsia="en-NZ"/>
              </w:rPr>
            </w:pPr>
          </w:p>
        </w:tc>
      </w:tr>
      <w:tr w:rsidR="009E023E" w14:paraId="781C2BCF" w14:textId="77777777">
        <w:tc>
          <w:tcPr>
            <w:tcW w:w="0" w:type="auto"/>
          </w:tcPr>
          <w:p w14:paraId="6EB51E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570A8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lastRenderedPageBreak/>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0551EB" w14:textId="77777777" w:rsidR="00000000" w:rsidRPr="00BE00C7" w:rsidRDefault="00000000" w:rsidP="00BE00C7">
            <w:pPr>
              <w:pStyle w:val="OutcomeDescription"/>
              <w:spacing w:before="120" w:after="120"/>
              <w:rPr>
                <w:rFonts w:cs="Arial"/>
                <w:lang w:eastAsia="en-NZ"/>
              </w:rPr>
            </w:pPr>
          </w:p>
        </w:tc>
        <w:tc>
          <w:tcPr>
            <w:tcW w:w="0" w:type="auto"/>
          </w:tcPr>
          <w:p w14:paraId="6D246B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3370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Staff </w:t>
            </w:r>
            <w:r w:rsidRPr="00BE00C7">
              <w:rPr>
                <w:rFonts w:cs="Arial"/>
                <w:lang w:eastAsia="en-NZ"/>
              </w:rPr>
              <w:lastRenderedPageBreak/>
              <w:t>training records evidenced a high percentage of staff attendance at training sessions around the Code.</w:t>
            </w:r>
          </w:p>
          <w:p w14:paraId="355CDD03"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consumer auditor was part of the audit team and interviewed five residents receiving care under a Whaikaha contract, and three of their whānau. Residents and their whānau verified Cantabria provided services in a manner that upheld their rights. Residents made mention of the respect shown to them and their privacy, and the support provided in enabling a flexible approach in meeting their daily needs.</w:t>
            </w:r>
          </w:p>
          <w:p w14:paraId="46977F3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(15) and whānau (eight) interviewed reported being made aware of the Code and the Nationwide Health and Disability Advocacy Service (Advocacy Service) and were provided with opportunities to discuss and clarify their rights. Information on the Code and the Advocacy Service was on display around the facility, with brochures available at reception and the hospital entrance. This information was also available in the information pack supplied on admission. Evidence verified Cantabria recognised self-determination and mana motuhake for Māori.</w:t>
            </w:r>
          </w:p>
          <w:p w14:paraId="3CF8A452"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independent advocate runs a separate residents’ meeting every three months, to enable any concerns and the Code to be discussed. Meeting minutes verify the Code is discussed and concerns are promptly addressed; this was supported by resident interviews. The independent advocate was not available to be interviewed.</w:t>
            </w:r>
          </w:p>
          <w:p w14:paraId="29C4A5DF" w14:textId="77777777" w:rsidR="00000000" w:rsidRPr="00BE00C7" w:rsidRDefault="00000000" w:rsidP="00BE00C7">
            <w:pPr>
              <w:pStyle w:val="OutcomeDescription"/>
              <w:spacing w:before="120" w:after="120"/>
              <w:rPr>
                <w:rFonts w:cs="Arial"/>
                <w:lang w:eastAsia="en-NZ"/>
              </w:rPr>
            </w:pPr>
          </w:p>
        </w:tc>
      </w:tr>
      <w:tr w:rsidR="009E023E" w14:paraId="7CF8252A" w14:textId="77777777">
        <w:tc>
          <w:tcPr>
            <w:tcW w:w="0" w:type="auto"/>
          </w:tcPr>
          <w:p w14:paraId="6BC98F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E8759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9889DC4" w14:textId="77777777" w:rsidR="00000000" w:rsidRPr="00BE00C7" w:rsidRDefault="00000000" w:rsidP="00BE00C7">
            <w:pPr>
              <w:pStyle w:val="OutcomeDescription"/>
              <w:spacing w:before="120" w:after="120"/>
              <w:rPr>
                <w:rFonts w:cs="Arial"/>
                <w:lang w:eastAsia="en-NZ"/>
              </w:rPr>
            </w:pPr>
          </w:p>
        </w:tc>
        <w:tc>
          <w:tcPr>
            <w:tcW w:w="0" w:type="auto"/>
          </w:tcPr>
          <w:p w14:paraId="291920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F14C41"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w:t>
            </w:r>
          </w:p>
          <w:p w14:paraId="1B0726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 Residents verified opportunities are provided to share what is important to them, and this is taken into consideration in care planning.</w:t>
            </w:r>
          </w:p>
          <w:p w14:paraId="7C4B3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w:t>
            </w:r>
            <w:r w:rsidRPr="00BE00C7">
              <w:rPr>
                <w:rFonts w:cs="Arial"/>
                <w:lang w:eastAsia="en-NZ"/>
              </w:rPr>
              <w:lastRenderedPageBreak/>
              <w:t>through meeting the individualised needs of residents, signage around the facility, entertainment by Māori groups, activity sessions, celebrations, and opportunities to speak te reo Māori. Māori and Pasifika residents were enabled to have separate monthly meetings, to enable open discussion within their cultural groups. Staff have undertaken training in Te Tiriti o Waitangi and understood the principles and how to apply these in their daily work.</w:t>
            </w:r>
          </w:p>
          <w:p w14:paraId="6BC88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enabling their participation in te ao Māori.</w:t>
            </w:r>
          </w:p>
          <w:p w14:paraId="07C3C8B9" w14:textId="77777777" w:rsidR="00000000" w:rsidRPr="00BE00C7" w:rsidRDefault="00000000" w:rsidP="00BE00C7">
            <w:pPr>
              <w:pStyle w:val="OutcomeDescription"/>
              <w:spacing w:before="120" w:after="120"/>
              <w:rPr>
                <w:rFonts w:cs="Arial"/>
                <w:lang w:eastAsia="en-NZ"/>
              </w:rPr>
            </w:pPr>
          </w:p>
        </w:tc>
      </w:tr>
      <w:tr w:rsidR="009E023E" w14:paraId="3299B253" w14:textId="77777777">
        <w:tc>
          <w:tcPr>
            <w:tcW w:w="0" w:type="auto"/>
          </w:tcPr>
          <w:p w14:paraId="56B6B2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9F5FD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06075F" w14:textId="77777777" w:rsidR="00000000" w:rsidRPr="00BE00C7" w:rsidRDefault="00000000" w:rsidP="00BE00C7">
            <w:pPr>
              <w:pStyle w:val="OutcomeDescription"/>
              <w:spacing w:before="120" w:after="120"/>
              <w:rPr>
                <w:rFonts w:cs="Arial"/>
                <w:lang w:eastAsia="en-NZ"/>
              </w:rPr>
            </w:pPr>
          </w:p>
        </w:tc>
        <w:tc>
          <w:tcPr>
            <w:tcW w:w="0" w:type="auto"/>
          </w:tcPr>
          <w:p w14:paraId="5B5583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A3BED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or harassment identified during the audit through staff and/or resident or whānau interviews, or in documentation reviewed.</w:t>
            </w:r>
          </w:p>
          <w:p w14:paraId="76DD0E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Valuables and substantial amounts of money are discouraged from being kept onsite. Money can be locked away. Residents and their whānau reported that property is respected, and finances protected.</w:t>
            </w:r>
          </w:p>
          <w:p w14:paraId="197101B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 professional boundaries. Staff interviewed felt comfortable in raising any concerns in relation to institutional and systemic racism and reported that any concerns would be acted upon. A strengths-based and holistic model of care was evident and included use of Te Whare Tapa Whā and the Fonafale models of care for Māori and Pasifika.</w:t>
            </w:r>
          </w:p>
          <w:p w14:paraId="1F5C4A43" w14:textId="77777777" w:rsidR="00000000" w:rsidRPr="00BE00C7" w:rsidRDefault="00000000" w:rsidP="00BE00C7">
            <w:pPr>
              <w:pStyle w:val="OutcomeDescription"/>
              <w:spacing w:before="120" w:after="120"/>
              <w:rPr>
                <w:rFonts w:cs="Arial"/>
                <w:lang w:eastAsia="en-NZ"/>
              </w:rPr>
            </w:pPr>
          </w:p>
        </w:tc>
      </w:tr>
      <w:tr w:rsidR="009E023E" w14:paraId="0DFC1B14" w14:textId="77777777">
        <w:tc>
          <w:tcPr>
            <w:tcW w:w="0" w:type="auto"/>
          </w:tcPr>
          <w:p w14:paraId="4D5AE6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34F7F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0BED04C5" w14:textId="77777777" w:rsidR="00000000" w:rsidRPr="00BE00C7" w:rsidRDefault="00000000" w:rsidP="00BE00C7">
            <w:pPr>
              <w:pStyle w:val="OutcomeDescription"/>
              <w:spacing w:before="120" w:after="120"/>
              <w:rPr>
                <w:rFonts w:cs="Arial"/>
                <w:lang w:eastAsia="en-NZ"/>
              </w:rPr>
            </w:pPr>
          </w:p>
        </w:tc>
        <w:tc>
          <w:tcPr>
            <w:tcW w:w="0" w:type="auto"/>
          </w:tcPr>
          <w:p w14:paraId="1EDCAB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AAF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participated in care, communication had occurred. Electronic communication aids were being used at Cantabria. Where residents were unable to use the call bell system, adaptations to enable the </w:t>
            </w:r>
            <w:r w:rsidRPr="00BE00C7">
              <w:rPr>
                <w:rFonts w:cs="Arial"/>
                <w:lang w:eastAsia="en-NZ"/>
              </w:rPr>
              <w:lastRenderedPageBreak/>
              <w:t>residents to request assistance had been provided.</w:t>
            </w:r>
          </w:p>
          <w:p w14:paraId="4347D9CF"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were evident following adverse events, general practitioner (GP) consults, and during the management of any complaints. Residents’ notice boards provided a range of information for residents and whānau.</w:t>
            </w:r>
          </w:p>
          <w:p w14:paraId="367BA08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FCB56E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resident/whānau newsletter goes out monthly to keep residents and whānau informed of happenings at Cantabria.</w:t>
            </w:r>
          </w:p>
          <w:p w14:paraId="76D2BF26" w14:textId="77777777" w:rsidR="00000000" w:rsidRPr="00BE00C7" w:rsidRDefault="00000000" w:rsidP="00BE00C7">
            <w:pPr>
              <w:pStyle w:val="OutcomeDescription"/>
              <w:spacing w:before="120" w:after="120"/>
              <w:rPr>
                <w:rFonts w:cs="Arial"/>
                <w:lang w:eastAsia="en-NZ"/>
              </w:rPr>
            </w:pPr>
          </w:p>
        </w:tc>
      </w:tr>
      <w:tr w:rsidR="009E023E" w14:paraId="28097F01" w14:textId="77777777">
        <w:tc>
          <w:tcPr>
            <w:tcW w:w="0" w:type="auto"/>
          </w:tcPr>
          <w:p w14:paraId="1BA79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70906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04E9511" w14:textId="77777777" w:rsidR="00000000" w:rsidRPr="00BE00C7" w:rsidRDefault="00000000" w:rsidP="00BE00C7">
            <w:pPr>
              <w:pStyle w:val="OutcomeDescription"/>
              <w:spacing w:before="120" w:after="120"/>
              <w:rPr>
                <w:rFonts w:cs="Arial"/>
                <w:lang w:eastAsia="en-NZ"/>
              </w:rPr>
            </w:pPr>
          </w:p>
        </w:tc>
        <w:tc>
          <w:tcPr>
            <w:tcW w:w="0" w:type="auto"/>
          </w:tcPr>
          <w:p w14:paraId="61B968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E00B4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4E1D9056"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5F372282"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w:t>
            </w:r>
          </w:p>
          <w:p w14:paraId="6133CB50"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of residents being cared for in the secure unit had an activated EPOA in place.</w:t>
            </w:r>
          </w:p>
          <w:p w14:paraId="1B0BA018" w14:textId="77777777" w:rsidR="00000000" w:rsidRPr="00BE00C7" w:rsidRDefault="00000000" w:rsidP="00BE00C7">
            <w:pPr>
              <w:pStyle w:val="OutcomeDescription"/>
              <w:spacing w:before="120" w:after="120"/>
              <w:rPr>
                <w:rFonts w:cs="Arial"/>
                <w:lang w:eastAsia="en-NZ"/>
              </w:rPr>
            </w:pPr>
          </w:p>
        </w:tc>
      </w:tr>
      <w:tr w:rsidR="009E023E" w14:paraId="1C69D76B" w14:textId="77777777">
        <w:tc>
          <w:tcPr>
            <w:tcW w:w="0" w:type="auto"/>
          </w:tcPr>
          <w:p w14:paraId="0F5A0B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C733C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in </w:t>
            </w:r>
            <w:r w:rsidRPr="00BE00C7">
              <w:rPr>
                <w:rFonts w:cs="Arial"/>
                <w:lang w:eastAsia="en-NZ"/>
              </w:rPr>
              <w:lastRenderedPageBreak/>
              <w:t>a manner that leads to quality improvement.</w:t>
            </w:r>
          </w:p>
          <w:p w14:paraId="3BEC0B79" w14:textId="77777777" w:rsidR="00000000" w:rsidRPr="00BE00C7" w:rsidRDefault="00000000" w:rsidP="00BE00C7">
            <w:pPr>
              <w:pStyle w:val="OutcomeDescription"/>
              <w:spacing w:before="120" w:after="120"/>
              <w:rPr>
                <w:rFonts w:cs="Arial"/>
                <w:lang w:eastAsia="en-NZ"/>
              </w:rPr>
            </w:pPr>
          </w:p>
        </w:tc>
        <w:tc>
          <w:tcPr>
            <w:tcW w:w="0" w:type="auto"/>
          </w:tcPr>
          <w:p w14:paraId="6980EB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C970D0"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w:t>
            </w:r>
          </w:p>
          <w:p w14:paraId="77F99F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ten complaints received by the service in the last nine months. All complaints, formal and informal, were managed as per the organisation’s complaints process. Documentation sighted in respect of the complaints showed that all complaints had been responded to within appropriate timeframes and that the </w:t>
            </w:r>
            <w:r w:rsidRPr="00BE00C7">
              <w:rPr>
                <w:rFonts w:cs="Arial"/>
                <w:lang w:eastAsia="en-NZ"/>
              </w:rPr>
              <w:lastRenderedPageBreak/>
              <w:t>complainants had been informed of findings and any corrective action arising from the complaint following investigation.</w:t>
            </w:r>
          </w:p>
          <w:p w14:paraId="3E7807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using culturally appropriate support, hui, and tikanga practices specific to the resident or the complainant).</w:t>
            </w:r>
          </w:p>
          <w:p w14:paraId="1DB94F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also been two complaints received via Health New Zealand – Te Whatu Ora (Te Whatu Ora) and two from the Office of the Health and Disability Commissioner (HDC); one of these was historic via the Advocacy Service. One of the Te Whatu Ora complaints has been addressed and closed, one (received recently) remains open and is currently under investigation. Of the complaints from the HDC, both have been closed with no recommendations.</w:t>
            </w:r>
          </w:p>
          <w:p w14:paraId="69203449" w14:textId="77777777" w:rsidR="00000000" w:rsidRPr="00BE00C7" w:rsidRDefault="00000000" w:rsidP="00BE00C7">
            <w:pPr>
              <w:pStyle w:val="OutcomeDescription"/>
              <w:spacing w:before="120" w:after="120"/>
              <w:rPr>
                <w:rFonts w:cs="Arial"/>
                <w:lang w:eastAsia="en-NZ"/>
              </w:rPr>
            </w:pPr>
            <w:r w:rsidRPr="00BE00C7">
              <w:rPr>
                <w:rFonts w:cs="Arial"/>
                <w:lang w:eastAsia="en-NZ"/>
              </w:rPr>
              <w:t>A WorkSafe investigation received in 2021 is ongoing. The service is currently awaiting a decision from WorkSafe in relation to further proceedings.</w:t>
            </w:r>
          </w:p>
          <w:p w14:paraId="1382CFC8" w14:textId="77777777" w:rsidR="00000000" w:rsidRPr="00BE00C7" w:rsidRDefault="00000000" w:rsidP="00BE00C7">
            <w:pPr>
              <w:pStyle w:val="OutcomeDescription"/>
              <w:spacing w:before="120" w:after="120"/>
              <w:rPr>
                <w:rFonts w:cs="Arial"/>
                <w:lang w:eastAsia="en-NZ"/>
              </w:rPr>
            </w:pPr>
          </w:p>
        </w:tc>
      </w:tr>
      <w:tr w:rsidR="009E023E" w14:paraId="48C16A38" w14:textId="77777777">
        <w:tc>
          <w:tcPr>
            <w:tcW w:w="0" w:type="auto"/>
          </w:tcPr>
          <w:p w14:paraId="2379DA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4BA3D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7E2E261" w14:textId="77777777" w:rsidR="00000000" w:rsidRPr="00BE00C7" w:rsidRDefault="00000000" w:rsidP="00BE00C7">
            <w:pPr>
              <w:pStyle w:val="OutcomeDescription"/>
              <w:spacing w:before="120" w:after="120"/>
              <w:rPr>
                <w:rFonts w:cs="Arial"/>
                <w:lang w:eastAsia="en-NZ"/>
              </w:rPr>
            </w:pPr>
          </w:p>
        </w:tc>
        <w:tc>
          <w:tcPr>
            <w:tcW w:w="0" w:type="auto"/>
          </w:tcPr>
          <w:p w14:paraId="661380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33941F"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is governed by the Heritage Lifecare board of directors. The governing body assumes accountability for delivering a high-quality service, honouring Te Tiriti o Waitangi and defining the leadership structure that is appropriate to the size and complexity of the organisation. Heritage Lifecare has a legal team who monitor changes to legislative and clinical requirements and have access to domestic and international legal advice. An experienced care home and village manager (CHVM) and assistant facility manager (AFM) manage the service and confirmed knowledge of the sector, including regulatory and reporting requirements; both maintain currency within the field.</w:t>
            </w:r>
          </w:p>
          <w:p w14:paraId="76C622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Pasifika and tāngata whaikaha was evident in plans and monitoring documentation reviewed. Ethnicity data is being collected to support </w:t>
            </w:r>
            <w:r w:rsidRPr="00BE00C7">
              <w:rPr>
                <w:rFonts w:cs="Arial"/>
                <w:lang w:eastAsia="en-NZ"/>
              </w:rPr>
              <w:lastRenderedPageBreak/>
              <w:t>equity. Equity is also supported through choice and control over supports and the removal of barriers that prevent access to information (e.g., information in other languages for the Code and infection prevention and control, and bilingual signage).</w:t>
            </w:r>
          </w:p>
          <w:p w14:paraId="2A2C661E"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promotes appropriate models of care specific to residents’ cultural needs, including for Māori and Pasifika. There is a Māori health plan in place that guides care for Māori, and a Pasifika plan to guide care for Pasifika. There was no evidence of infrastructural, financial, physical, or other barriers to equitable service delivery for Māori, Pasifika, or tāngata whaikaha. This was supported by interviews with residents and their whānau, two members of the governance management committee, managers, and with staff.</w:t>
            </w:r>
          </w:p>
          <w:p w14:paraId="045653B6"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commitment to the quality and risk management system was evident. Governance and the senior leadership team are committed to quality and risk via policy, processes, and through feedback mechanisms. Internal quality data collection (e.g., adverse events, complaints, infections, antimicrobial use, internal audits, and restraint use) is aggregated, and corrective actions completed where deficits are identified. A sample of facility reports and graphs showed adequate information to monitor performance is reported. Members of the board of directors interviewed felt well informed on progress and risks. This was confirmed in a sample of reports to the board.</w:t>
            </w:r>
          </w:p>
          <w:p w14:paraId="7ED6132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Residents hold meetings, and there was evidence of discussion and documented response to matters raised from residents in meeting minutes sighted. Specific meetings are held for Māori and Pasifika, and for tāngata whaikaha. An independent advocate holds meetings for residents, and these are well attended. Meetings are also held for whānau/EPOA to allow them to have input into services. Residents’ satisfaction surveys and general resident meetings showed an elevated level of satisfaction with the services provided. Residents and whānau interviewed also reported satisfaction with services when interviewed.</w:t>
            </w:r>
          </w:p>
          <w:p w14:paraId="75AAB0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residential care (ARRC) rest home and hospital level services, long-term support-chronic health conditions (LTS-CHC), short-term care </w:t>
            </w:r>
            <w:r w:rsidRPr="00BE00C7">
              <w:rPr>
                <w:rFonts w:cs="Arial"/>
                <w:lang w:eastAsia="en-NZ"/>
              </w:rPr>
              <w:lastRenderedPageBreak/>
              <w:t>(respite), and secure dementia care. Contracts with Whaikaha for residential disability were aimed at the care of younger people with disabilities. The service also holds a contract to provide services through the Accident Compensation Corporation (ACC). On the day of audit, 149 residents were receiving services. Fifty-seven (57) residents were receiving rest home services (eight in care suites under occupation rights agreements), 61 hospital level services, 10 secure ARRC dementia care services, four under the respite contract (two rest home and two hospital level care), 12 under the LTS-CHC contract (five at rest home level and seven receiving hospital level care), five under Whaikaha contracts (two at rest home level and three at hospital level). There were no residents receiving services under ACC contracts. There were seven boarders residing in the facility (not counted in resident numbers).</w:t>
            </w:r>
          </w:p>
          <w:p w14:paraId="303051DD" w14:textId="77777777" w:rsidR="00000000" w:rsidRPr="00BE00C7" w:rsidRDefault="00000000" w:rsidP="00BE00C7">
            <w:pPr>
              <w:pStyle w:val="OutcomeDescription"/>
              <w:spacing w:before="120" w:after="120"/>
              <w:rPr>
                <w:rFonts w:cs="Arial"/>
                <w:lang w:eastAsia="en-NZ"/>
              </w:rPr>
            </w:pPr>
          </w:p>
        </w:tc>
      </w:tr>
      <w:tr w:rsidR="009E023E" w14:paraId="77DC74AB" w14:textId="77777777">
        <w:tc>
          <w:tcPr>
            <w:tcW w:w="0" w:type="auto"/>
          </w:tcPr>
          <w:p w14:paraId="3F14C5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AE9B3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9A8304" w14:textId="77777777" w:rsidR="00000000" w:rsidRPr="00BE00C7" w:rsidRDefault="00000000" w:rsidP="00BE00C7">
            <w:pPr>
              <w:pStyle w:val="OutcomeDescription"/>
              <w:spacing w:before="120" w:after="120"/>
              <w:rPr>
                <w:rFonts w:cs="Arial"/>
                <w:lang w:eastAsia="en-NZ"/>
              </w:rPr>
            </w:pPr>
          </w:p>
        </w:tc>
        <w:tc>
          <w:tcPr>
            <w:tcW w:w="0" w:type="auto"/>
          </w:tcPr>
          <w:p w14:paraId="4CA0F2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93D9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Internal audits are completed, with corrective actions identified and addressed.</w:t>
            </w:r>
          </w:p>
          <w:p w14:paraId="2402F2E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practices and systems, using ethnicity data, identifies inequities, and the service works to address these. Delivering high-quality care to Māori residents is supported through relevant training, tikanga policies, and access to cultural support roles internally and externally. All residents and their whānau have input into quality review of the service through care planning, satisfaction surveys and meetings, including meetings aimed specifically at Māori and Pasifika and for tāngata whaikaha (younger people with disabilities).</w:t>
            </w:r>
          </w:p>
          <w:p w14:paraId="202C47C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5DCB67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operations manager (ROM) described the processes for </w:t>
            </w:r>
            <w:r w:rsidRPr="00BE00C7">
              <w:rPr>
                <w:rFonts w:cs="Arial"/>
                <w:lang w:eastAsia="en-NZ"/>
              </w:rPr>
              <w:lastRenderedPageBreak/>
              <w:t>the identification, documentation, monitoring, review and reporting of risks, including health and safety risks, and development of mitigation strategies (the facility manager was unavailable on the days of audit).</w:t>
            </w:r>
          </w:p>
          <w:p w14:paraId="5F5A05A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1B96C9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ROM and assistant facility manager (AFM) understood and have complied with essential notification reporting requirements. They were aware of reporting requirements to the Health Quality and Safety Commission – Te Tāhū Hauora (Te Tāhū Hauora) for all severity assessment code (SAC) reporting at SAC1 and SAC2, as well as pressure injury at stage 3 and above. There have been three Section 31 notifications made to HealthCert (Manatū Hauora) since the last audit in relation to challenging resident behaviours (two) and a Guardia infection (one). There has been one notification made to Te Tāhū Hauora for a pressure injury.</w:t>
            </w:r>
          </w:p>
          <w:p w14:paraId="02B86A8E" w14:textId="77777777" w:rsidR="00000000" w:rsidRPr="00BE00C7" w:rsidRDefault="00000000" w:rsidP="00BE00C7">
            <w:pPr>
              <w:pStyle w:val="OutcomeDescription"/>
              <w:spacing w:before="120" w:after="120"/>
              <w:rPr>
                <w:rFonts w:cs="Arial"/>
                <w:lang w:eastAsia="en-NZ"/>
              </w:rPr>
            </w:pPr>
          </w:p>
        </w:tc>
      </w:tr>
      <w:tr w:rsidR="009E023E" w14:paraId="407285A1" w14:textId="77777777">
        <w:tc>
          <w:tcPr>
            <w:tcW w:w="0" w:type="auto"/>
          </w:tcPr>
          <w:p w14:paraId="5F74AE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A6951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5726E5F" w14:textId="77777777" w:rsidR="00000000" w:rsidRPr="00BE00C7" w:rsidRDefault="00000000" w:rsidP="00BE00C7">
            <w:pPr>
              <w:pStyle w:val="OutcomeDescription"/>
              <w:spacing w:before="120" w:after="120"/>
              <w:rPr>
                <w:rFonts w:cs="Arial"/>
                <w:lang w:eastAsia="en-NZ"/>
              </w:rPr>
            </w:pPr>
          </w:p>
        </w:tc>
        <w:tc>
          <w:tcPr>
            <w:tcW w:w="0" w:type="auto"/>
          </w:tcPr>
          <w:p w14:paraId="220105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46B5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24/7 registered nurse (RN) coverage in the facility, with at least two RNs on duty at all times.</w:t>
            </w:r>
          </w:p>
          <w:p w14:paraId="5FB74B28"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control (IC) or restraint portfolio.</w:t>
            </w:r>
          </w:p>
          <w:p w14:paraId="15CB37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mandatory training requirements. Related competencies are </w:t>
            </w:r>
            <w:r w:rsidRPr="00BE00C7">
              <w:rPr>
                <w:rFonts w:cs="Arial"/>
                <w:lang w:eastAsia="en-NZ"/>
              </w:rPr>
              <w:lastRenderedPageBreak/>
              <w:t>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Records reviewed demonstrated completion of the required training and competency assessments.</w:t>
            </w:r>
          </w:p>
          <w:p w14:paraId="301D91B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working in the secure dementia care unit have either completed or commenced a New Zealand Qualification Authority (NZQA) education programme to meet the requirements of the provider’s agreement with Te Whatu Ora. Eight staff work regularly in the unit, and four of these have completed the required qualification; the remaining four and 13 other staff are enrolled in the programme.</w:t>
            </w:r>
          </w:p>
          <w:p w14:paraId="796B7C8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2B964F72" w14:textId="77777777" w:rsidR="00000000" w:rsidRPr="00BE00C7" w:rsidRDefault="00000000" w:rsidP="00BE00C7">
            <w:pPr>
              <w:pStyle w:val="OutcomeDescription"/>
              <w:spacing w:before="120" w:after="120"/>
              <w:rPr>
                <w:rFonts w:cs="Arial"/>
                <w:lang w:eastAsia="en-NZ"/>
              </w:rPr>
            </w:pPr>
          </w:p>
        </w:tc>
      </w:tr>
      <w:tr w:rsidR="009E023E" w14:paraId="67742800" w14:textId="77777777">
        <w:tc>
          <w:tcPr>
            <w:tcW w:w="0" w:type="auto"/>
          </w:tcPr>
          <w:p w14:paraId="047D5A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80CEC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2E0816B" w14:textId="77777777" w:rsidR="00000000" w:rsidRPr="00BE00C7" w:rsidRDefault="00000000" w:rsidP="00BE00C7">
            <w:pPr>
              <w:pStyle w:val="OutcomeDescription"/>
              <w:spacing w:before="120" w:after="120"/>
              <w:rPr>
                <w:rFonts w:cs="Arial"/>
                <w:lang w:eastAsia="en-NZ"/>
              </w:rPr>
            </w:pPr>
          </w:p>
        </w:tc>
        <w:tc>
          <w:tcPr>
            <w:tcW w:w="0" w:type="auto"/>
          </w:tcPr>
          <w:p w14:paraId="79D18D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3A10EB"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13 staff records reviewed confirmed the organisation’s policies are being consistently implemented. Professional qualifications for health care professionals had been validated during recruitment and then checked and documented annually. Police vetting and reference checking was in place. Job descriptions were documented for each role across the organisation. The job descriptions described the skills and knowledge required of each position, and identified the outcomes, accountability, responsibilities, authority, and functions to be achieved.</w:t>
            </w:r>
          </w:p>
          <w:p w14:paraId="09A80CA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for the role, and evidence of completed orientation was seen in files reviewed. Opportunities to discuss and review performance occurs annually. This was confirmed by documentation seen in the staff files reviewed and by staff interviewed who described the process as useful for them, allowing them to set their own career and education goals.</w:t>
            </w:r>
          </w:p>
          <w:p w14:paraId="0EFADB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staff wellbeing policies in place and staff were aware of these. Staff confirmed that debrief and support was available to them following any incidents.</w:t>
            </w:r>
          </w:p>
          <w:p w14:paraId="48BE06B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3D14F127" w14:textId="77777777" w:rsidR="00000000" w:rsidRPr="00BE00C7" w:rsidRDefault="00000000" w:rsidP="00BE00C7">
            <w:pPr>
              <w:pStyle w:val="OutcomeDescription"/>
              <w:spacing w:before="120" w:after="120"/>
              <w:rPr>
                <w:rFonts w:cs="Arial"/>
                <w:lang w:eastAsia="en-NZ"/>
              </w:rPr>
            </w:pPr>
          </w:p>
        </w:tc>
      </w:tr>
      <w:tr w:rsidR="009E023E" w14:paraId="147C7CFE" w14:textId="77777777">
        <w:tc>
          <w:tcPr>
            <w:tcW w:w="0" w:type="auto"/>
          </w:tcPr>
          <w:p w14:paraId="6E2F89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0AB83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CDD88A" w14:textId="77777777" w:rsidR="00000000" w:rsidRPr="00BE00C7" w:rsidRDefault="00000000" w:rsidP="00BE00C7">
            <w:pPr>
              <w:pStyle w:val="OutcomeDescription"/>
              <w:spacing w:before="120" w:after="120"/>
              <w:rPr>
                <w:rFonts w:cs="Arial"/>
                <w:lang w:eastAsia="en-NZ"/>
              </w:rPr>
            </w:pPr>
          </w:p>
        </w:tc>
        <w:tc>
          <w:tcPr>
            <w:tcW w:w="0" w:type="auto"/>
          </w:tcPr>
          <w:p w14:paraId="79F906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86595C"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maintained quality records that complied with relevant legislation, health information standards and professional guidelines. Resident and staff information was mostly held electronically, and this was username and password protected. Electronic and any paper-based records were held securely and only available to authorised users, and access to residents and staff was limited dependent on the role of the person in the service. Data collected included ethnicity data for residents and staff.</w:t>
            </w:r>
          </w:p>
          <w:p w14:paraId="7A1F00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reviewed were integrated.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126325CA"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for residents and staff were being held safely and securely for the required period before being destroyed. No personal or private resident information was on public display during the audit.</w:t>
            </w:r>
          </w:p>
          <w:p w14:paraId="00AD7075"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is not responsible for the National Health Index registration of people receiving services.</w:t>
            </w:r>
          </w:p>
          <w:p w14:paraId="18BFE337" w14:textId="77777777" w:rsidR="00000000" w:rsidRPr="00BE00C7" w:rsidRDefault="00000000" w:rsidP="00BE00C7">
            <w:pPr>
              <w:pStyle w:val="OutcomeDescription"/>
              <w:spacing w:before="120" w:after="120"/>
              <w:rPr>
                <w:rFonts w:cs="Arial"/>
                <w:lang w:eastAsia="en-NZ"/>
              </w:rPr>
            </w:pPr>
          </w:p>
        </w:tc>
      </w:tr>
      <w:tr w:rsidR="009E023E" w14:paraId="3BD9FC2B" w14:textId="77777777">
        <w:tc>
          <w:tcPr>
            <w:tcW w:w="0" w:type="auto"/>
          </w:tcPr>
          <w:p w14:paraId="06D3CA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60283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98C03A9" w14:textId="77777777" w:rsidR="00000000" w:rsidRPr="00BE00C7" w:rsidRDefault="00000000" w:rsidP="00BE00C7">
            <w:pPr>
              <w:pStyle w:val="OutcomeDescription"/>
              <w:spacing w:before="120" w:after="120"/>
              <w:rPr>
                <w:rFonts w:cs="Arial"/>
                <w:lang w:eastAsia="en-NZ"/>
              </w:rPr>
            </w:pPr>
          </w:p>
        </w:tc>
        <w:tc>
          <w:tcPr>
            <w:tcW w:w="0" w:type="auto"/>
          </w:tcPr>
          <w:p w14:paraId="7B7543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A954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welcomed into Cantabria when they had been assessed and confirmed by the local Needs Assessment and Service Coordination (NASC) agency as requiring the level of care Cantabria provides, and when they had chosen the facility to provide services they required. Residents and whānau interviewed stated they were satisfied with the admission process and the information that had been made available to them on admission, including for residents </w:t>
            </w:r>
            <w:r w:rsidRPr="00BE00C7">
              <w:rPr>
                <w:rFonts w:cs="Arial"/>
                <w:lang w:eastAsia="en-NZ"/>
              </w:rPr>
              <w:lastRenderedPageBreak/>
              <w:t>who identify as Māori. Resident files reviewed (15) met contractual requirements. Cantabria collected ethnicity data on entry and decline rates; this included specific data for entry and decline rates for Māori.</w:t>
            </w:r>
          </w:p>
          <w:p w14:paraId="6728142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to the person and their whānau.</w:t>
            </w:r>
          </w:p>
          <w:p w14:paraId="079A9695"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of residents admitted to the secure unit had an activated EPOA in place, and a specialist’s authorisation that the resident required admission into a secure unit.</w:t>
            </w:r>
          </w:p>
          <w:p w14:paraId="508F8741"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has developed meaningful partnerships with local Māori to benefit Māori individuals and their whānau. The facility can access support from Māori health practitioners, traditional healers, and other organisations by contacting Te Rūnanga O Ngāti Pikiao Trust or the local Te Whatu Ora. When admitted, residents have a choice over who will oversee their medical requirements. Whilst most choose the main medical provider to Cantabria, a number had requested another provider to manage their medical needs, and this had been facilitated.</w:t>
            </w:r>
          </w:p>
          <w:p w14:paraId="2D449A23" w14:textId="77777777" w:rsidR="00000000" w:rsidRPr="00BE00C7" w:rsidRDefault="00000000" w:rsidP="00BE00C7">
            <w:pPr>
              <w:pStyle w:val="OutcomeDescription"/>
              <w:spacing w:before="120" w:after="120"/>
              <w:rPr>
                <w:rFonts w:cs="Arial"/>
                <w:lang w:eastAsia="en-NZ"/>
              </w:rPr>
            </w:pPr>
          </w:p>
        </w:tc>
      </w:tr>
      <w:tr w:rsidR="009E023E" w14:paraId="1DFF835E" w14:textId="77777777">
        <w:tc>
          <w:tcPr>
            <w:tcW w:w="0" w:type="auto"/>
          </w:tcPr>
          <w:p w14:paraId="34ABD4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EF441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B7C3971" w14:textId="77777777" w:rsidR="00000000" w:rsidRPr="00BE00C7" w:rsidRDefault="00000000" w:rsidP="00BE00C7">
            <w:pPr>
              <w:pStyle w:val="OutcomeDescription"/>
              <w:spacing w:before="120" w:after="120"/>
              <w:rPr>
                <w:rFonts w:cs="Arial"/>
                <w:lang w:eastAsia="en-NZ"/>
              </w:rPr>
            </w:pPr>
          </w:p>
        </w:tc>
        <w:tc>
          <w:tcPr>
            <w:tcW w:w="0" w:type="auto"/>
          </w:tcPr>
          <w:p w14:paraId="27B487C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3C9D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Cantabria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addressed in most instances, with the exception of two pressure injuries (refer criterion 3.2.5).</w:t>
            </w:r>
          </w:p>
          <w:p w14:paraId="00E752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whānau input (as applicable). Timeframes for the initial assessment, medical/nurse practitioner assessment, initial care plan, long-term care plan and review timeframes meet contractual requirements. Staff understood and support Māori and whānau to identify their own pae ora outcomes in their care plan. Residents with swallowing difficulties had documentation in the care plan regarding management strategies for this. Observations and </w:t>
            </w:r>
            <w:r w:rsidRPr="00BE00C7">
              <w:rPr>
                <w:rFonts w:cs="Arial"/>
                <w:lang w:eastAsia="en-NZ"/>
              </w:rPr>
              <w:lastRenderedPageBreak/>
              <w:t>interviews evidenced compliance with these directions. Residents who had experienced an unwitnessed fall, had an RN assessment post-fall, neurological observations for the times specified, and the GP was informed. Residents on Warfarin had the potential risks associated with the medication and ongoing risks identified and monitored. This was verified by sampling residents’ records, and from interviews with clinical staff, people receiving services and whānau.</w:t>
            </w:r>
          </w:p>
          <w:p w14:paraId="45532BD2"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 An area requiring attention was identified regarding the ongoing evaluation of deteriorating pressure injuries and the timeliness of seeking specialist guidance.</w:t>
            </w:r>
          </w:p>
          <w:p w14:paraId="22C4DE8D"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through residents' meetings specifically for them. Examples of choices and control over service delivery were discussed with staff, tāngata whaikaha, and whānau. Tāngata whaikaha and whānau can independently access information.</w:t>
            </w:r>
          </w:p>
          <w:p w14:paraId="36BADB4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care all the residents require, including the cultural aspects of the Māori and Pasifika residents’ care. An interview with the GP, who is responsible for a high number of residents at Cantabria, expressed satisfaction with the care provided by Cantabria. Registered nurses contact the GP appropriately. The GP indicated that the stability of key people, in the senior roles, ensures that any concerns will be promptly addressed. Six other whānau interviewed were happy with the care provided. One whānau and five of the fifteen residents interviewed mentioned dissatisfaction with some areas of the food service. This had been identified through the resident satisfaction surveys and the resident meeting minutes and was being addressed.</w:t>
            </w:r>
          </w:p>
          <w:p w14:paraId="397A258E" w14:textId="77777777" w:rsidR="00000000" w:rsidRPr="00BE00C7" w:rsidRDefault="00000000" w:rsidP="00BE00C7">
            <w:pPr>
              <w:pStyle w:val="OutcomeDescription"/>
              <w:spacing w:before="120" w:after="120"/>
              <w:rPr>
                <w:rFonts w:cs="Arial"/>
                <w:lang w:eastAsia="en-NZ"/>
              </w:rPr>
            </w:pPr>
          </w:p>
        </w:tc>
      </w:tr>
      <w:tr w:rsidR="009E023E" w14:paraId="5D7BC5AD" w14:textId="77777777">
        <w:tc>
          <w:tcPr>
            <w:tcW w:w="0" w:type="auto"/>
          </w:tcPr>
          <w:p w14:paraId="6E5F6B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A2D9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B7C46F9" w14:textId="77777777" w:rsidR="00000000" w:rsidRPr="00BE00C7" w:rsidRDefault="00000000" w:rsidP="00BE00C7">
            <w:pPr>
              <w:pStyle w:val="OutcomeDescription"/>
              <w:spacing w:before="120" w:after="120"/>
              <w:rPr>
                <w:rFonts w:cs="Arial"/>
                <w:lang w:eastAsia="en-NZ"/>
              </w:rPr>
            </w:pPr>
          </w:p>
        </w:tc>
        <w:tc>
          <w:tcPr>
            <w:tcW w:w="0" w:type="auto"/>
          </w:tcPr>
          <w:p w14:paraId="79BB9B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4A07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Cantabria supports residents to maintain and develop their interests and was suitable for their ages and stages of life. There are four activities staff providing activities at Cantabria five days a week, and two providing activities over the weekend. The activities staff included a diversional therapist who implements and oversees the programme provided in the secure unit.</w:t>
            </w:r>
          </w:p>
          <w:p w14:paraId="0C1705EC" w14:textId="77777777" w:rsidR="00000000" w:rsidRPr="00BE00C7" w:rsidRDefault="00000000" w:rsidP="00BE00C7">
            <w:pPr>
              <w:pStyle w:val="OutcomeDescription"/>
              <w:spacing w:before="120" w:after="120"/>
              <w:rPr>
                <w:rFonts w:cs="Arial"/>
                <w:lang w:eastAsia="en-NZ"/>
              </w:rPr>
            </w:pPr>
            <w:r w:rsidRPr="00BE00C7">
              <w:rPr>
                <w:rFonts w:cs="Arial"/>
                <w:lang w:eastAsia="en-NZ"/>
              </w:rPr>
              <w:t>Younger residents at Cantabria are enabled to participate in community activities or events that they choose. More able-bodied residents attend community events themselves or go shopping at the local shopping centre. Van outings are held twice a week, to places the residents choose. Residents' meetings, meetings for younger residents and meetings for Māori and Pasifika residents are held regularly. Meeting minutes were sighted and evidenced overall satisfaction, with concerns noted regarding the food services. Residents and whānau from the secure dementia unit attend the rest home residents’ meetings.</w:t>
            </w:r>
          </w:p>
          <w:p w14:paraId="6A4AEDAC"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and ordinary patterns of life, and included normal community activities. Opportunities for Māori and whānau to participate in te ao Māori were facilitated. Community initiatives met the needs of Māori.</w:t>
            </w:r>
          </w:p>
          <w:p w14:paraId="578CCF80"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programmes is provided through one-to-one feedback, attendance at activities, residents’ meetings and satisfaction surveys. Those interviewed confirmed they find the programme meets their needs.</w:t>
            </w:r>
          </w:p>
          <w:p w14:paraId="5001508B" w14:textId="77777777" w:rsidR="00000000" w:rsidRPr="00BE00C7" w:rsidRDefault="00000000" w:rsidP="00BE00C7">
            <w:pPr>
              <w:pStyle w:val="OutcomeDescription"/>
              <w:spacing w:before="120" w:after="120"/>
              <w:rPr>
                <w:rFonts w:cs="Arial"/>
                <w:lang w:eastAsia="en-NZ"/>
              </w:rPr>
            </w:pPr>
          </w:p>
        </w:tc>
      </w:tr>
      <w:tr w:rsidR="009E023E" w14:paraId="30D19BA7" w14:textId="77777777">
        <w:tc>
          <w:tcPr>
            <w:tcW w:w="0" w:type="auto"/>
          </w:tcPr>
          <w:p w14:paraId="705B6E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EA10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0263D73B" w14:textId="77777777" w:rsidR="00000000" w:rsidRPr="00BE00C7" w:rsidRDefault="00000000" w:rsidP="00BE00C7">
            <w:pPr>
              <w:pStyle w:val="OutcomeDescription"/>
              <w:spacing w:before="120" w:after="120"/>
              <w:rPr>
                <w:rFonts w:cs="Arial"/>
                <w:lang w:eastAsia="en-NZ"/>
              </w:rPr>
            </w:pPr>
          </w:p>
        </w:tc>
        <w:tc>
          <w:tcPr>
            <w:tcW w:w="0" w:type="auto"/>
          </w:tcPr>
          <w:p w14:paraId="4B449F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9539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Cantabria was current and in line with the Medicines Care Guide for Residential Aged Care. A safe system for medicine management (using an electronic system) was observed on the day of audit. All staff who administer medicines were competent to perform the function they managed.</w:t>
            </w:r>
          </w:p>
          <w:p w14:paraId="51C0DE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w:t>
            </w:r>
            <w:r w:rsidRPr="00BE00C7">
              <w:rPr>
                <w:rFonts w:cs="Arial"/>
                <w:lang w:eastAsia="en-NZ"/>
              </w:rPr>
              <w:lastRenderedPageBreak/>
              <w:t>current use-by dates.</w:t>
            </w:r>
          </w:p>
          <w:p w14:paraId="6F3326C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are stored safely, including controlled drugs. The required stock checks had been completed. Medicines stored were within the recommended temperature range.</w:t>
            </w:r>
          </w:p>
          <w:p w14:paraId="18641769"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at Cantabria.</w:t>
            </w:r>
          </w:p>
          <w:p w14:paraId="52E2CCB8"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 Where there are difficulties accessing medications, this is identified, and support provided.</w:t>
            </w:r>
          </w:p>
          <w:p w14:paraId="61D483D0" w14:textId="77777777" w:rsidR="00000000" w:rsidRPr="00BE00C7" w:rsidRDefault="00000000" w:rsidP="00BE00C7">
            <w:pPr>
              <w:pStyle w:val="OutcomeDescription"/>
              <w:spacing w:before="120" w:after="120"/>
              <w:rPr>
                <w:rFonts w:cs="Arial"/>
                <w:lang w:eastAsia="en-NZ"/>
              </w:rPr>
            </w:pPr>
          </w:p>
        </w:tc>
      </w:tr>
      <w:tr w:rsidR="009E023E" w14:paraId="2AC681C4" w14:textId="77777777">
        <w:tc>
          <w:tcPr>
            <w:tcW w:w="0" w:type="auto"/>
          </w:tcPr>
          <w:p w14:paraId="744D2E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F941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85F9FA9" w14:textId="77777777" w:rsidR="00000000" w:rsidRPr="00BE00C7" w:rsidRDefault="00000000" w:rsidP="00BE00C7">
            <w:pPr>
              <w:pStyle w:val="OutcomeDescription"/>
              <w:spacing w:before="120" w:after="120"/>
              <w:rPr>
                <w:rFonts w:cs="Arial"/>
                <w:lang w:eastAsia="en-NZ"/>
              </w:rPr>
            </w:pPr>
          </w:p>
        </w:tc>
        <w:tc>
          <w:tcPr>
            <w:tcW w:w="0" w:type="auto"/>
          </w:tcPr>
          <w:p w14:paraId="777CE5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8F31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Cantabria is in line with recognised nutritional guidelines for people using the services. The menu had been reviewed by a qualified dietitian in November 2024. Recommendations made at that time have been implemented.</w:t>
            </w:r>
          </w:p>
          <w:p w14:paraId="495ECD0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had a verification audit of its food control plan on 8 December 2023, by the Rotorua Lakes District Council. Five corrective actions were identified, and these were verified as compliant within the timeframe requested. The food control plan was verified for 12 months and is due again on 8 December 2024.</w:t>
            </w:r>
          </w:p>
          <w:p w14:paraId="54ECC0DD"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The kitchen staff are aware of residents’ specific dietary needs and those residents requiring modified textures. Māori and their whānau have menu options that are culturally specific to te ao Māori.</w:t>
            </w:r>
          </w:p>
          <w:p w14:paraId="19AFBC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some resident dissatisfaction with meals was verified by residents and whānau interviews, satisfaction surveys and resident </w:t>
            </w:r>
            <w:r w:rsidRPr="00BE00C7">
              <w:rPr>
                <w:rFonts w:cs="Arial"/>
                <w:lang w:eastAsia="en-NZ"/>
              </w:rPr>
              <w:lastRenderedPageBreak/>
              <w:t>meeting minutes. Processes were already in place to address this.</w:t>
            </w:r>
          </w:p>
          <w:p w14:paraId="05CCEE93" w14:textId="77777777" w:rsidR="00000000" w:rsidRPr="00BE00C7" w:rsidRDefault="00000000" w:rsidP="00BE00C7">
            <w:pPr>
              <w:pStyle w:val="OutcomeDescription"/>
              <w:spacing w:before="120" w:after="120"/>
              <w:rPr>
                <w:rFonts w:cs="Arial"/>
                <w:lang w:eastAsia="en-NZ"/>
              </w:rPr>
            </w:pPr>
            <w:r w:rsidRPr="00BE00C7">
              <w:rPr>
                <w:rFonts w:cs="Arial"/>
                <w:lang w:eastAsia="en-NZ"/>
              </w:rPr>
              <w:t>A new initiative that commenced two months ago, provides residents with a buffet breakfast from 07.00am-09.30am each morning. Residents who choose to have a buffet breakfast have a choice of cereals, fruit, or porridge. Hot toast is cooked as requested and a hot drink is prepared as requested. A hot breakfast that includes eggs is offered once a week. Residents can choose to attend the buffet in the dining rooms or have their breakfast in their bedrooms. Feedback regarding this new service was positive.</w:t>
            </w:r>
          </w:p>
          <w:p w14:paraId="21E9405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given sufficient time to eat their meals in an unhurried fashion, and those requiring assistance had this provided with dignity.</w:t>
            </w:r>
          </w:p>
          <w:p w14:paraId="0C551E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unit have access to food at any time, day or night.</w:t>
            </w:r>
          </w:p>
          <w:p w14:paraId="388A4003" w14:textId="77777777" w:rsidR="00000000" w:rsidRPr="00BE00C7" w:rsidRDefault="00000000" w:rsidP="00BE00C7">
            <w:pPr>
              <w:pStyle w:val="OutcomeDescription"/>
              <w:spacing w:before="120" w:after="120"/>
              <w:rPr>
                <w:rFonts w:cs="Arial"/>
                <w:lang w:eastAsia="en-NZ"/>
              </w:rPr>
            </w:pPr>
          </w:p>
        </w:tc>
      </w:tr>
      <w:tr w:rsidR="009E023E" w14:paraId="069A6943" w14:textId="77777777">
        <w:tc>
          <w:tcPr>
            <w:tcW w:w="0" w:type="auto"/>
          </w:tcPr>
          <w:p w14:paraId="1C6D0B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E5B48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EE73E0A" w14:textId="77777777" w:rsidR="00000000" w:rsidRPr="00BE00C7" w:rsidRDefault="00000000" w:rsidP="00BE00C7">
            <w:pPr>
              <w:pStyle w:val="OutcomeDescription"/>
              <w:spacing w:before="120" w:after="120"/>
              <w:rPr>
                <w:rFonts w:cs="Arial"/>
                <w:lang w:eastAsia="en-NZ"/>
              </w:rPr>
            </w:pPr>
          </w:p>
        </w:tc>
        <w:tc>
          <w:tcPr>
            <w:tcW w:w="0" w:type="auto"/>
          </w:tcPr>
          <w:p w14:paraId="7843C5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EA4448"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to and from Cantabria is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w:t>
            </w:r>
          </w:p>
          <w:p w14:paraId="684A548C" w14:textId="77777777" w:rsidR="00000000" w:rsidRPr="00BE00C7" w:rsidRDefault="00000000" w:rsidP="00BE00C7">
            <w:pPr>
              <w:pStyle w:val="OutcomeDescription"/>
              <w:spacing w:before="120" w:after="120"/>
              <w:rPr>
                <w:rFonts w:cs="Arial"/>
                <w:lang w:eastAsia="en-NZ"/>
              </w:rPr>
            </w:pPr>
          </w:p>
        </w:tc>
      </w:tr>
      <w:tr w:rsidR="009E023E" w14:paraId="0D0CADA5" w14:textId="77777777">
        <w:tc>
          <w:tcPr>
            <w:tcW w:w="0" w:type="auto"/>
          </w:tcPr>
          <w:p w14:paraId="6CC4E0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7D6C2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4E70C0E" w14:textId="77777777" w:rsidR="00000000" w:rsidRPr="00BE00C7" w:rsidRDefault="00000000" w:rsidP="00BE00C7">
            <w:pPr>
              <w:pStyle w:val="OutcomeDescription"/>
              <w:spacing w:before="120" w:after="120"/>
              <w:rPr>
                <w:rFonts w:cs="Arial"/>
                <w:lang w:eastAsia="en-NZ"/>
              </w:rPr>
            </w:pPr>
          </w:p>
        </w:tc>
        <w:tc>
          <w:tcPr>
            <w:tcW w:w="0" w:type="auto"/>
          </w:tcPr>
          <w:p w14:paraId="0EC66A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E21C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There are external areas within the facility for leisure activities with appropriate seating and shade, including in the secure dementia care area. The garden associated with the secure dementia care area was safe and </w:t>
            </w:r>
            <w:r w:rsidRPr="00BE00C7">
              <w:rPr>
                <w:rFonts w:cs="Arial"/>
                <w:lang w:eastAsia="en-NZ"/>
              </w:rPr>
              <w:lastRenderedPageBreak/>
              <w:t>secure for residents in the service.</w:t>
            </w:r>
          </w:p>
          <w:p w14:paraId="3978A4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 the needs of the resident groups, including smaller private spaces for tāngata whaikaha and younger people. Lounge and dining facilities meet the needs of residents, and these are also used for activities. Wi-Fi was available for residents and whānau to use, and access to equipment needed by tāngata whaikaha enabled.</w:t>
            </w:r>
          </w:p>
          <w:p w14:paraId="6442A7D5"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for residents requiring hospital level care allowed space for the use of moving and handling equipment. Rooms were personalised according to the residents’ preferences. All rooms have a window allowing for natural light, with safety catches for security. The facility is heated from a thermal bore, and this can be adjusted depending on seasonality and outside temperature. Space is available for the storage and charging of electronic mobility aids.</w:t>
            </w:r>
          </w:p>
          <w:p w14:paraId="6C2D7C21"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have been made in the dementia care area of the facility. The addition of advanced lighting, new flooring, redecoration and curtaining, along with new furniture, has lifted the ambiance of the unit. The external garden area has been modified extensively to appropriately accommodate the residents in the unit. Residents were noted to be enjoying the outside area during the audit.</w:t>
            </w:r>
          </w:p>
          <w:p w14:paraId="27FFF1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is part of the internal audit schedule.</w:t>
            </w:r>
          </w:p>
          <w:p w14:paraId="20DEC5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which expires on 12 October 2025. A planned maintenance schedule includes electrical testing and tagging, resident equipment checks, and calibrations of clinical equipment. Monthly hot water tests are completed for resident areas; these were sighted and where deficits were found, corrective action had been documented.</w:t>
            </w:r>
          </w:p>
          <w:p w14:paraId="1D4CDC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currently no plans for further building projects requiring consultation, but the owners of the facility were aware of the requirement to consult and co-design with Māori if this was envisaged.</w:t>
            </w:r>
          </w:p>
          <w:p w14:paraId="28BFA1F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Feedback from tāngata whaikaha residents related to the use of the pool for people who have restricted physical movement; however, the pool is attached to the adjacent retirement village and is not in use for residents in the aged-care facility. Care staff interviewed stated they have adequate equipment to safely deliver care for residents.</w:t>
            </w:r>
          </w:p>
          <w:p w14:paraId="5AB5D72D" w14:textId="77777777" w:rsidR="00000000" w:rsidRPr="00BE00C7" w:rsidRDefault="00000000" w:rsidP="00BE00C7">
            <w:pPr>
              <w:pStyle w:val="OutcomeDescription"/>
              <w:spacing w:before="120" w:after="120"/>
              <w:rPr>
                <w:rFonts w:cs="Arial"/>
                <w:lang w:eastAsia="en-NZ"/>
              </w:rPr>
            </w:pPr>
          </w:p>
        </w:tc>
      </w:tr>
      <w:tr w:rsidR="009E023E" w14:paraId="2B394ADF" w14:textId="77777777">
        <w:tc>
          <w:tcPr>
            <w:tcW w:w="0" w:type="auto"/>
          </w:tcPr>
          <w:p w14:paraId="3A6E53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58D11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FEB0C88" w14:textId="77777777" w:rsidR="00000000" w:rsidRPr="00BE00C7" w:rsidRDefault="00000000" w:rsidP="00BE00C7">
            <w:pPr>
              <w:pStyle w:val="OutcomeDescription"/>
              <w:spacing w:before="120" w:after="120"/>
              <w:rPr>
                <w:rFonts w:cs="Arial"/>
                <w:lang w:eastAsia="en-NZ"/>
              </w:rPr>
            </w:pPr>
          </w:p>
        </w:tc>
        <w:tc>
          <w:tcPr>
            <w:tcW w:w="0" w:type="auto"/>
          </w:tcPr>
          <w:p w14:paraId="774CA7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C5C171"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been trained in fire and emergency management and knew what to do in an emergency. There was a first aid certified staff member on duty 24/7 on the rosters reviewed.</w:t>
            </w:r>
          </w:p>
          <w:p w14:paraId="079ADC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17 May 2018. The requirements of the fire and emergency scheme are reflected in the facility’s fire and emergency management plan. The plan considers the special needs of tāngata whaikaha and those residents in the secure dementia care unit. A fire evacuation drill is held six-monthly; the most recent drill was on 9 September 2024.</w:t>
            </w:r>
          </w:p>
          <w:p w14:paraId="5B07FDCB" w14:textId="77777777" w:rsidR="00000000" w:rsidRPr="00BE00C7" w:rsidRDefault="00000000" w:rsidP="00BE00C7">
            <w:pPr>
              <w:pStyle w:val="OutcomeDescription"/>
              <w:spacing w:before="120" w:after="120"/>
              <w:rPr>
                <w:rFonts w:cs="Arial"/>
                <w:lang w:eastAsia="en-NZ"/>
              </w:rPr>
            </w:pPr>
            <w:r w:rsidRPr="00BE00C7">
              <w:rPr>
                <w:rFonts w:cs="Arial"/>
                <w:lang w:eastAsia="en-NZ"/>
              </w:rPr>
              <w:t>Supplies for use in the event of a civil defence emergency meet the National Emergency Management Agency recommendations for the region, including water storage. The facility has a diesel generator onsite which can be used following a civil defence emergency. A thermal bore provides heating and hot water to the facility, and the generator could power the compressors so that hot water would still be readily available.</w:t>
            </w:r>
          </w:p>
          <w:p w14:paraId="5CA042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on emergency and security arrangements is provided to residents and their whānau on entry to the service. The facility has overnight ‘lock-up’ procedures which allow for emergency egress. All staff were noted to be wearing uniforms and name badges during the </w:t>
            </w:r>
            <w:r w:rsidRPr="00BE00C7">
              <w:rPr>
                <w:rFonts w:cs="Arial"/>
                <w:lang w:eastAsia="en-NZ"/>
              </w:rPr>
              <w:lastRenderedPageBreak/>
              <w:t>audit.</w:t>
            </w:r>
          </w:p>
          <w:p w14:paraId="0B2A5F82"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were responsive to call bells, and this was observed during the audit.</w:t>
            </w:r>
          </w:p>
          <w:p w14:paraId="739EB958" w14:textId="77777777" w:rsidR="00000000" w:rsidRPr="00BE00C7" w:rsidRDefault="00000000" w:rsidP="00BE00C7">
            <w:pPr>
              <w:pStyle w:val="OutcomeDescription"/>
              <w:spacing w:before="120" w:after="120"/>
              <w:rPr>
                <w:rFonts w:cs="Arial"/>
                <w:lang w:eastAsia="en-NZ"/>
              </w:rPr>
            </w:pPr>
          </w:p>
        </w:tc>
      </w:tr>
      <w:tr w:rsidR="009E023E" w14:paraId="38BD804B" w14:textId="77777777">
        <w:tc>
          <w:tcPr>
            <w:tcW w:w="0" w:type="auto"/>
          </w:tcPr>
          <w:p w14:paraId="4FFA28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ADF48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2F89E49" w14:textId="77777777" w:rsidR="00000000" w:rsidRPr="00BE00C7" w:rsidRDefault="00000000" w:rsidP="00BE00C7">
            <w:pPr>
              <w:pStyle w:val="OutcomeDescription"/>
              <w:spacing w:before="120" w:after="120"/>
              <w:rPr>
                <w:rFonts w:cs="Arial"/>
                <w:lang w:eastAsia="en-NZ"/>
              </w:rPr>
            </w:pPr>
          </w:p>
        </w:tc>
        <w:tc>
          <w:tcPr>
            <w:tcW w:w="0" w:type="auto"/>
          </w:tcPr>
          <w:p w14:paraId="46DD51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7D3294" w14:textId="77777777" w:rsidR="00000000" w:rsidRPr="00BE00C7" w:rsidRDefault="00000000" w:rsidP="00BE00C7">
            <w:pPr>
              <w:pStyle w:val="OutcomeDescription"/>
              <w:spacing w:before="120" w:after="120"/>
              <w:rPr>
                <w:rFonts w:cs="Arial"/>
                <w:lang w:eastAsia="en-NZ"/>
              </w:rPr>
            </w:pPr>
            <w:r w:rsidRPr="00BE00C7">
              <w:rPr>
                <w:rFonts w:cs="Arial"/>
                <w:lang w:eastAsia="en-NZ"/>
              </w:rPr>
              <w:t>Cantabria has a suite of infection prevention and control (IPC), and antimicrobial stewardship (AMS) policies outlined in its policy documents. The IPC and AMS programmes were appropriate to the size and complexity of the service. The governing management committee has approved them, they are linked to the quality improvement system, and are reported on monthly. Board meeting minutes reflected the reporting of IPC and AMS information; they provide information on planned IPC and AMS quality activities and any corrective actions arising from deficits identified.</w:t>
            </w:r>
          </w:p>
          <w:p w14:paraId="650A335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(IP) and AMS are being supported at governance level through two infection control nurses (ICNs), who are RNs, and who make sure that IP and AMS are being appropriately managed. Expertise and advice are available as required following a defined process, and this also includes escalation of significant events. Data on infections and antimicrobial use includes ethnicity data to support equity in IPC and AMS programmes, and this is reported at governance level.</w:t>
            </w:r>
          </w:p>
          <w:p w14:paraId="535FF601"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clinically indicated, clinical staff at Cantabria can access IP and AMS expertise through the GP, the Te Whatu Ora infection prevention and control (IPC) nurse specialists, and Regional Public Health.</w:t>
            </w:r>
          </w:p>
          <w:p w14:paraId="236D720F" w14:textId="77777777" w:rsidR="00000000" w:rsidRPr="00BE00C7" w:rsidRDefault="00000000" w:rsidP="00BE00C7">
            <w:pPr>
              <w:pStyle w:val="OutcomeDescription"/>
              <w:spacing w:before="120" w:after="120"/>
              <w:rPr>
                <w:rFonts w:cs="Arial"/>
                <w:lang w:eastAsia="en-NZ"/>
              </w:rPr>
            </w:pPr>
          </w:p>
        </w:tc>
      </w:tr>
      <w:tr w:rsidR="009E023E" w14:paraId="2E3DF65B" w14:textId="77777777">
        <w:tc>
          <w:tcPr>
            <w:tcW w:w="0" w:type="auto"/>
          </w:tcPr>
          <w:p w14:paraId="58EF84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7C3B8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navigate </w:t>
            </w:r>
            <w:r w:rsidRPr="00BE00C7">
              <w:rPr>
                <w:rFonts w:cs="Arial"/>
                <w:lang w:eastAsia="en-NZ"/>
              </w:rPr>
              <w:lastRenderedPageBreak/>
              <w:t>and messages are clear and relevant.</w:t>
            </w:r>
            <w:r w:rsidRPr="00BE00C7">
              <w:rPr>
                <w:rFonts w:cs="Arial"/>
                <w:lang w:eastAsia="en-NZ"/>
              </w:rPr>
              <w:br/>
              <w:t>As service providers: We develop and implement an infection prevention programme that is appropriate to the needs, size, and scope of our services.</w:t>
            </w:r>
          </w:p>
          <w:p w14:paraId="2A8413F0" w14:textId="77777777" w:rsidR="00000000" w:rsidRPr="00BE00C7" w:rsidRDefault="00000000" w:rsidP="00BE00C7">
            <w:pPr>
              <w:pStyle w:val="OutcomeDescription"/>
              <w:spacing w:before="120" w:after="120"/>
              <w:rPr>
                <w:rFonts w:cs="Arial"/>
                <w:lang w:eastAsia="en-NZ"/>
              </w:rPr>
            </w:pPr>
          </w:p>
        </w:tc>
        <w:tc>
          <w:tcPr>
            <w:tcW w:w="0" w:type="auto"/>
          </w:tcPr>
          <w:p w14:paraId="27FD9D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8A64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two ICNs at Cantabria are responsible for overseeing and implementing the IP programme, with reporting lines to AFM and the organisation’s regional infection control nurse. The ICNs have appropriate skills, knowledge and qualifications for the role and confirmed access to the necessary resources and support. Their advice and/or the advice of the committee has been sought when making decisions around procurement relevant to care delivery, </w:t>
            </w:r>
            <w:r w:rsidRPr="00BE00C7">
              <w:rPr>
                <w:rFonts w:cs="Arial"/>
                <w:lang w:eastAsia="en-NZ"/>
              </w:rPr>
              <w:lastRenderedPageBreak/>
              <w:t>design of any new building or facility changes, and policies.</w:t>
            </w:r>
          </w:p>
          <w:p w14:paraId="2334F4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policies reflected the requirements of the standard and are based on current accepted good practice. Cultural advice is accessed where appropriate.</w:t>
            </w:r>
          </w:p>
          <w:p w14:paraId="418CC38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were available in te reo Māori.</w:t>
            </w:r>
          </w:p>
          <w:p w14:paraId="5036DE0D"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are sufficient resources and personal protective equipment (PPE) available, and staff have been trained in their use.</w:t>
            </w:r>
          </w:p>
          <w:p w14:paraId="63F16CC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3FE779F1" w14:textId="77777777" w:rsidR="00000000" w:rsidRPr="00BE00C7" w:rsidRDefault="00000000" w:rsidP="00BE00C7">
            <w:pPr>
              <w:pStyle w:val="OutcomeDescription"/>
              <w:spacing w:before="120" w:after="120"/>
              <w:rPr>
                <w:rFonts w:cs="Arial"/>
                <w:lang w:eastAsia="en-NZ"/>
              </w:rPr>
            </w:pPr>
          </w:p>
        </w:tc>
      </w:tr>
      <w:tr w:rsidR="009E023E" w14:paraId="79689495" w14:textId="77777777">
        <w:tc>
          <w:tcPr>
            <w:tcW w:w="0" w:type="auto"/>
          </w:tcPr>
          <w:p w14:paraId="1A20D8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929FE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B22A485" w14:textId="77777777" w:rsidR="00000000" w:rsidRPr="00BE00C7" w:rsidRDefault="00000000" w:rsidP="00BE00C7">
            <w:pPr>
              <w:pStyle w:val="OutcomeDescription"/>
              <w:spacing w:before="120" w:after="120"/>
              <w:rPr>
                <w:rFonts w:cs="Arial"/>
                <w:lang w:eastAsia="en-NZ"/>
              </w:rPr>
            </w:pPr>
          </w:p>
        </w:tc>
        <w:tc>
          <w:tcPr>
            <w:tcW w:w="0" w:type="auto"/>
          </w:tcPr>
          <w:p w14:paraId="5B0E6C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64E002"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Evidence was sighted in the reduction of antifungals prescribed pro re nata (as required).</w:t>
            </w:r>
          </w:p>
          <w:p w14:paraId="5FF29C71" w14:textId="77777777" w:rsidR="00000000" w:rsidRPr="00BE00C7" w:rsidRDefault="00000000" w:rsidP="00BE00C7">
            <w:pPr>
              <w:pStyle w:val="OutcomeDescription"/>
              <w:spacing w:before="120" w:after="120"/>
              <w:rPr>
                <w:rFonts w:cs="Arial"/>
                <w:lang w:eastAsia="en-NZ"/>
              </w:rPr>
            </w:pPr>
          </w:p>
        </w:tc>
      </w:tr>
      <w:tr w:rsidR="009E023E" w14:paraId="6737FC52" w14:textId="77777777">
        <w:tc>
          <w:tcPr>
            <w:tcW w:w="0" w:type="auto"/>
          </w:tcPr>
          <w:p w14:paraId="3C1909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7999F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9109B2" w14:textId="77777777" w:rsidR="00000000" w:rsidRPr="00BE00C7" w:rsidRDefault="00000000" w:rsidP="00BE00C7">
            <w:pPr>
              <w:pStyle w:val="OutcomeDescription"/>
              <w:spacing w:before="120" w:after="120"/>
              <w:rPr>
                <w:rFonts w:cs="Arial"/>
                <w:lang w:eastAsia="en-NZ"/>
              </w:rPr>
            </w:pPr>
          </w:p>
        </w:tc>
        <w:tc>
          <w:tcPr>
            <w:tcW w:w="0" w:type="auto"/>
          </w:tcPr>
          <w:p w14:paraId="162DBF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247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IPC programme. Monthly surveillance data is collated and analysed to identify any trends, possible causative factors and required actions, data includes </w:t>
            </w:r>
            <w:r w:rsidRPr="00BE00C7">
              <w:rPr>
                <w:rFonts w:cs="Arial"/>
                <w:lang w:eastAsia="en-NZ"/>
              </w:rPr>
              <w:lastRenderedPageBreak/>
              <w:t>ethnicity data. Results of the surveillance programme were shared with staff, and the governing body.</w:t>
            </w:r>
          </w:p>
          <w:p w14:paraId="365E0B37"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is culturally safe.</w:t>
            </w:r>
          </w:p>
          <w:p w14:paraId="50E11D90" w14:textId="77777777" w:rsidR="00000000" w:rsidRPr="00BE00C7" w:rsidRDefault="00000000" w:rsidP="00BE00C7">
            <w:pPr>
              <w:pStyle w:val="OutcomeDescription"/>
              <w:spacing w:before="120" w:after="120"/>
              <w:rPr>
                <w:rFonts w:cs="Arial"/>
                <w:lang w:eastAsia="en-NZ"/>
              </w:rPr>
            </w:pPr>
          </w:p>
        </w:tc>
      </w:tr>
      <w:tr w:rsidR="009E023E" w14:paraId="7C9D4C6C" w14:textId="77777777">
        <w:tc>
          <w:tcPr>
            <w:tcW w:w="0" w:type="auto"/>
          </w:tcPr>
          <w:p w14:paraId="69D7BB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450EF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012255B" w14:textId="77777777" w:rsidR="00000000" w:rsidRPr="00BE00C7" w:rsidRDefault="00000000" w:rsidP="00BE00C7">
            <w:pPr>
              <w:pStyle w:val="OutcomeDescription"/>
              <w:spacing w:before="120" w:after="120"/>
              <w:rPr>
                <w:rFonts w:cs="Arial"/>
                <w:lang w:eastAsia="en-NZ"/>
              </w:rPr>
            </w:pPr>
          </w:p>
        </w:tc>
        <w:tc>
          <w:tcPr>
            <w:tcW w:w="0" w:type="auto"/>
          </w:tcPr>
          <w:p w14:paraId="532FD2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BE70A7"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60F4B3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for the built environment. Staff involved have completed relevant training and were observed to perform duties safely. Chemicals were stored and managed safely.</w:t>
            </w:r>
          </w:p>
          <w:p w14:paraId="269140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2D6E541B" w14:textId="77777777" w:rsidR="00000000" w:rsidRPr="00BE00C7" w:rsidRDefault="00000000" w:rsidP="00BE00C7">
            <w:pPr>
              <w:pStyle w:val="OutcomeDescription"/>
              <w:spacing w:before="120" w:after="120"/>
              <w:rPr>
                <w:rFonts w:cs="Arial"/>
                <w:lang w:eastAsia="en-NZ"/>
              </w:rPr>
            </w:pPr>
          </w:p>
        </w:tc>
      </w:tr>
      <w:tr w:rsidR="009E023E" w14:paraId="1890E907" w14:textId="77777777">
        <w:tc>
          <w:tcPr>
            <w:tcW w:w="0" w:type="auto"/>
          </w:tcPr>
          <w:p w14:paraId="3989C9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600BC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559CCC4" w14:textId="77777777" w:rsidR="00000000" w:rsidRPr="00BE00C7" w:rsidRDefault="00000000" w:rsidP="00BE00C7">
            <w:pPr>
              <w:pStyle w:val="OutcomeDescription"/>
              <w:spacing w:before="120" w:after="120"/>
              <w:rPr>
                <w:rFonts w:cs="Arial"/>
                <w:lang w:eastAsia="en-NZ"/>
              </w:rPr>
            </w:pPr>
          </w:p>
        </w:tc>
        <w:tc>
          <w:tcPr>
            <w:tcW w:w="0" w:type="auto"/>
          </w:tcPr>
          <w:p w14:paraId="31113F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BC7DE9"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this is documented in the policy and procedure in place to guide restraint. Cantabria has been restraint-free since at least 2021. There are strategies in place to eliminate restraint, including an investment in equipment to support the removal of restraint (e.g., use of high/low beds and sensor mats). Documentation confirmed that restraint is discussed at governance level and that aggregated information on restraint use at facility, regional and national level is reported to the board.</w:t>
            </w:r>
          </w:p>
          <w:p w14:paraId="43375100" w14:textId="77777777" w:rsidR="00000000" w:rsidRPr="00BE00C7" w:rsidRDefault="00000000" w:rsidP="00BE00C7">
            <w:pPr>
              <w:pStyle w:val="OutcomeDescription"/>
              <w:spacing w:before="120" w:after="120"/>
              <w:rPr>
                <w:rFonts w:cs="Arial"/>
                <w:lang w:eastAsia="en-NZ"/>
              </w:rPr>
            </w:pPr>
            <w:r w:rsidRPr="00BE00C7">
              <w:rPr>
                <w:rFonts w:cs="Arial"/>
                <w:lang w:eastAsia="en-NZ"/>
              </w:rPr>
              <w:t>If restraint was to be put into place for residents, there are processes in place to include the voices of Māori, whānau and people with lived experience in the decision-making and restraint oversight processes.</w:t>
            </w:r>
          </w:p>
          <w:p w14:paraId="3C2B42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protocols were covered in the orientation programme of the facility and included in the education/training programme (which </w:t>
            </w:r>
            <w:r w:rsidRPr="00BE00C7">
              <w:rPr>
                <w:rFonts w:cs="Arial"/>
                <w:lang w:eastAsia="en-NZ"/>
              </w:rPr>
              <w:lastRenderedPageBreak/>
              <w:t>includes annual restraint competency). Staff have been trained in the management of behaviours that challenge, least restrictive practice, safe restraint practice, alternative cultural-specific interventions, and de-escalation techniques as part of the 2024 education programme.</w:t>
            </w:r>
          </w:p>
          <w:p w14:paraId="62A2BF47" w14:textId="77777777" w:rsidR="00000000" w:rsidRPr="00BE00C7" w:rsidRDefault="00000000" w:rsidP="00BE00C7">
            <w:pPr>
              <w:pStyle w:val="OutcomeDescription"/>
              <w:spacing w:before="120" w:after="120"/>
              <w:rPr>
                <w:rFonts w:cs="Arial"/>
                <w:lang w:eastAsia="en-NZ"/>
              </w:rPr>
            </w:pPr>
          </w:p>
        </w:tc>
      </w:tr>
    </w:tbl>
    <w:p w14:paraId="0A486A0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18D9D4" w14:textId="77777777" w:rsidR="00000000" w:rsidRDefault="00000000">
      <w:pPr>
        <w:pStyle w:val="Heading1"/>
        <w:rPr>
          <w:rFonts w:cs="Arial"/>
        </w:rPr>
      </w:pPr>
      <w:r>
        <w:rPr>
          <w:rFonts w:cs="Arial"/>
        </w:rPr>
        <w:lastRenderedPageBreak/>
        <w:t>Specific results for criterion where corrective actions are required</w:t>
      </w:r>
    </w:p>
    <w:p w14:paraId="2F69457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49B1A4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D4C288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316"/>
        <w:gridCol w:w="4026"/>
        <w:gridCol w:w="3324"/>
        <w:gridCol w:w="2346"/>
      </w:tblGrid>
      <w:tr w:rsidR="009E023E" w14:paraId="375A71AF" w14:textId="77777777">
        <w:tc>
          <w:tcPr>
            <w:tcW w:w="0" w:type="auto"/>
          </w:tcPr>
          <w:p w14:paraId="6DBAA98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05FF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36F7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9BD933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8C48C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E023E" w14:paraId="351E4F51" w14:textId="77777777">
        <w:tc>
          <w:tcPr>
            <w:tcW w:w="0" w:type="auto"/>
          </w:tcPr>
          <w:p w14:paraId="23C81EE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4F56D6C4"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w:t>
            </w:r>
            <w:r w:rsidRPr="00BE00C7">
              <w:rPr>
                <w:rFonts w:cs="Arial"/>
                <w:lang w:eastAsia="en-NZ"/>
              </w:rPr>
              <w:lastRenderedPageBreak/>
              <w:t>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5179FC49" w14:textId="77777777" w:rsidR="00000000" w:rsidRPr="00BE00C7" w:rsidRDefault="00000000" w:rsidP="00BE00C7">
            <w:pPr>
              <w:pStyle w:val="OutcomeDescription"/>
              <w:spacing w:before="120" w:after="120"/>
              <w:rPr>
                <w:rFonts w:cs="Arial"/>
                <w:lang w:eastAsia="en-NZ"/>
              </w:rPr>
            </w:pPr>
          </w:p>
        </w:tc>
        <w:tc>
          <w:tcPr>
            <w:tcW w:w="0" w:type="auto"/>
          </w:tcPr>
          <w:p w14:paraId="4FD069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97097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initial care plan including clinical assessments was documented for all residents reviewed. Two residents were identified as at risk of developing pressure injuries and were placed on a pressure relieving mattress, and planning included a turning regime. A review of the pressure injuries identified that the management strategies being implemented were not achieving the desired result. Photographs verified the wounds were deteriorating, one going from Stage 2 to Stage 4. A Section 31 notification was made for this wound, after specialist input. The documented assessment by the RNs managing both wounds was not indicative of the ongoing deterioration. No action was taken to seek specialist advice until the GP reviewed both the wounds and requested specialist </w:t>
            </w:r>
            <w:r w:rsidRPr="00BE00C7">
              <w:rPr>
                <w:rFonts w:cs="Arial"/>
                <w:lang w:eastAsia="en-NZ"/>
              </w:rPr>
              <w:lastRenderedPageBreak/>
              <w:t>support (see T1). At the time of audit, one wound was being managed by specialist wound care services and the other one was awaiting their input.</w:t>
            </w:r>
          </w:p>
          <w:p w14:paraId="3F7E9502" w14:textId="77777777" w:rsidR="00000000" w:rsidRPr="00BE00C7" w:rsidRDefault="00000000" w:rsidP="00BE00C7">
            <w:pPr>
              <w:pStyle w:val="OutcomeDescription"/>
              <w:spacing w:before="120" w:after="120"/>
              <w:rPr>
                <w:rFonts w:cs="Arial"/>
                <w:lang w:eastAsia="en-NZ"/>
              </w:rPr>
            </w:pPr>
            <w:r w:rsidRPr="00BE00C7">
              <w:rPr>
                <w:rFonts w:cs="Arial"/>
                <w:lang w:eastAsia="en-NZ"/>
              </w:rPr>
              <w:t>Wound care training to the RNs by the district nurses wound care team had been provided in June 2024.</w:t>
            </w:r>
          </w:p>
          <w:p w14:paraId="76274F81"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a corrective action plan was put in place aimed at improving the RNs’ wound assessment and documentation skills; improving communication between the district nurses and the RNs and establishing a wound committee, and setting clear guidelines on when the RNs were to seek specialist input. This action plan supported the risk rating being low.</w:t>
            </w:r>
          </w:p>
          <w:p w14:paraId="5D2209A3" w14:textId="77777777" w:rsidR="00000000" w:rsidRPr="00BE00C7" w:rsidRDefault="00000000" w:rsidP="00BE00C7">
            <w:pPr>
              <w:pStyle w:val="OutcomeDescription"/>
              <w:spacing w:before="120" w:after="120"/>
              <w:rPr>
                <w:rFonts w:cs="Arial"/>
                <w:lang w:eastAsia="en-NZ"/>
              </w:rPr>
            </w:pPr>
          </w:p>
        </w:tc>
        <w:tc>
          <w:tcPr>
            <w:tcW w:w="0" w:type="auto"/>
          </w:tcPr>
          <w:p w14:paraId="7DD8A3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review of two residents with pressure injuries that were deteriorating showed these had not been referred to specialist services until the GP directed this to occur. This finding was verified by observation, documentation and discussion with the AFM and two RNs.</w:t>
            </w:r>
          </w:p>
          <w:p w14:paraId="7AF71EEC" w14:textId="77777777" w:rsidR="00000000" w:rsidRPr="00BE00C7" w:rsidRDefault="00000000" w:rsidP="00BE00C7">
            <w:pPr>
              <w:pStyle w:val="OutcomeDescription"/>
              <w:spacing w:before="120" w:after="120"/>
              <w:rPr>
                <w:rFonts w:cs="Arial"/>
                <w:lang w:eastAsia="en-NZ"/>
              </w:rPr>
            </w:pPr>
          </w:p>
        </w:tc>
        <w:tc>
          <w:tcPr>
            <w:tcW w:w="0" w:type="auto"/>
          </w:tcPr>
          <w:p w14:paraId="756A405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processes are in place to request prompt input from specialist wound care services when the treatment of pressure injury is not effective.</w:t>
            </w:r>
          </w:p>
          <w:p w14:paraId="08332625" w14:textId="77777777" w:rsidR="00000000" w:rsidRPr="00BE00C7" w:rsidRDefault="00000000" w:rsidP="00BE00C7">
            <w:pPr>
              <w:pStyle w:val="OutcomeDescription"/>
              <w:spacing w:before="120" w:after="120"/>
              <w:rPr>
                <w:rFonts w:cs="Arial"/>
                <w:lang w:eastAsia="en-NZ"/>
              </w:rPr>
            </w:pPr>
          </w:p>
          <w:p w14:paraId="2D4B198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6D5AE0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E81B642" w14:textId="77777777" w:rsidR="00000000" w:rsidRDefault="00000000">
      <w:pPr>
        <w:pStyle w:val="Heading1"/>
        <w:rPr>
          <w:rFonts w:cs="Arial"/>
        </w:rPr>
      </w:pPr>
      <w:r>
        <w:rPr>
          <w:rFonts w:cs="Arial"/>
        </w:rPr>
        <w:lastRenderedPageBreak/>
        <w:t>Specific results for criterion where a continuous improvement has been recorded</w:t>
      </w:r>
    </w:p>
    <w:p w14:paraId="4139BD8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2966D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25B552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E023E" w14:paraId="2CCDFA41" w14:textId="77777777">
        <w:tc>
          <w:tcPr>
            <w:tcW w:w="0" w:type="auto"/>
          </w:tcPr>
          <w:p w14:paraId="14DE3CC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5065B4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FE9114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3144" w14:textId="77777777" w:rsidR="00CE1C51" w:rsidRDefault="00CE1C51">
      <w:r>
        <w:separator/>
      </w:r>
    </w:p>
  </w:endnote>
  <w:endnote w:type="continuationSeparator" w:id="0">
    <w:p w14:paraId="6446E48A" w14:textId="77777777" w:rsidR="00CE1C51" w:rsidRDefault="00CE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B4FF" w14:textId="77777777" w:rsidR="00000000" w:rsidRDefault="00000000">
    <w:pPr>
      <w:pStyle w:val="Footer"/>
    </w:pPr>
  </w:p>
  <w:p w14:paraId="44087800" w14:textId="77777777" w:rsidR="00000000" w:rsidRDefault="00000000"/>
  <w:p w14:paraId="13F06EE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87F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Cantabria Lifecare</w:t>
    </w:r>
    <w:bookmarkEnd w:id="59"/>
    <w:r>
      <w:rPr>
        <w:rFonts w:cs="Arial"/>
        <w:sz w:val="16"/>
        <w:szCs w:val="20"/>
      </w:rPr>
      <w:tab/>
      <w:t xml:space="preserve">Date of Audit: </w:t>
    </w:r>
    <w:bookmarkStart w:id="60" w:name="AuditStartDate1"/>
    <w:r>
      <w:rPr>
        <w:rFonts w:cs="Arial"/>
        <w:sz w:val="16"/>
        <w:szCs w:val="20"/>
      </w:rPr>
      <w:t>13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6434E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64E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5F67" w14:textId="77777777" w:rsidR="00CE1C51" w:rsidRDefault="00CE1C51">
      <w:r>
        <w:separator/>
      </w:r>
    </w:p>
  </w:footnote>
  <w:footnote w:type="continuationSeparator" w:id="0">
    <w:p w14:paraId="6979CF7F" w14:textId="77777777" w:rsidR="00CE1C51" w:rsidRDefault="00CE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D70E" w14:textId="77777777" w:rsidR="00000000" w:rsidRDefault="00000000">
    <w:pPr>
      <w:pStyle w:val="Header"/>
    </w:pPr>
  </w:p>
  <w:p w14:paraId="1B93F0A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B4" w14:textId="77777777" w:rsidR="00000000" w:rsidRDefault="00000000">
    <w:pPr>
      <w:pStyle w:val="Header"/>
    </w:pPr>
  </w:p>
  <w:p w14:paraId="17BB29F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0BB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2A008CA">
      <w:start w:val="1"/>
      <w:numFmt w:val="decimal"/>
      <w:lvlText w:val="%1."/>
      <w:lvlJc w:val="left"/>
      <w:pPr>
        <w:ind w:left="360" w:hanging="360"/>
      </w:pPr>
    </w:lvl>
    <w:lvl w:ilvl="1" w:tplc="7D34AD00" w:tentative="1">
      <w:start w:val="1"/>
      <w:numFmt w:val="lowerLetter"/>
      <w:lvlText w:val="%2."/>
      <w:lvlJc w:val="left"/>
      <w:pPr>
        <w:ind w:left="1080" w:hanging="360"/>
      </w:pPr>
    </w:lvl>
    <w:lvl w:ilvl="2" w:tplc="78E0BF1A" w:tentative="1">
      <w:start w:val="1"/>
      <w:numFmt w:val="lowerRoman"/>
      <w:lvlText w:val="%3."/>
      <w:lvlJc w:val="right"/>
      <w:pPr>
        <w:ind w:left="1800" w:hanging="180"/>
      </w:pPr>
    </w:lvl>
    <w:lvl w:ilvl="3" w:tplc="DB747148" w:tentative="1">
      <w:start w:val="1"/>
      <w:numFmt w:val="decimal"/>
      <w:lvlText w:val="%4."/>
      <w:lvlJc w:val="left"/>
      <w:pPr>
        <w:ind w:left="2520" w:hanging="360"/>
      </w:pPr>
    </w:lvl>
    <w:lvl w:ilvl="4" w:tplc="6652C5A2" w:tentative="1">
      <w:start w:val="1"/>
      <w:numFmt w:val="lowerLetter"/>
      <w:lvlText w:val="%5."/>
      <w:lvlJc w:val="left"/>
      <w:pPr>
        <w:ind w:left="3240" w:hanging="360"/>
      </w:pPr>
    </w:lvl>
    <w:lvl w:ilvl="5" w:tplc="81F648D0" w:tentative="1">
      <w:start w:val="1"/>
      <w:numFmt w:val="lowerRoman"/>
      <w:lvlText w:val="%6."/>
      <w:lvlJc w:val="right"/>
      <w:pPr>
        <w:ind w:left="3960" w:hanging="180"/>
      </w:pPr>
    </w:lvl>
    <w:lvl w:ilvl="6" w:tplc="B5783B60" w:tentative="1">
      <w:start w:val="1"/>
      <w:numFmt w:val="decimal"/>
      <w:lvlText w:val="%7."/>
      <w:lvlJc w:val="left"/>
      <w:pPr>
        <w:ind w:left="4680" w:hanging="360"/>
      </w:pPr>
    </w:lvl>
    <w:lvl w:ilvl="7" w:tplc="20B06F62" w:tentative="1">
      <w:start w:val="1"/>
      <w:numFmt w:val="lowerLetter"/>
      <w:lvlText w:val="%8."/>
      <w:lvlJc w:val="left"/>
      <w:pPr>
        <w:ind w:left="5400" w:hanging="360"/>
      </w:pPr>
    </w:lvl>
    <w:lvl w:ilvl="8" w:tplc="7236FBE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18A3CEA">
      <w:start w:val="1"/>
      <w:numFmt w:val="bullet"/>
      <w:lvlText w:val=""/>
      <w:lvlJc w:val="left"/>
      <w:pPr>
        <w:ind w:left="720" w:hanging="360"/>
      </w:pPr>
      <w:rPr>
        <w:rFonts w:ascii="Symbol" w:hAnsi="Symbol" w:hint="default"/>
      </w:rPr>
    </w:lvl>
    <w:lvl w:ilvl="1" w:tplc="6E24FE3A" w:tentative="1">
      <w:start w:val="1"/>
      <w:numFmt w:val="bullet"/>
      <w:lvlText w:val="o"/>
      <w:lvlJc w:val="left"/>
      <w:pPr>
        <w:ind w:left="1440" w:hanging="360"/>
      </w:pPr>
      <w:rPr>
        <w:rFonts w:ascii="Courier New" w:hAnsi="Courier New" w:cs="Courier New" w:hint="default"/>
      </w:rPr>
    </w:lvl>
    <w:lvl w:ilvl="2" w:tplc="B2724F70" w:tentative="1">
      <w:start w:val="1"/>
      <w:numFmt w:val="bullet"/>
      <w:lvlText w:val=""/>
      <w:lvlJc w:val="left"/>
      <w:pPr>
        <w:ind w:left="2160" w:hanging="360"/>
      </w:pPr>
      <w:rPr>
        <w:rFonts w:ascii="Wingdings" w:hAnsi="Wingdings" w:hint="default"/>
      </w:rPr>
    </w:lvl>
    <w:lvl w:ilvl="3" w:tplc="D5301DBA" w:tentative="1">
      <w:start w:val="1"/>
      <w:numFmt w:val="bullet"/>
      <w:lvlText w:val=""/>
      <w:lvlJc w:val="left"/>
      <w:pPr>
        <w:ind w:left="2880" w:hanging="360"/>
      </w:pPr>
      <w:rPr>
        <w:rFonts w:ascii="Symbol" w:hAnsi="Symbol" w:hint="default"/>
      </w:rPr>
    </w:lvl>
    <w:lvl w:ilvl="4" w:tplc="B8808B88" w:tentative="1">
      <w:start w:val="1"/>
      <w:numFmt w:val="bullet"/>
      <w:lvlText w:val="o"/>
      <w:lvlJc w:val="left"/>
      <w:pPr>
        <w:ind w:left="3600" w:hanging="360"/>
      </w:pPr>
      <w:rPr>
        <w:rFonts w:ascii="Courier New" w:hAnsi="Courier New" w:cs="Courier New" w:hint="default"/>
      </w:rPr>
    </w:lvl>
    <w:lvl w:ilvl="5" w:tplc="425E8AF2" w:tentative="1">
      <w:start w:val="1"/>
      <w:numFmt w:val="bullet"/>
      <w:lvlText w:val=""/>
      <w:lvlJc w:val="left"/>
      <w:pPr>
        <w:ind w:left="4320" w:hanging="360"/>
      </w:pPr>
      <w:rPr>
        <w:rFonts w:ascii="Wingdings" w:hAnsi="Wingdings" w:hint="default"/>
      </w:rPr>
    </w:lvl>
    <w:lvl w:ilvl="6" w:tplc="E5429ABC" w:tentative="1">
      <w:start w:val="1"/>
      <w:numFmt w:val="bullet"/>
      <w:lvlText w:val=""/>
      <w:lvlJc w:val="left"/>
      <w:pPr>
        <w:ind w:left="5040" w:hanging="360"/>
      </w:pPr>
      <w:rPr>
        <w:rFonts w:ascii="Symbol" w:hAnsi="Symbol" w:hint="default"/>
      </w:rPr>
    </w:lvl>
    <w:lvl w:ilvl="7" w:tplc="A054455C" w:tentative="1">
      <w:start w:val="1"/>
      <w:numFmt w:val="bullet"/>
      <w:lvlText w:val="o"/>
      <w:lvlJc w:val="left"/>
      <w:pPr>
        <w:ind w:left="5760" w:hanging="360"/>
      </w:pPr>
      <w:rPr>
        <w:rFonts w:ascii="Courier New" w:hAnsi="Courier New" w:cs="Courier New" w:hint="default"/>
      </w:rPr>
    </w:lvl>
    <w:lvl w:ilvl="8" w:tplc="43C65FB4" w:tentative="1">
      <w:start w:val="1"/>
      <w:numFmt w:val="bullet"/>
      <w:lvlText w:val=""/>
      <w:lvlJc w:val="left"/>
      <w:pPr>
        <w:ind w:left="6480" w:hanging="360"/>
      </w:pPr>
      <w:rPr>
        <w:rFonts w:ascii="Wingdings" w:hAnsi="Wingdings" w:hint="default"/>
      </w:rPr>
    </w:lvl>
  </w:abstractNum>
  <w:num w:numId="1" w16cid:durableId="1566067352">
    <w:abstractNumId w:val="1"/>
  </w:num>
  <w:num w:numId="2" w16cid:durableId="16065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3E"/>
    <w:rsid w:val="009E023E"/>
    <w:rsid w:val="00C061C2"/>
    <w:rsid w:val="00CE1C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EBF6"/>
  <w15:docId w15:val="{8E34D41C-C47B-44E7-A422-1EE9E69A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11180</Words>
  <Characters>63729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2025-01-13T02:59:00Z</dcterms:created>
  <dcterms:modified xsi:type="dcterms:W3CDTF">2025-01-13T02:59:00Z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