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94E1B" w14:textId="77777777" w:rsidR="00000000" w:rsidRDefault="00000000">
      <w:pPr>
        <w:pStyle w:val="Heading1"/>
        <w:rPr>
          <w:rFonts w:cs="Arial"/>
        </w:rPr>
      </w:pPr>
      <w:bookmarkStart w:id="0" w:name="PRMS_RIName"/>
      <w:r>
        <w:rPr>
          <w:rFonts w:cs="Arial"/>
        </w:rPr>
        <w:t>The Hillview Trust Incorporated - Hillview Home and Hospital</w:t>
      </w:r>
      <w:bookmarkEnd w:id="0"/>
    </w:p>
    <w:p w14:paraId="08C635A8" w14:textId="77777777" w:rsidR="00000000" w:rsidRDefault="00000000">
      <w:pPr>
        <w:pStyle w:val="Heading2"/>
        <w:spacing w:after="0"/>
        <w:rPr>
          <w:rFonts w:cs="Arial"/>
        </w:rPr>
      </w:pPr>
      <w:r>
        <w:rPr>
          <w:rFonts w:cs="Arial"/>
        </w:rPr>
        <w:t>Introduction</w:t>
      </w:r>
    </w:p>
    <w:p w14:paraId="37052B5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C5BD8F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A9F059F"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1A77DB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18E2D2C" w14:textId="77777777" w:rsidR="00000000" w:rsidRDefault="00000000">
      <w:pPr>
        <w:spacing w:before="240" w:after="240"/>
        <w:rPr>
          <w:rFonts w:cs="Arial"/>
          <w:lang w:eastAsia="en-NZ"/>
        </w:rPr>
      </w:pPr>
      <w:r>
        <w:rPr>
          <w:rFonts w:cs="Arial"/>
          <w:lang w:eastAsia="en-NZ"/>
        </w:rPr>
        <w:t>The specifics of this audit included:</w:t>
      </w:r>
    </w:p>
    <w:p w14:paraId="6667AF1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B542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Hillview Trust Incorporated</w:t>
      </w:r>
      <w:bookmarkEnd w:id="4"/>
    </w:p>
    <w:p w14:paraId="6EB887F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Hillview Home and Hospital</w:t>
      </w:r>
      <w:bookmarkEnd w:id="5"/>
    </w:p>
    <w:p w14:paraId="38461EB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514839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November 2024</w:t>
      </w:r>
      <w:bookmarkEnd w:id="7"/>
      <w:r w:rsidRPr="009418D4">
        <w:rPr>
          <w:rFonts w:cs="Arial"/>
        </w:rPr>
        <w:tab/>
        <w:t xml:space="preserve">End date: </w:t>
      </w:r>
      <w:bookmarkStart w:id="8" w:name="AuditEndDate"/>
      <w:r>
        <w:rPr>
          <w:rFonts w:cs="Arial"/>
        </w:rPr>
        <w:t>20 November 2024</w:t>
      </w:r>
      <w:bookmarkEnd w:id="8"/>
    </w:p>
    <w:p w14:paraId="2F08BAB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CEF61A1" w14:textId="77777777" w:rsidR="00826D0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53</w:t>
      </w:r>
      <w:bookmarkEnd w:id="10"/>
    </w:p>
    <w:p w14:paraId="0681605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C58BC99" w14:textId="77777777" w:rsidR="00000000" w:rsidRDefault="00000000">
      <w:pPr>
        <w:pStyle w:val="Heading1"/>
        <w:rPr>
          <w:rFonts w:cs="Arial"/>
        </w:rPr>
      </w:pPr>
      <w:r>
        <w:rPr>
          <w:rFonts w:cs="Arial"/>
        </w:rPr>
        <w:lastRenderedPageBreak/>
        <w:t>Executive summary of the audit</w:t>
      </w:r>
    </w:p>
    <w:p w14:paraId="634803C2" w14:textId="77777777" w:rsidR="00000000" w:rsidRDefault="00000000">
      <w:pPr>
        <w:pStyle w:val="Heading2"/>
        <w:rPr>
          <w:rFonts w:cs="Arial"/>
        </w:rPr>
      </w:pPr>
      <w:r>
        <w:rPr>
          <w:rFonts w:cs="Arial"/>
        </w:rPr>
        <w:t>Introduction</w:t>
      </w:r>
    </w:p>
    <w:p w14:paraId="5CC522E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1DA158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6788254"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82CC9C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944A0B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8D58D4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398C01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60F2002"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D4BAFC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26D01" w14:paraId="6BB601E6" w14:textId="77777777">
        <w:trPr>
          <w:cantSplit/>
          <w:tblHeader/>
        </w:trPr>
        <w:tc>
          <w:tcPr>
            <w:tcW w:w="1260" w:type="dxa"/>
            <w:tcBorders>
              <w:bottom w:val="single" w:sz="4" w:space="0" w:color="000000"/>
            </w:tcBorders>
            <w:vAlign w:val="center"/>
          </w:tcPr>
          <w:p w14:paraId="4BA3A1A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F7DC2F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6AD26CA" w14:textId="77777777" w:rsidR="00000000" w:rsidRDefault="00000000">
            <w:pPr>
              <w:spacing w:before="60" w:after="60"/>
              <w:rPr>
                <w:rFonts w:eastAsia="Calibri"/>
                <w:b/>
                <w:szCs w:val="24"/>
              </w:rPr>
            </w:pPr>
            <w:r>
              <w:rPr>
                <w:rFonts w:eastAsia="Calibri"/>
                <w:b/>
                <w:szCs w:val="24"/>
              </w:rPr>
              <w:t>Definition</w:t>
            </w:r>
          </w:p>
        </w:tc>
      </w:tr>
      <w:tr w:rsidR="00826D01" w14:paraId="74E7D52B" w14:textId="77777777">
        <w:trPr>
          <w:cantSplit/>
          <w:trHeight w:val="964"/>
        </w:trPr>
        <w:tc>
          <w:tcPr>
            <w:tcW w:w="1260" w:type="dxa"/>
            <w:tcBorders>
              <w:bottom w:val="single" w:sz="4" w:space="0" w:color="000000"/>
            </w:tcBorders>
            <w:shd w:val="clear" w:color="0066FF" w:fill="0000FF"/>
            <w:vAlign w:val="center"/>
          </w:tcPr>
          <w:p w14:paraId="4073D1C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642ED6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09A277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26D01" w14:paraId="15BD1A6C" w14:textId="77777777">
        <w:trPr>
          <w:cantSplit/>
          <w:trHeight w:val="964"/>
        </w:trPr>
        <w:tc>
          <w:tcPr>
            <w:tcW w:w="1260" w:type="dxa"/>
            <w:shd w:val="clear" w:color="33CC33" w:fill="00FF00"/>
            <w:vAlign w:val="center"/>
          </w:tcPr>
          <w:p w14:paraId="7CE9B885" w14:textId="77777777" w:rsidR="00000000" w:rsidRDefault="00000000">
            <w:pPr>
              <w:spacing w:before="60" w:after="60"/>
              <w:rPr>
                <w:rFonts w:eastAsia="Calibri"/>
                <w:szCs w:val="24"/>
              </w:rPr>
            </w:pPr>
          </w:p>
        </w:tc>
        <w:tc>
          <w:tcPr>
            <w:tcW w:w="7095" w:type="dxa"/>
            <w:shd w:val="clear" w:color="auto" w:fill="auto"/>
            <w:vAlign w:val="center"/>
          </w:tcPr>
          <w:p w14:paraId="2D58C7B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1F2ABFF"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26D01" w14:paraId="5395C09C" w14:textId="77777777">
        <w:trPr>
          <w:cantSplit/>
          <w:trHeight w:val="964"/>
        </w:trPr>
        <w:tc>
          <w:tcPr>
            <w:tcW w:w="1260" w:type="dxa"/>
            <w:tcBorders>
              <w:bottom w:val="single" w:sz="4" w:space="0" w:color="000000"/>
            </w:tcBorders>
            <w:shd w:val="clear" w:color="auto" w:fill="FFFF00"/>
            <w:vAlign w:val="center"/>
          </w:tcPr>
          <w:p w14:paraId="12AB7156" w14:textId="77777777" w:rsidR="00000000" w:rsidRDefault="00000000">
            <w:pPr>
              <w:spacing w:before="60" w:after="60"/>
              <w:rPr>
                <w:rFonts w:eastAsia="Calibri"/>
                <w:szCs w:val="24"/>
              </w:rPr>
            </w:pPr>
          </w:p>
        </w:tc>
        <w:tc>
          <w:tcPr>
            <w:tcW w:w="7095" w:type="dxa"/>
            <w:shd w:val="clear" w:color="auto" w:fill="auto"/>
            <w:vAlign w:val="center"/>
          </w:tcPr>
          <w:p w14:paraId="5627AA6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AC0700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26D01" w14:paraId="438652F6" w14:textId="77777777">
        <w:trPr>
          <w:cantSplit/>
          <w:trHeight w:val="964"/>
        </w:trPr>
        <w:tc>
          <w:tcPr>
            <w:tcW w:w="1260" w:type="dxa"/>
            <w:tcBorders>
              <w:bottom w:val="single" w:sz="4" w:space="0" w:color="000000"/>
            </w:tcBorders>
            <w:shd w:val="clear" w:color="auto" w:fill="FFC800"/>
            <w:vAlign w:val="center"/>
          </w:tcPr>
          <w:p w14:paraId="330B103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A7ADFC2"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E6E90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26D01" w14:paraId="31670ADA" w14:textId="77777777">
        <w:trPr>
          <w:cantSplit/>
          <w:trHeight w:val="964"/>
        </w:trPr>
        <w:tc>
          <w:tcPr>
            <w:tcW w:w="1260" w:type="dxa"/>
            <w:shd w:val="clear" w:color="auto" w:fill="FF0000"/>
            <w:vAlign w:val="center"/>
          </w:tcPr>
          <w:p w14:paraId="132981A9" w14:textId="77777777" w:rsidR="00000000" w:rsidRDefault="00000000">
            <w:pPr>
              <w:spacing w:before="60" w:after="60"/>
              <w:rPr>
                <w:rFonts w:eastAsia="Calibri"/>
                <w:szCs w:val="24"/>
              </w:rPr>
            </w:pPr>
          </w:p>
        </w:tc>
        <w:tc>
          <w:tcPr>
            <w:tcW w:w="7095" w:type="dxa"/>
            <w:shd w:val="clear" w:color="auto" w:fill="auto"/>
            <w:vAlign w:val="center"/>
          </w:tcPr>
          <w:p w14:paraId="3A5FDF2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B009BD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9182A2E" w14:textId="77777777" w:rsidR="00000000" w:rsidRDefault="00000000">
      <w:pPr>
        <w:pStyle w:val="Heading2"/>
        <w:spacing w:after="0"/>
        <w:rPr>
          <w:rFonts w:cs="Arial"/>
        </w:rPr>
      </w:pPr>
      <w:r>
        <w:rPr>
          <w:rFonts w:cs="Arial"/>
        </w:rPr>
        <w:t>General overview of the audit</w:t>
      </w:r>
    </w:p>
    <w:p w14:paraId="0F171083" w14:textId="77777777" w:rsidR="00000000" w:rsidRDefault="00000000">
      <w:pPr>
        <w:spacing w:before="240" w:line="276" w:lineRule="auto"/>
        <w:rPr>
          <w:rFonts w:eastAsia="Calibri"/>
        </w:rPr>
      </w:pPr>
      <w:bookmarkStart w:id="13" w:name="GeneralOverview"/>
      <w:r w:rsidRPr="00A4268A">
        <w:rPr>
          <w:rFonts w:eastAsia="Calibri"/>
        </w:rPr>
        <w:t>Hillview Home and Hospital (Hillview) provides rest home and hospital aged residential care for up to 54 residents. The only significant change since the previous certification audit in May 2023 is the appointment of a new general manager in November 2023.</w:t>
      </w:r>
    </w:p>
    <w:p w14:paraId="02E1375A" w14:textId="77777777" w:rsidR="00826D01" w:rsidRPr="00A4268A" w:rsidRDefault="00000000">
      <w:pPr>
        <w:spacing w:before="240" w:line="276" w:lineRule="auto"/>
        <w:rPr>
          <w:rFonts w:eastAsia="Calibri"/>
        </w:rPr>
      </w:pPr>
      <w:r w:rsidRPr="00A4268A">
        <w:rPr>
          <w:rFonts w:eastAsia="Calibri"/>
        </w:rPr>
        <w:t xml:space="preserve">This surveillance audit process included review of policies and procedures, review of residents’ and staff files, observations and interviews with residents whānau/family members, the board chairperson, managers, staff, and a general practitioner. </w:t>
      </w:r>
    </w:p>
    <w:p w14:paraId="15152F4C" w14:textId="77777777" w:rsidR="00826D01" w:rsidRPr="00A4268A" w:rsidRDefault="00000000">
      <w:pPr>
        <w:spacing w:before="240" w:line="276" w:lineRule="auto"/>
        <w:rPr>
          <w:rFonts w:eastAsia="Calibri"/>
        </w:rPr>
      </w:pPr>
      <w:r w:rsidRPr="00A4268A">
        <w:rPr>
          <w:rFonts w:eastAsia="Calibri"/>
        </w:rPr>
        <w:t>Three areas requiring improvement were identified as a result of this audit. These include documentation of administered medicines, resident care plans not reflecting all assessed needs, and an annual review of infection control had not occurred. The corrective action required from the previous audit has been addressed. There are sufficient registered nurses (RNs) employed to have a RN on site 24 hours a day, seven days a week.</w:t>
      </w:r>
    </w:p>
    <w:bookmarkEnd w:id="13"/>
    <w:p w14:paraId="68C4218B" w14:textId="77777777" w:rsidR="00826D01" w:rsidRPr="00A4268A" w:rsidRDefault="00826D01">
      <w:pPr>
        <w:spacing w:before="240" w:line="276" w:lineRule="auto"/>
        <w:rPr>
          <w:rFonts w:eastAsia="Calibri"/>
        </w:rPr>
      </w:pPr>
    </w:p>
    <w:p w14:paraId="4747C569"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31FFAF24" w14:textId="77777777" w:rsidTr="00A4268A">
        <w:trPr>
          <w:cantSplit/>
        </w:trPr>
        <w:tc>
          <w:tcPr>
            <w:tcW w:w="10206" w:type="dxa"/>
            <w:vAlign w:val="center"/>
          </w:tcPr>
          <w:p w14:paraId="276D26E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17A835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40DCAD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02B8E5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8EEB944" w14:textId="77777777" w:rsidR="00000000" w:rsidRDefault="00000000">
      <w:pPr>
        <w:spacing w:before="240" w:line="276" w:lineRule="auto"/>
        <w:rPr>
          <w:rFonts w:eastAsia="Calibri"/>
        </w:rPr>
      </w:pPr>
      <w:bookmarkStart w:id="16" w:name="ConsumerRights"/>
      <w:r w:rsidRPr="00A4268A">
        <w:rPr>
          <w:rFonts w:eastAsia="Calibri"/>
        </w:rPr>
        <w:t xml:space="preserve">Hillview works collaboratively to support and encourage a Māori world view of health in service delivery. Māori are provided with equitable and effective services based on Te Tiriti o Waitangi and the principles of mana motuhake. </w:t>
      </w:r>
    </w:p>
    <w:p w14:paraId="39464098" w14:textId="77777777" w:rsidR="00826D01" w:rsidRPr="00A4268A" w:rsidRDefault="00000000">
      <w:pPr>
        <w:spacing w:before="240" w:line="276" w:lineRule="auto"/>
        <w:rPr>
          <w:rFonts w:eastAsia="Calibri"/>
        </w:rPr>
      </w:pPr>
      <w:r w:rsidRPr="00A4268A">
        <w:rPr>
          <w:rFonts w:eastAsia="Calibri"/>
        </w:rPr>
        <w:t xml:space="preserve">There were systems in place to ensure Pacific peoples are provided with services that recognise their worldviews and are culturally safe. </w:t>
      </w:r>
    </w:p>
    <w:p w14:paraId="5728C75B" w14:textId="77777777" w:rsidR="00826D01"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were upheld. Service providers maintain professional boundaries and there was no evidence of abuse, neglect, discrimination, or other exploitation. The property of residents was respected. </w:t>
      </w:r>
    </w:p>
    <w:p w14:paraId="5274DA7B" w14:textId="77777777" w:rsidR="00826D01"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67EE7427" w14:textId="77777777" w:rsidR="00826D01"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41EAE358" w14:textId="77777777" w:rsidR="00826D01" w:rsidRPr="00A4268A" w:rsidRDefault="00826D01">
      <w:pPr>
        <w:spacing w:before="240" w:line="276" w:lineRule="auto"/>
        <w:rPr>
          <w:rFonts w:eastAsia="Calibri"/>
        </w:rPr>
      </w:pPr>
    </w:p>
    <w:p w14:paraId="6B20856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15AA7C19" w14:textId="77777777" w:rsidTr="00A4268A">
        <w:trPr>
          <w:cantSplit/>
        </w:trPr>
        <w:tc>
          <w:tcPr>
            <w:tcW w:w="10206" w:type="dxa"/>
            <w:vAlign w:val="center"/>
          </w:tcPr>
          <w:p w14:paraId="59A9AE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DAABDCE"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A4073E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8677A36" w14:textId="77777777" w:rsidR="00000000" w:rsidRDefault="00000000">
      <w:pPr>
        <w:spacing w:before="240" w:line="276" w:lineRule="auto"/>
        <w:rPr>
          <w:rFonts w:eastAsia="Calibri"/>
        </w:rPr>
      </w:pPr>
      <w:bookmarkStart w:id="19" w:name="OrganisationalManagement"/>
      <w:r w:rsidRPr="00A4268A">
        <w:rPr>
          <w:rFonts w:eastAsia="Calibri"/>
        </w:rPr>
        <w:lastRenderedPageBreak/>
        <w:t>The governing body assumes accountability for delivering a high-quality service. This includes ensuring compliance with legislative and contractual requirements, supporting quality and risk management systems, and reducing barriers to improve outcomes for Māori.</w:t>
      </w:r>
    </w:p>
    <w:p w14:paraId="44C84D1F" w14:textId="77777777" w:rsidR="00826D01"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343807E" w14:textId="77777777" w:rsidR="00826D01" w:rsidRPr="00A4268A" w:rsidRDefault="00000000">
      <w:pPr>
        <w:spacing w:before="240" w:line="276" w:lineRule="auto"/>
        <w:rPr>
          <w:rFonts w:eastAsia="Calibri"/>
        </w:rPr>
      </w:pPr>
      <w:r w:rsidRPr="00A4268A">
        <w:rPr>
          <w:rFonts w:eastAsia="Calibri"/>
        </w:rPr>
        <w:t xml:space="preserve">A clinical governance structure meets the needs of the service, supporting and monitoring good practice. </w:t>
      </w:r>
    </w:p>
    <w:p w14:paraId="5FA540A2" w14:textId="77777777" w:rsidR="00826D01"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collection and analysis of quality improvement data, identifies trends and leads to improvements. Actual and potential risks were identified and mitigated. </w:t>
      </w:r>
    </w:p>
    <w:p w14:paraId="61AD5F0A" w14:textId="77777777" w:rsidR="00826D01"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5323FAD1" w14:textId="77777777" w:rsidR="00826D01"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have the skills, attitudes, qualifications and experience to meet the needs of residents.  A systematic approach to identify and deliver ongoing learning and competencies supports safe equitable service delivery. </w:t>
      </w:r>
    </w:p>
    <w:p w14:paraId="265A0B41" w14:textId="77777777" w:rsidR="00826D01" w:rsidRPr="00A4268A" w:rsidRDefault="00000000">
      <w:pPr>
        <w:spacing w:before="240" w:line="276" w:lineRule="auto"/>
        <w:rPr>
          <w:rFonts w:eastAsia="Calibri"/>
        </w:rPr>
      </w:pPr>
      <w:r w:rsidRPr="00A4268A">
        <w:rPr>
          <w:rFonts w:eastAsia="Calibri"/>
        </w:rPr>
        <w:t>Professional qualifications are validated prior to employment. Staff felt well supported through the orientation and induction programme, with regular performance reviews implemented.</w:t>
      </w:r>
    </w:p>
    <w:bookmarkEnd w:id="19"/>
    <w:p w14:paraId="676E8298" w14:textId="77777777" w:rsidR="00826D01" w:rsidRPr="00A4268A" w:rsidRDefault="00826D01">
      <w:pPr>
        <w:spacing w:before="240" w:line="276" w:lineRule="auto"/>
        <w:rPr>
          <w:rFonts w:eastAsia="Calibri"/>
        </w:rPr>
      </w:pPr>
    </w:p>
    <w:p w14:paraId="1594F416"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1A372C31" w14:textId="77777777" w:rsidTr="00A4268A">
        <w:trPr>
          <w:cantSplit/>
        </w:trPr>
        <w:tc>
          <w:tcPr>
            <w:tcW w:w="10206" w:type="dxa"/>
            <w:vAlign w:val="center"/>
          </w:tcPr>
          <w:p w14:paraId="0E64B4E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87DC62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26DE9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1A710A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service works in partnership with the residents and their whānau to assess, plan and evaluate care. Files reviewed demonstrated that care was evaluated on a regular and timely basis. </w:t>
      </w:r>
    </w:p>
    <w:p w14:paraId="1136504D" w14:textId="77777777" w:rsidR="00826D01" w:rsidRPr="00A4268A" w:rsidRDefault="00000000" w:rsidP="00621629">
      <w:pPr>
        <w:spacing w:before="240" w:line="276" w:lineRule="auto"/>
        <w:rPr>
          <w:rFonts w:eastAsia="Calibri"/>
        </w:rPr>
      </w:pPr>
      <w:r w:rsidRPr="00A4268A">
        <w:rPr>
          <w:rFonts w:eastAsia="Calibri"/>
        </w:rPr>
        <w:t xml:space="preserve">Medicines were administered by staff who were competent to do so. </w:t>
      </w:r>
    </w:p>
    <w:p w14:paraId="6BB362F3" w14:textId="77777777" w:rsidR="00826D01"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5BE80155" w14:textId="77777777" w:rsidR="00826D01"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E87F9DC" w14:textId="77777777" w:rsidR="00826D01" w:rsidRPr="00A4268A" w:rsidRDefault="00826D01" w:rsidP="00621629">
      <w:pPr>
        <w:spacing w:before="240" w:line="276" w:lineRule="auto"/>
        <w:rPr>
          <w:rFonts w:eastAsia="Calibri"/>
        </w:rPr>
      </w:pPr>
    </w:p>
    <w:p w14:paraId="718960E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064B8E92" w14:textId="77777777" w:rsidTr="00A4268A">
        <w:trPr>
          <w:cantSplit/>
        </w:trPr>
        <w:tc>
          <w:tcPr>
            <w:tcW w:w="10206" w:type="dxa"/>
            <w:vAlign w:val="center"/>
          </w:tcPr>
          <w:p w14:paraId="3E57AB6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4566EE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E92C0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BA93216"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 safety. Electrical equipment was being tested as required.</w:t>
      </w:r>
    </w:p>
    <w:bookmarkEnd w:id="25"/>
    <w:p w14:paraId="44F32E90" w14:textId="77777777" w:rsidR="00826D01" w:rsidRPr="00A4268A" w:rsidRDefault="00826D01">
      <w:pPr>
        <w:spacing w:before="240" w:line="276" w:lineRule="auto"/>
        <w:rPr>
          <w:rFonts w:eastAsia="Calibri"/>
        </w:rPr>
      </w:pPr>
    </w:p>
    <w:p w14:paraId="404E2979"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27A73EBD" w14:textId="77777777" w:rsidTr="00A4268A">
        <w:trPr>
          <w:cantSplit/>
        </w:trPr>
        <w:tc>
          <w:tcPr>
            <w:tcW w:w="10206" w:type="dxa"/>
            <w:vAlign w:val="center"/>
          </w:tcPr>
          <w:p w14:paraId="1199D4A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558018B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E41A6C2"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561E9F77" w14:textId="77777777" w:rsidR="00000000" w:rsidRDefault="00000000">
      <w:pPr>
        <w:spacing w:before="240" w:line="276" w:lineRule="auto"/>
        <w:rPr>
          <w:rFonts w:eastAsia="Calibri"/>
        </w:rPr>
      </w:pPr>
      <w:bookmarkStart w:id="28" w:name="RestraintMinimisationAndSafePractice"/>
      <w:r w:rsidRPr="00A4268A">
        <w:rPr>
          <w:rFonts w:eastAsia="Calibri"/>
        </w:rPr>
        <w:t>A documented infection prevention (IP) programme has been developed by those with IP expertise, has been approved by the governing body, and is linked with the quality improvement programme.</w:t>
      </w:r>
    </w:p>
    <w:p w14:paraId="6FD88B05" w14:textId="77777777" w:rsidR="00826D01"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615A2325" w14:textId="77777777" w:rsidR="00826D01"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5A0324AC" w14:textId="77777777" w:rsidR="00826D01" w:rsidRPr="00A4268A" w:rsidRDefault="00826D01">
      <w:pPr>
        <w:spacing w:before="240" w:line="276" w:lineRule="auto"/>
        <w:rPr>
          <w:rFonts w:eastAsia="Calibri"/>
        </w:rPr>
      </w:pPr>
    </w:p>
    <w:p w14:paraId="45A2B95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26D01" w14:paraId="28AF492F" w14:textId="77777777" w:rsidTr="00A4268A">
        <w:trPr>
          <w:cantSplit/>
        </w:trPr>
        <w:tc>
          <w:tcPr>
            <w:tcW w:w="10206" w:type="dxa"/>
            <w:vAlign w:val="center"/>
          </w:tcPr>
          <w:p w14:paraId="0EAD3D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7101FB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09D96C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7975C93"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maintaining a restraint-free environment, which is supported by the governing body and policies and procedures. There have been no residents using restraints since 2022. The organisation has established systems and forms for restraint </w:t>
      </w:r>
      <w:r w:rsidRPr="00A4268A">
        <w:rPr>
          <w:rFonts w:eastAsia="Calibri"/>
        </w:rPr>
        <w:lastRenderedPageBreak/>
        <w:t>assessment, approval, monitoring, and reviews in the event that any restraint is used. Staff have been trained in providing the least restrictive practice, de-escalation techniques, alternative interventions, and demonstrated effective practice.</w:t>
      </w:r>
    </w:p>
    <w:bookmarkEnd w:id="31"/>
    <w:p w14:paraId="34C75EB3" w14:textId="77777777" w:rsidR="00826D01" w:rsidRPr="00A4268A" w:rsidRDefault="00826D01">
      <w:pPr>
        <w:spacing w:before="240" w:line="276" w:lineRule="auto"/>
        <w:rPr>
          <w:rFonts w:eastAsia="Calibri"/>
        </w:rPr>
      </w:pPr>
    </w:p>
    <w:p w14:paraId="5F88D710" w14:textId="77777777" w:rsidR="00000000" w:rsidRDefault="00000000" w:rsidP="000E6E02">
      <w:pPr>
        <w:pStyle w:val="Heading2"/>
        <w:spacing w:before="0"/>
        <w:rPr>
          <w:rFonts w:cs="Arial"/>
        </w:rPr>
      </w:pPr>
      <w:r>
        <w:rPr>
          <w:rFonts w:cs="Arial"/>
        </w:rPr>
        <w:t>Summary of attainment</w:t>
      </w:r>
    </w:p>
    <w:p w14:paraId="1FAF591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26D01" w14:paraId="517B329C" w14:textId="77777777">
        <w:tc>
          <w:tcPr>
            <w:tcW w:w="1384" w:type="dxa"/>
            <w:vAlign w:val="center"/>
          </w:tcPr>
          <w:p w14:paraId="24F92D0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42554B" w14:textId="77777777" w:rsidR="00000000" w:rsidRDefault="00000000">
            <w:pPr>
              <w:keepNext/>
              <w:spacing w:before="60" w:after="60"/>
              <w:jc w:val="center"/>
              <w:rPr>
                <w:rFonts w:cs="Arial"/>
                <w:b/>
                <w:sz w:val="20"/>
                <w:szCs w:val="20"/>
              </w:rPr>
            </w:pPr>
            <w:r>
              <w:rPr>
                <w:rFonts w:cs="Arial"/>
                <w:b/>
                <w:sz w:val="20"/>
                <w:szCs w:val="20"/>
              </w:rPr>
              <w:t>Continuous Improvement</w:t>
            </w:r>
          </w:p>
          <w:p w14:paraId="39CEE49B"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124D74A" w14:textId="77777777" w:rsidR="00000000" w:rsidRDefault="00000000">
            <w:pPr>
              <w:keepNext/>
              <w:spacing w:before="60" w:after="60"/>
              <w:jc w:val="center"/>
              <w:rPr>
                <w:rFonts w:cs="Arial"/>
                <w:b/>
                <w:sz w:val="20"/>
                <w:szCs w:val="20"/>
              </w:rPr>
            </w:pPr>
            <w:r>
              <w:rPr>
                <w:rFonts w:cs="Arial"/>
                <w:b/>
                <w:sz w:val="20"/>
                <w:szCs w:val="20"/>
              </w:rPr>
              <w:t>Fully Attained</w:t>
            </w:r>
          </w:p>
          <w:p w14:paraId="0D64089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1A9CF4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A82F6B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D3FD5B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4F5FA6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B9370F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260CA9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6497C3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C2F370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A5DDFD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E619AC5" w14:textId="77777777" w:rsidR="00000000" w:rsidRDefault="00000000">
            <w:pPr>
              <w:keepNext/>
              <w:spacing w:before="60" w:after="60"/>
              <w:jc w:val="center"/>
              <w:rPr>
                <w:rFonts w:cs="Arial"/>
                <w:b/>
                <w:sz w:val="20"/>
                <w:szCs w:val="20"/>
              </w:rPr>
            </w:pPr>
            <w:r>
              <w:rPr>
                <w:rFonts w:cs="Arial"/>
                <w:b/>
                <w:sz w:val="20"/>
                <w:szCs w:val="20"/>
              </w:rPr>
              <w:t>(PA Critical)</w:t>
            </w:r>
          </w:p>
        </w:tc>
      </w:tr>
      <w:tr w:rsidR="00826D01" w14:paraId="56ACBC1C" w14:textId="77777777">
        <w:tc>
          <w:tcPr>
            <w:tcW w:w="1384" w:type="dxa"/>
            <w:vAlign w:val="center"/>
          </w:tcPr>
          <w:p w14:paraId="7E51699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44D3E7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2624F7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408E97B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5E1BA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6A585C1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5AD0D60F"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8B0EE2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26D01" w14:paraId="4E3C8178" w14:textId="77777777">
        <w:tc>
          <w:tcPr>
            <w:tcW w:w="1384" w:type="dxa"/>
            <w:vAlign w:val="center"/>
          </w:tcPr>
          <w:p w14:paraId="3BB960A1"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1BCCDE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336FA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47</w:t>
            </w:r>
            <w:bookmarkEnd w:id="40"/>
          </w:p>
        </w:tc>
        <w:tc>
          <w:tcPr>
            <w:tcW w:w="1843" w:type="dxa"/>
            <w:vAlign w:val="center"/>
          </w:tcPr>
          <w:p w14:paraId="774F52F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92F1D9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5F8EB22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0056220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364D49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23FADE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26D01" w14:paraId="049AD2FB" w14:textId="77777777">
        <w:tc>
          <w:tcPr>
            <w:tcW w:w="1384" w:type="dxa"/>
            <w:vAlign w:val="center"/>
          </w:tcPr>
          <w:p w14:paraId="60001BD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F37D5A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C0D39E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272DD55" w14:textId="77777777" w:rsidR="00000000" w:rsidRDefault="00000000">
            <w:pPr>
              <w:keepNext/>
              <w:spacing w:before="60" w:after="60"/>
              <w:jc w:val="center"/>
              <w:rPr>
                <w:rFonts w:cs="Arial"/>
                <w:b/>
                <w:sz w:val="20"/>
                <w:szCs w:val="20"/>
              </w:rPr>
            </w:pPr>
            <w:r>
              <w:rPr>
                <w:rFonts w:cs="Arial"/>
                <w:b/>
                <w:sz w:val="20"/>
                <w:szCs w:val="20"/>
              </w:rPr>
              <w:t>Unattained Low Risk</w:t>
            </w:r>
          </w:p>
          <w:p w14:paraId="4BA1E93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D7D7718" w14:textId="77777777" w:rsidR="00000000" w:rsidRDefault="00000000">
            <w:pPr>
              <w:keepNext/>
              <w:spacing w:before="60" w:after="60"/>
              <w:jc w:val="center"/>
              <w:rPr>
                <w:rFonts w:cs="Arial"/>
                <w:b/>
                <w:sz w:val="20"/>
                <w:szCs w:val="20"/>
              </w:rPr>
            </w:pPr>
            <w:r>
              <w:rPr>
                <w:rFonts w:cs="Arial"/>
                <w:b/>
                <w:sz w:val="20"/>
                <w:szCs w:val="20"/>
              </w:rPr>
              <w:t>Unattained Moderate Risk</w:t>
            </w:r>
          </w:p>
          <w:p w14:paraId="714E947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EA223F1" w14:textId="77777777" w:rsidR="00000000" w:rsidRDefault="00000000">
            <w:pPr>
              <w:keepNext/>
              <w:spacing w:before="60" w:after="60"/>
              <w:jc w:val="center"/>
              <w:rPr>
                <w:rFonts w:cs="Arial"/>
                <w:b/>
                <w:sz w:val="20"/>
                <w:szCs w:val="20"/>
              </w:rPr>
            </w:pPr>
            <w:r>
              <w:rPr>
                <w:rFonts w:cs="Arial"/>
                <w:b/>
                <w:sz w:val="20"/>
                <w:szCs w:val="20"/>
              </w:rPr>
              <w:t>Unattained High Risk</w:t>
            </w:r>
          </w:p>
          <w:p w14:paraId="5D49D3D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4514369" w14:textId="77777777" w:rsidR="00000000" w:rsidRDefault="00000000">
            <w:pPr>
              <w:keepNext/>
              <w:spacing w:before="60" w:after="60"/>
              <w:jc w:val="center"/>
              <w:rPr>
                <w:rFonts w:cs="Arial"/>
                <w:b/>
                <w:sz w:val="20"/>
                <w:szCs w:val="20"/>
              </w:rPr>
            </w:pPr>
            <w:r>
              <w:rPr>
                <w:rFonts w:cs="Arial"/>
                <w:b/>
                <w:sz w:val="20"/>
                <w:szCs w:val="20"/>
              </w:rPr>
              <w:t>Unattained Critical Risk</w:t>
            </w:r>
          </w:p>
          <w:p w14:paraId="6C93FE97" w14:textId="77777777" w:rsidR="00000000" w:rsidRDefault="00000000">
            <w:pPr>
              <w:keepNext/>
              <w:spacing w:before="60" w:after="60"/>
              <w:jc w:val="center"/>
              <w:rPr>
                <w:rFonts w:cs="Arial"/>
                <w:b/>
                <w:sz w:val="20"/>
                <w:szCs w:val="20"/>
              </w:rPr>
            </w:pPr>
            <w:r>
              <w:rPr>
                <w:rFonts w:cs="Arial"/>
                <w:b/>
                <w:sz w:val="20"/>
                <w:szCs w:val="20"/>
              </w:rPr>
              <w:t>(UA Critical)</w:t>
            </w:r>
          </w:p>
        </w:tc>
      </w:tr>
      <w:tr w:rsidR="00826D01" w14:paraId="5D1E7B8C" w14:textId="77777777">
        <w:tc>
          <w:tcPr>
            <w:tcW w:w="1384" w:type="dxa"/>
            <w:vAlign w:val="center"/>
          </w:tcPr>
          <w:p w14:paraId="429C9ED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870FD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76EA7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A0CD44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937AE5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827E238"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26D01" w14:paraId="64AB9555" w14:textId="77777777">
        <w:tc>
          <w:tcPr>
            <w:tcW w:w="1384" w:type="dxa"/>
            <w:vAlign w:val="center"/>
          </w:tcPr>
          <w:p w14:paraId="757697B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1A6B92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41A8C4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9852C1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4F9E24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696DF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58CD57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E60C2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26DDAE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B74F2B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1"/>
        <w:gridCol w:w="1374"/>
        <w:gridCol w:w="6753"/>
      </w:tblGrid>
      <w:tr w:rsidR="00826D01" w14:paraId="167C31F9" w14:textId="77777777">
        <w:tc>
          <w:tcPr>
            <w:tcW w:w="0" w:type="auto"/>
          </w:tcPr>
          <w:p w14:paraId="408F516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32EC3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9C768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26D01" w14:paraId="769D9932" w14:textId="77777777">
        <w:tc>
          <w:tcPr>
            <w:tcW w:w="0" w:type="auto"/>
          </w:tcPr>
          <w:p w14:paraId="3595ECE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3AD624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D9F54BE" w14:textId="77777777" w:rsidR="00000000" w:rsidRPr="00BE00C7" w:rsidRDefault="00000000" w:rsidP="00BE00C7">
            <w:pPr>
              <w:pStyle w:val="OutcomeDescription"/>
              <w:spacing w:before="120" w:after="120"/>
              <w:rPr>
                <w:rFonts w:cs="Arial"/>
                <w:lang w:eastAsia="en-NZ"/>
              </w:rPr>
            </w:pPr>
          </w:p>
        </w:tc>
        <w:tc>
          <w:tcPr>
            <w:tcW w:w="0" w:type="auto"/>
          </w:tcPr>
          <w:p w14:paraId="2482E3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6DD774" w14:textId="77777777" w:rsidR="00000000" w:rsidRPr="00BE00C7" w:rsidRDefault="00000000" w:rsidP="00BE00C7">
            <w:pPr>
              <w:pStyle w:val="OutcomeDescription"/>
              <w:spacing w:before="120" w:after="120"/>
              <w:rPr>
                <w:rFonts w:cs="Arial"/>
                <w:lang w:eastAsia="en-NZ"/>
              </w:rPr>
            </w:pPr>
            <w:r w:rsidRPr="00BE00C7">
              <w:rPr>
                <w:rFonts w:cs="Arial"/>
                <w:lang w:eastAsia="en-NZ"/>
              </w:rPr>
              <w:t>Hillview has developed policies, procedures and processes to embed and enact Te Tiriti o Waitangi in all aspects of its work. Mana motuhake is respected. Partnerships have been established with a local kaumatua/katiaki, who supports service integration, planning, equity approaches, and individual support to Māori residents during fortnightly visits. Residents who identified as Māori said they felt culturally safe. A Māori team lead health care assistant has been designated to provide extra support to palliative residents and their whānau, to ensure kawa is adhered to. This quality improvement is still being assessed and evaluated. Feedback from whānau has been positive, with one family presenting the facility a Kaitātaki korowai (feather cloak) with symbolic designed feathers representing their experience of the ‘wairua’ and ‘outstanding ’ care provided by staff.</w:t>
            </w:r>
          </w:p>
          <w:p w14:paraId="2CEF625F" w14:textId="77777777" w:rsidR="00000000" w:rsidRPr="00BE00C7" w:rsidRDefault="00000000" w:rsidP="00BE00C7">
            <w:pPr>
              <w:pStyle w:val="OutcomeDescription"/>
              <w:spacing w:before="120" w:after="120"/>
              <w:rPr>
                <w:rFonts w:cs="Arial"/>
                <w:lang w:eastAsia="en-NZ"/>
              </w:rPr>
            </w:pPr>
          </w:p>
        </w:tc>
      </w:tr>
      <w:tr w:rsidR="00826D01" w14:paraId="720F3E37" w14:textId="77777777">
        <w:tc>
          <w:tcPr>
            <w:tcW w:w="0" w:type="auto"/>
          </w:tcPr>
          <w:p w14:paraId="170B06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CFEA5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1C0E92" w14:textId="77777777" w:rsidR="00000000" w:rsidRPr="00BE00C7" w:rsidRDefault="00000000" w:rsidP="00BE00C7">
            <w:pPr>
              <w:pStyle w:val="OutcomeDescription"/>
              <w:spacing w:before="120" w:after="120"/>
              <w:rPr>
                <w:rFonts w:cs="Arial"/>
                <w:lang w:eastAsia="en-NZ"/>
              </w:rPr>
            </w:pPr>
          </w:p>
        </w:tc>
        <w:tc>
          <w:tcPr>
            <w:tcW w:w="0" w:type="auto"/>
          </w:tcPr>
          <w:p w14:paraId="7F67F3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E3DE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Hillview provides services that are underpinned by Pacific worldviews. The organisation has knowledge of local Pacific communities and organisations who are available to advise and provide information. The Pacific plan, which was developed with input from Pacific communities, supports culturally safe practices for Pacific peoples using the service. Although there were no Pasifika residents, the processes and resources </w:t>
            </w:r>
            <w:r w:rsidRPr="00BE00C7">
              <w:rPr>
                <w:rFonts w:cs="Arial"/>
                <w:lang w:eastAsia="en-NZ"/>
              </w:rPr>
              <w:lastRenderedPageBreak/>
              <w:t>in place provide sufficient guidance for staff to ensure a resident’s cultural and spiritual needs and beliefs are considered.</w:t>
            </w:r>
          </w:p>
          <w:p w14:paraId="2DDC28A0" w14:textId="77777777" w:rsidR="00000000" w:rsidRPr="00BE00C7" w:rsidRDefault="00000000" w:rsidP="00BE00C7">
            <w:pPr>
              <w:pStyle w:val="OutcomeDescription"/>
              <w:spacing w:before="120" w:after="120"/>
              <w:rPr>
                <w:rFonts w:cs="Arial"/>
                <w:lang w:eastAsia="en-NZ"/>
              </w:rPr>
            </w:pPr>
          </w:p>
        </w:tc>
      </w:tr>
      <w:tr w:rsidR="00826D01" w14:paraId="342F652F" w14:textId="77777777">
        <w:tc>
          <w:tcPr>
            <w:tcW w:w="0" w:type="auto"/>
          </w:tcPr>
          <w:p w14:paraId="4DD2B7B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7DFE6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927ECC" w14:textId="77777777" w:rsidR="00000000" w:rsidRPr="00BE00C7" w:rsidRDefault="00000000" w:rsidP="00BE00C7">
            <w:pPr>
              <w:pStyle w:val="OutcomeDescription"/>
              <w:spacing w:before="120" w:after="120"/>
              <w:rPr>
                <w:rFonts w:cs="Arial"/>
                <w:lang w:eastAsia="en-NZ"/>
              </w:rPr>
            </w:pPr>
          </w:p>
        </w:tc>
        <w:tc>
          <w:tcPr>
            <w:tcW w:w="0" w:type="auto"/>
          </w:tcPr>
          <w:p w14:paraId="361730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B60B0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Training records sighted verified staff had received training on the Code.</w:t>
            </w:r>
          </w:p>
          <w:p w14:paraId="0CD18D6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 The Code was displayed in posters around the facility and brochures were available at the front entrance.</w:t>
            </w:r>
          </w:p>
          <w:p w14:paraId="5E2B0A1A" w14:textId="77777777" w:rsidR="00000000" w:rsidRPr="00BE00C7" w:rsidRDefault="00000000" w:rsidP="00BE00C7">
            <w:pPr>
              <w:pStyle w:val="OutcomeDescription"/>
              <w:spacing w:before="120" w:after="120"/>
              <w:rPr>
                <w:rFonts w:cs="Arial"/>
                <w:lang w:eastAsia="en-NZ"/>
              </w:rPr>
            </w:pPr>
          </w:p>
        </w:tc>
      </w:tr>
      <w:tr w:rsidR="00826D01" w14:paraId="562C38D2" w14:textId="77777777">
        <w:tc>
          <w:tcPr>
            <w:tcW w:w="0" w:type="auto"/>
          </w:tcPr>
          <w:p w14:paraId="194978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29F56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5C67492" w14:textId="77777777" w:rsidR="00000000" w:rsidRPr="00BE00C7" w:rsidRDefault="00000000" w:rsidP="00BE00C7">
            <w:pPr>
              <w:pStyle w:val="OutcomeDescription"/>
              <w:spacing w:before="120" w:after="120"/>
              <w:rPr>
                <w:rFonts w:cs="Arial"/>
                <w:lang w:eastAsia="en-NZ"/>
              </w:rPr>
            </w:pPr>
          </w:p>
        </w:tc>
        <w:tc>
          <w:tcPr>
            <w:tcW w:w="0" w:type="auto"/>
          </w:tcPr>
          <w:p w14:paraId="4972D9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0E38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of such identified during the audit through staff and/or resident or whānau interviews, or in documentation reviewed. </w:t>
            </w:r>
          </w:p>
          <w:p w14:paraId="7AA2E0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w:t>
            </w:r>
          </w:p>
          <w:p w14:paraId="5587CF65" w14:textId="77777777" w:rsidR="00000000" w:rsidRPr="00BE00C7" w:rsidRDefault="00000000" w:rsidP="00BE00C7">
            <w:pPr>
              <w:pStyle w:val="OutcomeDescription"/>
              <w:spacing w:before="120" w:after="120"/>
              <w:rPr>
                <w:rFonts w:cs="Arial"/>
                <w:lang w:eastAsia="en-NZ"/>
              </w:rPr>
            </w:pPr>
          </w:p>
        </w:tc>
      </w:tr>
      <w:tr w:rsidR="00826D01" w14:paraId="69E6448D" w14:textId="77777777">
        <w:tc>
          <w:tcPr>
            <w:tcW w:w="0" w:type="auto"/>
          </w:tcPr>
          <w:p w14:paraId="798CB60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63091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individuals and whānau can effectively </w:t>
            </w:r>
            <w:r w:rsidRPr="00BE00C7">
              <w:rPr>
                <w:rFonts w:cs="Arial"/>
                <w:lang w:eastAsia="en-NZ"/>
              </w:rPr>
              <w:lastRenderedPageBreak/>
              <w:t>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03B427A" w14:textId="77777777" w:rsidR="00000000" w:rsidRPr="00BE00C7" w:rsidRDefault="00000000" w:rsidP="00BE00C7">
            <w:pPr>
              <w:pStyle w:val="OutcomeDescription"/>
              <w:spacing w:before="120" w:after="120"/>
              <w:rPr>
                <w:rFonts w:cs="Arial"/>
                <w:lang w:eastAsia="en-NZ"/>
              </w:rPr>
            </w:pPr>
          </w:p>
        </w:tc>
        <w:tc>
          <w:tcPr>
            <w:tcW w:w="0" w:type="auto"/>
          </w:tcPr>
          <w:p w14:paraId="6C72065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6AA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in line with the Code. Those interviewed, and where appropriate, their whānau, felt empowered to actively participate in decision-making. </w:t>
            </w:r>
          </w:p>
          <w:p w14:paraId="2FC38FF5"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w:t>
            </w:r>
          </w:p>
          <w:p w14:paraId="7C768557" w14:textId="77777777" w:rsidR="00000000" w:rsidRPr="00BE00C7" w:rsidRDefault="00000000" w:rsidP="00BE00C7">
            <w:pPr>
              <w:pStyle w:val="OutcomeDescription"/>
              <w:spacing w:before="120" w:after="120"/>
              <w:rPr>
                <w:rFonts w:cs="Arial"/>
                <w:lang w:eastAsia="en-NZ"/>
              </w:rPr>
            </w:pPr>
          </w:p>
        </w:tc>
      </w:tr>
      <w:tr w:rsidR="00826D01" w14:paraId="255E5CDE" w14:textId="77777777">
        <w:tc>
          <w:tcPr>
            <w:tcW w:w="0" w:type="auto"/>
          </w:tcPr>
          <w:p w14:paraId="41E0CF6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88292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43F8133" w14:textId="77777777" w:rsidR="00000000" w:rsidRPr="00BE00C7" w:rsidRDefault="00000000" w:rsidP="00BE00C7">
            <w:pPr>
              <w:pStyle w:val="OutcomeDescription"/>
              <w:spacing w:before="120" w:after="120"/>
              <w:rPr>
                <w:rFonts w:cs="Arial"/>
                <w:lang w:eastAsia="en-NZ"/>
              </w:rPr>
            </w:pPr>
          </w:p>
        </w:tc>
        <w:tc>
          <w:tcPr>
            <w:tcW w:w="0" w:type="auto"/>
          </w:tcPr>
          <w:p w14:paraId="434C7E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9E1A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The complaints policy and associated forms meet the requirements of Right 10 of the Code. Information on the complaint process is provided to residents and families on admission, and those interviewed said they understood how to raise concerns and would not hesitate to do so. </w:t>
            </w:r>
          </w:p>
          <w:p w14:paraId="145EAE6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their understanding of the complaints process and stated they always refer complainants to the managers, who are responsible for managing them.</w:t>
            </w:r>
          </w:p>
          <w:p w14:paraId="0F5563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register recorded one verbal concern received from a family member. Minutes from a meeting with the family, the board chair, GM and CNM confirmed the matter was resolved within 12 days of the concern being raised. </w:t>
            </w:r>
          </w:p>
          <w:p w14:paraId="59D848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known complaints submitted to Health New Zealand – Te Whatu Ora or to the office of the Health and Disability Commissioner (HDC) since the previous audit. The service assures the process works equitably for Māori by offering independent and culturally safe advocacy and support.</w:t>
            </w:r>
          </w:p>
          <w:p w14:paraId="59622626" w14:textId="77777777" w:rsidR="00000000" w:rsidRPr="00BE00C7" w:rsidRDefault="00000000" w:rsidP="00BE00C7">
            <w:pPr>
              <w:pStyle w:val="OutcomeDescription"/>
              <w:spacing w:before="120" w:after="120"/>
              <w:rPr>
                <w:rFonts w:cs="Arial"/>
                <w:lang w:eastAsia="en-NZ"/>
              </w:rPr>
            </w:pPr>
          </w:p>
        </w:tc>
      </w:tr>
      <w:tr w:rsidR="00826D01" w14:paraId="73408CEA" w14:textId="77777777">
        <w:tc>
          <w:tcPr>
            <w:tcW w:w="0" w:type="auto"/>
          </w:tcPr>
          <w:p w14:paraId="301D7B0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60689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3DE5C8A" w14:textId="77777777" w:rsidR="00000000" w:rsidRPr="00BE00C7" w:rsidRDefault="00000000" w:rsidP="00BE00C7">
            <w:pPr>
              <w:pStyle w:val="OutcomeDescription"/>
              <w:spacing w:before="120" w:after="120"/>
              <w:rPr>
                <w:rFonts w:cs="Arial"/>
                <w:lang w:eastAsia="en-NZ"/>
              </w:rPr>
            </w:pPr>
          </w:p>
        </w:tc>
        <w:tc>
          <w:tcPr>
            <w:tcW w:w="0" w:type="auto"/>
          </w:tcPr>
          <w:p w14:paraId="34910E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E03B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a six-person trust board, assumes accountability for delivering a high-quality service to users of the services and their whānau. Compliance with legislative, contractual and regulatory requirements is overseen by the general manager (GM) and clinical nurse manager (CNM) in collaboration with the governance group. External advice is sought as required.</w:t>
            </w:r>
          </w:p>
          <w:p w14:paraId="245E6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purpose, values, direction, scope and goals are defined, and monitoring and reviewing of performance occurs through regular reporting at planned intervals. A focus on identifying barriers to access, improving outcomes, and achieving equity for Māori was evident in plans and monitoring documentation reviewed, and through interview with the board chairperson. A commitment to the quality and risk management system was evident. Members of the senior leadership team interviewed felt well informed on progress and risks. This was confirmed in a sample of reports to the trust board. </w:t>
            </w:r>
          </w:p>
          <w:p w14:paraId="550C38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structure comprising the RNs and the CNM is appropriate to the size and complexity of the organisation, with reporting to the board, general practitioner and nurse practitioner, and monitoring of resident safety.</w:t>
            </w:r>
          </w:p>
          <w:p w14:paraId="50E91E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for aged residential care, hospital medical, geriatric, and rest home care. The agreement includes provision for respite/short-stay and long-term support–chronic health conditions (LTS–CHC) and post-acute care. </w:t>
            </w:r>
          </w:p>
          <w:p w14:paraId="1A3384F7"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53 residents receiving services. Of these, 34 were assessed at rest home level care, and 19 at hospital level care. One rest home resident was there for a short stay/respite, four residents were under the LTS–CHC scheme, one was funded by Whaikaha – Ministry of Disabled People and one was funded by the Accident Compensation Corporation.</w:t>
            </w:r>
          </w:p>
          <w:p w14:paraId="4580A4D6" w14:textId="77777777" w:rsidR="00000000" w:rsidRPr="00BE00C7" w:rsidRDefault="00000000" w:rsidP="00BE00C7">
            <w:pPr>
              <w:pStyle w:val="OutcomeDescription"/>
              <w:spacing w:before="120" w:after="120"/>
              <w:rPr>
                <w:rFonts w:cs="Arial"/>
                <w:lang w:eastAsia="en-NZ"/>
              </w:rPr>
            </w:pPr>
          </w:p>
        </w:tc>
      </w:tr>
      <w:tr w:rsidR="00826D01" w14:paraId="77500D3E" w14:textId="77777777">
        <w:tc>
          <w:tcPr>
            <w:tcW w:w="0" w:type="auto"/>
          </w:tcPr>
          <w:p w14:paraId="0E6AF1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7CA5A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w:t>
            </w:r>
            <w:r w:rsidRPr="00BE00C7">
              <w:rPr>
                <w:rFonts w:cs="Arial"/>
                <w:lang w:eastAsia="en-NZ"/>
              </w:rPr>
              <w:lastRenderedPageBreak/>
              <w:t>systems meet the needs of people using the services and our health care and support workers.</w:t>
            </w:r>
          </w:p>
          <w:p w14:paraId="68FAE59A" w14:textId="77777777" w:rsidR="00000000" w:rsidRPr="00BE00C7" w:rsidRDefault="00000000" w:rsidP="00BE00C7">
            <w:pPr>
              <w:pStyle w:val="OutcomeDescription"/>
              <w:spacing w:before="120" w:after="120"/>
              <w:rPr>
                <w:rFonts w:cs="Arial"/>
                <w:lang w:eastAsia="en-NZ"/>
              </w:rPr>
            </w:pPr>
          </w:p>
        </w:tc>
        <w:tc>
          <w:tcPr>
            <w:tcW w:w="0" w:type="auto"/>
          </w:tcPr>
          <w:p w14:paraId="7C472A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240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policies and procedures, management of incidents, infections and complaints, internal audit activities and monitoring of outcomes. Annual resident and relative satisfaction surveys are conducted. There was a very low return from the May 2024 survey, so another survey was implemented in October. Results from this had not been evaluated at the time of the audit. </w:t>
            </w:r>
          </w:p>
          <w:p w14:paraId="6D9F294A"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is evaluated.</w:t>
            </w:r>
          </w:p>
          <w:p w14:paraId="0DFFDB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reviewed covered all necessary aspects of the service and of contractual requirements and were current. </w:t>
            </w:r>
          </w:p>
          <w:p w14:paraId="2BA581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chairperson described the processes for the identification, documentation, monitoring, review, and reporting of risks, including health and safety risks, and development of mitigation strategies. </w:t>
            </w:r>
          </w:p>
          <w:p w14:paraId="075E04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Reporting Policy. A sample of incidents forms reviewed showed these were fully completed, incidents were investigated, action plans developed, and actions followed up in a timely manner. </w:t>
            </w:r>
          </w:p>
          <w:p w14:paraId="3CEAC4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CNM and board chairperson understood and have complied with essential notification reporting requirements. The only notification since the previous audit was the appointment of a new GM in November 2023 and notifications of outbreaks in 2023. There have been no police investigations, coroner’s inquests, or issues-based audits.</w:t>
            </w:r>
          </w:p>
          <w:p w14:paraId="158DADC5" w14:textId="77777777" w:rsidR="00000000" w:rsidRPr="00BE00C7" w:rsidRDefault="00000000" w:rsidP="00BE00C7">
            <w:pPr>
              <w:pStyle w:val="OutcomeDescription"/>
              <w:spacing w:before="120" w:after="120"/>
              <w:rPr>
                <w:rFonts w:cs="Arial"/>
                <w:lang w:eastAsia="en-NZ"/>
              </w:rPr>
            </w:pPr>
          </w:p>
        </w:tc>
      </w:tr>
      <w:tr w:rsidR="00826D01" w14:paraId="4174050C" w14:textId="77777777">
        <w:tc>
          <w:tcPr>
            <w:tcW w:w="0" w:type="auto"/>
          </w:tcPr>
          <w:p w14:paraId="551909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C9F5D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8D8E094" w14:textId="77777777" w:rsidR="00000000" w:rsidRPr="00BE00C7" w:rsidRDefault="00000000" w:rsidP="00BE00C7">
            <w:pPr>
              <w:pStyle w:val="OutcomeDescription"/>
              <w:spacing w:before="120" w:after="120"/>
              <w:rPr>
                <w:rFonts w:cs="Arial"/>
                <w:lang w:eastAsia="en-NZ"/>
              </w:rPr>
            </w:pPr>
          </w:p>
        </w:tc>
        <w:tc>
          <w:tcPr>
            <w:tcW w:w="0" w:type="auto"/>
          </w:tcPr>
          <w:p w14:paraId="432C72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3EA3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 majority of staff are maintaining first aid certificates, and there is always at least one person on duty who has a current certificate.</w:t>
            </w:r>
          </w:p>
          <w:p w14:paraId="4D1660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now eight RNs employed, providing 24/7 RN coverage. The previous corrective action has been resolved.</w:t>
            </w:r>
          </w:p>
          <w:p w14:paraId="6E7458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rosters sighted showed that two RNs are allocated on each morning shift, one in the afternoon and one on night shift, plus the RN clinical manager is on site Monday to Friday and on call after hours. Eight health care assistants (HCA) plus a team lead HCA are rostered on each morning shift and four in the afternoon, plus two short shifts ‘floaters’ who start at either 4.30 pm or 5 pm until 7 pm or 8 pm. Two HCAs are allocated for each night shift. One diversional therapist and two casual </w:t>
            </w:r>
            <w:r w:rsidRPr="00BE00C7">
              <w:rPr>
                <w:rFonts w:cs="Arial"/>
                <w:lang w:eastAsia="en-NZ"/>
              </w:rPr>
              <w:lastRenderedPageBreak/>
              <w:t xml:space="preserve">activities staff ensure there is at least one activities person on site seven days a week. </w:t>
            </w:r>
          </w:p>
          <w:p w14:paraId="006272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5BD2E78A"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supports equitable service delivery. This is planned on an annual basis, and all staff attendance is monitored. The sighted 2024 training plan contained evidence of regular and relevant aged care education including training sessions on equity and high-quality care for Māori.</w:t>
            </w:r>
          </w:p>
          <w:p w14:paraId="45098D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Related competencies are assessed and support equitable service delivery. Records reviewed demonstrated completion of the required training and competency assessments. Staff felt well supported with development opportunities. </w:t>
            </w:r>
          </w:p>
          <w:p w14:paraId="1A834CD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staff have either completed or commenced a New Zealand Qualification Authority education programme to meet the requirements of the provider’s agreement with the funder. Of the 28 HCAs, 17 have achieved Level 4 of the National Certificate in Health And Wellness, two are at Level 3, four are at Level 2 and five new staff are enrolled to start. Staff records reviewed demonstrated completion of the required training and competency assessments.</w:t>
            </w:r>
          </w:p>
          <w:p w14:paraId="3A2891F4" w14:textId="77777777" w:rsidR="00000000" w:rsidRPr="00BE00C7" w:rsidRDefault="00000000" w:rsidP="00BE00C7">
            <w:pPr>
              <w:pStyle w:val="OutcomeDescription"/>
              <w:spacing w:before="120" w:after="120"/>
              <w:rPr>
                <w:rFonts w:cs="Arial"/>
                <w:lang w:eastAsia="en-NZ"/>
              </w:rPr>
            </w:pPr>
          </w:p>
        </w:tc>
      </w:tr>
      <w:tr w:rsidR="00826D01" w14:paraId="315B7E84" w14:textId="77777777">
        <w:tc>
          <w:tcPr>
            <w:tcW w:w="0" w:type="auto"/>
          </w:tcPr>
          <w:p w14:paraId="1AF27B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36C0A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w:t>
            </w:r>
            <w:r w:rsidRPr="00BE00C7">
              <w:rPr>
                <w:rFonts w:cs="Arial"/>
                <w:lang w:eastAsia="en-NZ"/>
              </w:rPr>
              <w:lastRenderedPageBreak/>
              <w:t>clinically and culturally safe, respectful, quality care and services.</w:t>
            </w:r>
          </w:p>
          <w:p w14:paraId="42D5B71F" w14:textId="77777777" w:rsidR="00000000" w:rsidRPr="00BE00C7" w:rsidRDefault="00000000" w:rsidP="00BE00C7">
            <w:pPr>
              <w:pStyle w:val="OutcomeDescription"/>
              <w:spacing w:before="120" w:after="120"/>
              <w:rPr>
                <w:rFonts w:cs="Arial"/>
                <w:lang w:eastAsia="en-NZ"/>
              </w:rPr>
            </w:pPr>
          </w:p>
        </w:tc>
        <w:tc>
          <w:tcPr>
            <w:tcW w:w="0" w:type="auto"/>
          </w:tcPr>
          <w:p w14:paraId="1BDF02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69B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including evidence of qualifications and registration. </w:t>
            </w:r>
          </w:p>
          <w:p w14:paraId="54339D4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the staff records sampled.</w:t>
            </w:r>
          </w:p>
          <w:p w14:paraId="5B24E469" w14:textId="77777777" w:rsidR="00000000" w:rsidRPr="00BE00C7" w:rsidRDefault="00000000" w:rsidP="00BE00C7">
            <w:pPr>
              <w:pStyle w:val="OutcomeDescription"/>
              <w:spacing w:before="120" w:after="120"/>
              <w:rPr>
                <w:rFonts w:cs="Arial"/>
                <w:lang w:eastAsia="en-NZ"/>
              </w:rPr>
            </w:pPr>
          </w:p>
        </w:tc>
      </w:tr>
      <w:tr w:rsidR="00826D01" w14:paraId="2200386C" w14:textId="77777777">
        <w:tc>
          <w:tcPr>
            <w:tcW w:w="0" w:type="auto"/>
          </w:tcPr>
          <w:p w14:paraId="1E1156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A3B25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A250514" w14:textId="77777777" w:rsidR="00000000" w:rsidRPr="00BE00C7" w:rsidRDefault="00000000" w:rsidP="00BE00C7">
            <w:pPr>
              <w:pStyle w:val="OutcomeDescription"/>
              <w:spacing w:before="120" w:after="120"/>
              <w:rPr>
                <w:rFonts w:cs="Arial"/>
                <w:lang w:eastAsia="en-NZ"/>
              </w:rPr>
            </w:pPr>
          </w:p>
        </w:tc>
        <w:tc>
          <w:tcPr>
            <w:tcW w:w="0" w:type="auto"/>
          </w:tcPr>
          <w:p w14:paraId="2940BC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38DBFAB"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files were reviewed at this audit, three rest home and three hospital files, and included a resident receiving care under a Whaikaha (young person with a disability) contract, a resident receiving care under an Accident Compensation Corporation (ACC) contract and residents receiving care under the Age-Related Residential Care (ARRC) contract.</w:t>
            </w:r>
          </w:p>
          <w:p w14:paraId="5FFECC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 and whānau to support wellbeing. A care plan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were not always recorded (refer criterion 3.2.4). Residents who had experienced an unwitnessed fall were evidenced to have an RN post fall assessment and neurological observations for the required timeframes. Residents with identified swallowing deficits had a meal consistent with their needs and were enabled time and support to eat their meal slowly. Residents with diabetes had their blood sugars monitored as requested by the general practitioner (GP) or the nurse practitioner (NP). </w:t>
            </w:r>
          </w:p>
          <w:p w14:paraId="4CEBB802" w14:textId="77777777" w:rsidR="00000000" w:rsidRPr="00BE00C7" w:rsidRDefault="00000000" w:rsidP="00BE00C7">
            <w:pPr>
              <w:pStyle w:val="OutcomeDescription"/>
              <w:spacing w:before="120" w:after="120"/>
              <w:rPr>
                <w:rFonts w:cs="Arial"/>
                <w:lang w:eastAsia="en-NZ"/>
              </w:rPr>
            </w:pPr>
            <w:r w:rsidRPr="00BE00C7">
              <w:rPr>
                <w:rFonts w:cs="Arial"/>
                <w:lang w:eastAsia="en-NZ"/>
              </w:rPr>
              <w:t>Timeframes for the initial assessment, medical/nurse practitioner assessment, initial care plan, long-term care plan and review timeframes meet contractual requirements. Interviews and observations verified staff supported Māori and whānau to identify their own pae ora outcomes; however, this was not evident in the documentation in their care plan (refer criterion 3.2.4). This was verified by sampling residents’ records, and from interviews of clinical staff, people receiving services, and whānau.</w:t>
            </w:r>
          </w:p>
          <w:p w14:paraId="09FF00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except for one file, well documented, with evidence of systematic monitoring and regular evaluation of responses to planned care, including the use of a range of outcome measures. Where progress was different to that expected, changes are made to the care plan in collaboration with the resident </w:t>
            </w:r>
            <w:r w:rsidRPr="00BE00C7">
              <w:rPr>
                <w:rFonts w:cs="Arial"/>
                <w:lang w:eastAsia="en-NZ"/>
              </w:rPr>
              <w:lastRenderedPageBreak/>
              <w:t>and/or whānau. Residents and whānau confirmed active involvement in the process.</w:t>
            </w:r>
          </w:p>
          <w:p w14:paraId="1350E8D0" w14:textId="77777777" w:rsidR="00000000" w:rsidRPr="00BE00C7" w:rsidRDefault="00000000" w:rsidP="00F231F6">
            <w:pPr>
              <w:pStyle w:val="OutcomeDescription"/>
              <w:spacing w:before="120" w:after="120"/>
              <w:rPr>
                <w:rFonts w:cs="Arial"/>
                <w:lang w:eastAsia="en-NZ"/>
              </w:rPr>
            </w:pPr>
          </w:p>
        </w:tc>
      </w:tr>
      <w:tr w:rsidR="00826D01" w14:paraId="07908C2E" w14:textId="77777777">
        <w:tc>
          <w:tcPr>
            <w:tcW w:w="0" w:type="auto"/>
          </w:tcPr>
          <w:p w14:paraId="7D815E4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70B8C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1147DEA" w14:textId="77777777" w:rsidR="00000000" w:rsidRPr="00BE00C7" w:rsidRDefault="00000000" w:rsidP="00BE00C7">
            <w:pPr>
              <w:pStyle w:val="OutcomeDescription"/>
              <w:spacing w:before="120" w:after="120"/>
              <w:rPr>
                <w:rFonts w:cs="Arial"/>
                <w:lang w:eastAsia="en-NZ"/>
              </w:rPr>
            </w:pPr>
          </w:p>
        </w:tc>
        <w:tc>
          <w:tcPr>
            <w:tcW w:w="0" w:type="auto"/>
          </w:tcPr>
          <w:p w14:paraId="4A2F41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1EA7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Care/current best practice. A system for medicine management (using an electronic system) was observed on the day of audit. All staff who administer medicines were deemed competent to perform the function they managed. However, the observed practice of medication administration by RNs during this audit requires attention.</w:t>
            </w:r>
          </w:p>
          <w:p w14:paraId="6BDB6C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are stored safely, including controlled drugs. The required stock checks had been completed. Medicines stored were within the recommended temperature range. </w:t>
            </w:r>
          </w:p>
          <w:p w14:paraId="5BD504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used, were current, and complied with guidelines. </w:t>
            </w:r>
          </w:p>
          <w:p w14:paraId="162445CB"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w:t>
            </w:r>
          </w:p>
          <w:p w14:paraId="089642E2" w14:textId="77777777" w:rsidR="00000000" w:rsidRPr="00BE00C7" w:rsidRDefault="00000000" w:rsidP="00BE00C7">
            <w:pPr>
              <w:pStyle w:val="OutcomeDescription"/>
              <w:spacing w:before="120" w:after="120"/>
              <w:rPr>
                <w:rFonts w:cs="Arial"/>
                <w:lang w:eastAsia="en-NZ"/>
              </w:rPr>
            </w:pPr>
          </w:p>
        </w:tc>
      </w:tr>
      <w:tr w:rsidR="00826D01" w14:paraId="5E5EEB16" w14:textId="77777777">
        <w:tc>
          <w:tcPr>
            <w:tcW w:w="0" w:type="auto"/>
          </w:tcPr>
          <w:p w14:paraId="4F5E7D6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6FDB7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E6A171C" w14:textId="77777777" w:rsidR="00000000" w:rsidRPr="00BE00C7" w:rsidRDefault="00000000" w:rsidP="00BE00C7">
            <w:pPr>
              <w:pStyle w:val="OutcomeDescription"/>
              <w:spacing w:before="120" w:after="120"/>
              <w:rPr>
                <w:rFonts w:cs="Arial"/>
                <w:lang w:eastAsia="en-NZ"/>
              </w:rPr>
            </w:pPr>
          </w:p>
        </w:tc>
        <w:tc>
          <w:tcPr>
            <w:tcW w:w="0" w:type="auto"/>
          </w:tcPr>
          <w:p w14:paraId="470589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77F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 satisfaction with meals was verified from residents and whānau interviews, satisfaction surveys and resident meeting minutes.</w:t>
            </w:r>
          </w:p>
          <w:p w14:paraId="26E5CA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operated with an approved food safety plan and registration.</w:t>
            </w:r>
          </w:p>
          <w:p w14:paraId="58A21DD2" w14:textId="77777777" w:rsidR="00000000" w:rsidRPr="00BE00C7" w:rsidRDefault="00000000" w:rsidP="00BE00C7">
            <w:pPr>
              <w:pStyle w:val="OutcomeDescription"/>
              <w:spacing w:before="120" w:after="120"/>
              <w:rPr>
                <w:rFonts w:cs="Arial"/>
                <w:lang w:eastAsia="en-NZ"/>
              </w:rPr>
            </w:pPr>
          </w:p>
        </w:tc>
      </w:tr>
      <w:tr w:rsidR="00826D01" w14:paraId="3823E579" w14:textId="77777777">
        <w:tc>
          <w:tcPr>
            <w:tcW w:w="0" w:type="auto"/>
          </w:tcPr>
          <w:p w14:paraId="7A6D97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94B11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FEB0696" w14:textId="77777777" w:rsidR="00000000" w:rsidRPr="00BE00C7" w:rsidRDefault="00000000" w:rsidP="00BE00C7">
            <w:pPr>
              <w:pStyle w:val="OutcomeDescription"/>
              <w:spacing w:before="120" w:after="120"/>
              <w:rPr>
                <w:rFonts w:cs="Arial"/>
                <w:lang w:eastAsia="en-NZ"/>
              </w:rPr>
            </w:pPr>
          </w:p>
        </w:tc>
        <w:tc>
          <w:tcPr>
            <w:tcW w:w="0" w:type="auto"/>
          </w:tcPr>
          <w:p w14:paraId="66686C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298D68"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Hillview is planned and managed safely, with coordination between services and in collaboration with the resident and whānau. Risks and current support needs are identified and managed. Whānau reported being kept well informed during the recent transfer of their relative.</w:t>
            </w:r>
          </w:p>
          <w:p w14:paraId="0822BFC7" w14:textId="77777777" w:rsidR="00000000" w:rsidRPr="00BE00C7" w:rsidRDefault="00000000" w:rsidP="00BE00C7">
            <w:pPr>
              <w:pStyle w:val="OutcomeDescription"/>
              <w:spacing w:before="120" w:after="120"/>
              <w:rPr>
                <w:rFonts w:cs="Arial"/>
                <w:lang w:eastAsia="en-NZ"/>
              </w:rPr>
            </w:pPr>
          </w:p>
        </w:tc>
      </w:tr>
      <w:tr w:rsidR="00826D01" w14:paraId="5EFCDDA5" w14:textId="77777777">
        <w:tc>
          <w:tcPr>
            <w:tcW w:w="0" w:type="auto"/>
          </w:tcPr>
          <w:p w14:paraId="542724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CC08D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FBE688" w14:textId="77777777" w:rsidR="00000000" w:rsidRPr="00BE00C7" w:rsidRDefault="00000000" w:rsidP="00BE00C7">
            <w:pPr>
              <w:pStyle w:val="OutcomeDescription"/>
              <w:spacing w:before="120" w:after="120"/>
              <w:rPr>
                <w:rFonts w:cs="Arial"/>
                <w:lang w:eastAsia="en-NZ"/>
              </w:rPr>
            </w:pPr>
          </w:p>
        </w:tc>
        <w:tc>
          <w:tcPr>
            <w:tcW w:w="0" w:type="auto"/>
          </w:tcPr>
          <w:p w14:paraId="37C796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DD9F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 plant and equipment are fit for purpose, inclusive of peoples’ cultures and comply with relevant legislation. This includes a current building warrant of fitness, electrical and bio-medical testing, and regular checking of all plant, furniture and equipment. </w:t>
            </w:r>
          </w:p>
          <w:p w14:paraId="173CE3B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w:t>
            </w:r>
          </w:p>
          <w:p w14:paraId="15F7D040" w14:textId="77777777" w:rsidR="00000000" w:rsidRPr="00BE00C7" w:rsidRDefault="00000000" w:rsidP="00BE00C7">
            <w:pPr>
              <w:pStyle w:val="OutcomeDescription"/>
              <w:spacing w:before="120" w:after="120"/>
              <w:rPr>
                <w:rFonts w:cs="Arial"/>
                <w:lang w:eastAsia="en-NZ"/>
              </w:rPr>
            </w:pPr>
          </w:p>
        </w:tc>
      </w:tr>
      <w:tr w:rsidR="00826D01" w14:paraId="4A6E4597" w14:textId="77777777">
        <w:tc>
          <w:tcPr>
            <w:tcW w:w="0" w:type="auto"/>
          </w:tcPr>
          <w:p w14:paraId="25CFFE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57B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3BED0924" w14:textId="77777777" w:rsidR="00000000" w:rsidRPr="00BE00C7" w:rsidRDefault="00000000" w:rsidP="00BE00C7">
            <w:pPr>
              <w:pStyle w:val="OutcomeDescription"/>
              <w:spacing w:before="120" w:after="120"/>
              <w:rPr>
                <w:rFonts w:cs="Arial"/>
                <w:lang w:eastAsia="en-NZ"/>
              </w:rPr>
            </w:pPr>
          </w:p>
        </w:tc>
        <w:tc>
          <w:tcPr>
            <w:tcW w:w="0" w:type="auto"/>
          </w:tcPr>
          <w:p w14:paraId="0F8485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A133C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at Hillview is the infection prevention and control nurse (IPCN) and is responsible for overseeing and implementing the IP programme, which has been developed by those with IP expertise and approved by the governing body. The programme is linked to the quality improvement programme; however, it has not been reviewed yearly. This was confirmed by the IPCN and the programme documentation. A finding was identified. </w:t>
            </w:r>
          </w:p>
          <w:p w14:paraId="7F06CA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were familiar with policies and practices through orientation and ongoing education and were observed to follow these correctly. Residents and their whānau are educated about infection prevention in a manner that meets their needs.</w:t>
            </w:r>
          </w:p>
          <w:p w14:paraId="4290DCAA" w14:textId="77777777" w:rsidR="00000000" w:rsidRPr="00BE00C7" w:rsidRDefault="00000000" w:rsidP="00BE00C7">
            <w:pPr>
              <w:pStyle w:val="OutcomeDescription"/>
              <w:spacing w:before="120" w:after="120"/>
              <w:rPr>
                <w:rFonts w:cs="Arial"/>
                <w:lang w:eastAsia="en-NZ"/>
              </w:rPr>
            </w:pPr>
          </w:p>
        </w:tc>
      </w:tr>
      <w:tr w:rsidR="00826D01" w14:paraId="3D01A5E1" w14:textId="77777777">
        <w:tc>
          <w:tcPr>
            <w:tcW w:w="0" w:type="auto"/>
          </w:tcPr>
          <w:p w14:paraId="037097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18088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AF811D0" w14:textId="77777777" w:rsidR="00000000" w:rsidRPr="00BE00C7" w:rsidRDefault="00000000" w:rsidP="00BE00C7">
            <w:pPr>
              <w:pStyle w:val="OutcomeDescription"/>
              <w:spacing w:before="120" w:after="120"/>
              <w:rPr>
                <w:rFonts w:cs="Arial"/>
                <w:lang w:eastAsia="en-NZ"/>
              </w:rPr>
            </w:pPr>
          </w:p>
        </w:tc>
        <w:tc>
          <w:tcPr>
            <w:tcW w:w="0" w:type="auto"/>
          </w:tcPr>
          <w:p w14:paraId="69D017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141A29"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Surveillance includes ethnicity data. Results of the surveillance programme are shared with staff and reported to the governing body.</w:t>
            </w:r>
          </w:p>
          <w:p w14:paraId="713C9A8A" w14:textId="77777777" w:rsidR="00000000" w:rsidRPr="00BE00C7" w:rsidRDefault="00000000" w:rsidP="00BE00C7">
            <w:pPr>
              <w:pStyle w:val="OutcomeDescription"/>
              <w:spacing w:before="120" w:after="120"/>
              <w:rPr>
                <w:rFonts w:cs="Arial"/>
                <w:lang w:eastAsia="en-NZ"/>
              </w:rPr>
            </w:pPr>
          </w:p>
        </w:tc>
      </w:tr>
      <w:tr w:rsidR="00826D01" w14:paraId="1C0B8AC2" w14:textId="77777777">
        <w:tc>
          <w:tcPr>
            <w:tcW w:w="0" w:type="auto"/>
          </w:tcPr>
          <w:p w14:paraId="03458B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E026A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B0262D" w14:textId="77777777" w:rsidR="00000000" w:rsidRPr="00BE00C7" w:rsidRDefault="00000000" w:rsidP="00BE00C7">
            <w:pPr>
              <w:pStyle w:val="OutcomeDescription"/>
              <w:spacing w:before="120" w:after="120"/>
              <w:rPr>
                <w:rFonts w:cs="Arial"/>
                <w:lang w:eastAsia="en-NZ"/>
              </w:rPr>
            </w:pPr>
          </w:p>
        </w:tc>
        <w:tc>
          <w:tcPr>
            <w:tcW w:w="0" w:type="auto"/>
          </w:tcPr>
          <w:p w14:paraId="49B577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B333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governance group demonstrated commitment to this. Any restraint activities are reported to them. At the time of this audit, there was no restraint being used at Hillview and this has been the case since July 2022. </w:t>
            </w:r>
          </w:p>
          <w:p w14:paraId="62C65B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organisation’s policies and procedures meet the requirements of this standard. Staff regularly attend training about the least restrictive and alternative practices, safe restraint practice, cultural-specific interventions, and de-escalation techniques.</w:t>
            </w:r>
          </w:p>
          <w:p w14:paraId="6EADC92C" w14:textId="77777777" w:rsidR="00000000" w:rsidRPr="00BE00C7" w:rsidRDefault="00000000" w:rsidP="00BE00C7">
            <w:pPr>
              <w:pStyle w:val="OutcomeDescription"/>
              <w:spacing w:before="120" w:after="120"/>
              <w:rPr>
                <w:rFonts w:cs="Arial"/>
                <w:lang w:eastAsia="en-NZ"/>
              </w:rPr>
            </w:pPr>
          </w:p>
        </w:tc>
      </w:tr>
    </w:tbl>
    <w:p w14:paraId="01D6EC0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D288655" w14:textId="77777777" w:rsidR="00000000" w:rsidRDefault="00000000">
      <w:pPr>
        <w:pStyle w:val="Heading1"/>
        <w:rPr>
          <w:rFonts w:cs="Arial"/>
        </w:rPr>
      </w:pPr>
      <w:r>
        <w:rPr>
          <w:rFonts w:cs="Arial"/>
        </w:rPr>
        <w:lastRenderedPageBreak/>
        <w:t>Specific results for criterion where corrective actions are required</w:t>
      </w:r>
    </w:p>
    <w:p w14:paraId="06B6258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CB655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9FABF1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1321"/>
        <w:gridCol w:w="4202"/>
        <w:gridCol w:w="2377"/>
        <w:gridCol w:w="2297"/>
      </w:tblGrid>
      <w:tr w:rsidR="00826D01" w14:paraId="09762FA5" w14:textId="77777777">
        <w:tc>
          <w:tcPr>
            <w:tcW w:w="0" w:type="auto"/>
          </w:tcPr>
          <w:p w14:paraId="0382FB4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2EEA5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856408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FF73A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A8207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26D01" w14:paraId="205A468F" w14:textId="77777777">
        <w:tc>
          <w:tcPr>
            <w:tcW w:w="0" w:type="auto"/>
          </w:tcPr>
          <w:p w14:paraId="160E70A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4305B5B4"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documented.</w:t>
            </w:r>
          </w:p>
          <w:p w14:paraId="4D1882D9" w14:textId="77777777" w:rsidR="00000000" w:rsidRPr="00BE00C7" w:rsidRDefault="00000000" w:rsidP="00BE00C7">
            <w:pPr>
              <w:pStyle w:val="OutcomeDescription"/>
              <w:spacing w:before="120" w:after="120"/>
              <w:rPr>
                <w:rFonts w:cs="Arial"/>
                <w:lang w:eastAsia="en-NZ"/>
              </w:rPr>
            </w:pPr>
          </w:p>
        </w:tc>
        <w:tc>
          <w:tcPr>
            <w:tcW w:w="0" w:type="auto"/>
          </w:tcPr>
          <w:p w14:paraId="40608B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2C58790" w14:textId="77FD0932"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five files identified that, in general, most areas of support the resident required was identified and monitored. Three of those files, however, had not identified some area of support the resident required to meet their assessed needs. Two files of residents who identified as Māori included a Māori assessment that highlighted several tikanga guidelines important to those residents; however, these were not documented in the care plan. </w:t>
            </w:r>
            <w:r w:rsidR="006670D3">
              <w:rPr>
                <w:rFonts w:cs="Arial"/>
                <w:lang w:eastAsia="en-NZ"/>
              </w:rPr>
              <w:t>A</w:t>
            </w:r>
            <w:r w:rsidRPr="00BE00C7">
              <w:rPr>
                <w:rFonts w:cs="Arial"/>
                <w:lang w:eastAsia="en-NZ"/>
              </w:rPr>
              <w:t xml:space="preserve"> resident developed a pressure injury. No pressure injury risk had been identified on admission, despite the resident’s condition being a mitigating factor. A resident who had been admitted displayed several challenges that were being managed well was an insulin-dependent diabetic. The care plan documented they were a diabetic and </w:t>
            </w:r>
            <w:r w:rsidRPr="00BE00C7">
              <w:rPr>
                <w:rFonts w:cs="Arial"/>
                <w:lang w:eastAsia="en-NZ"/>
              </w:rPr>
              <w:lastRenderedPageBreak/>
              <w:t>required blood glucose monitoring (BGLs); however, there was no mention of insulin, or subsequent alerts. The resident also had an ileostomy; however, there was no documentation regarding this and the reasons for it. The medical notes, from a previous GP, had not been received for this resident. Potential risks were unknown, preventing the monitoring of any early warning signs.</w:t>
            </w:r>
          </w:p>
          <w:p w14:paraId="7EEE89B5" w14:textId="77777777" w:rsidR="00000000" w:rsidRPr="00BE00C7" w:rsidRDefault="00000000" w:rsidP="00BE00C7">
            <w:pPr>
              <w:pStyle w:val="OutcomeDescription"/>
              <w:spacing w:before="120" w:after="120"/>
              <w:rPr>
                <w:rFonts w:cs="Arial"/>
                <w:lang w:eastAsia="en-NZ"/>
              </w:rPr>
            </w:pPr>
          </w:p>
        </w:tc>
        <w:tc>
          <w:tcPr>
            <w:tcW w:w="0" w:type="auto"/>
          </w:tcPr>
          <w:p w14:paraId="2025E2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Three of the five care plans reviewed did not identify all areas of support the resident required to meet their assessed needs.</w:t>
            </w:r>
          </w:p>
          <w:p w14:paraId="6865E167" w14:textId="77777777" w:rsidR="00000000" w:rsidRPr="00BE00C7" w:rsidRDefault="00000000" w:rsidP="00BE00C7">
            <w:pPr>
              <w:pStyle w:val="OutcomeDescription"/>
              <w:spacing w:before="120" w:after="120"/>
              <w:rPr>
                <w:rFonts w:cs="Arial"/>
                <w:lang w:eastAsia="en-NZ"/>
              </w:rPr>
            </w:pPr>
          </w:p>
        </w:tc>
        <w:tc>
          <w:tcPr>
            <w:tcW w:w="0" w:type="auto"/>
          </w:tcPr>
          <w:p w14:paraId="27852E0C"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care plans address all the support the resident requires to address their assessed needs.</w:t>
            </w:r>
          </w:p>
          <w:p w14:paraId="3B443EFA" w14:textId="77777777" w:rsidR="00000000" w:rsidRPr="00BE00C7" w:rsidRDefault="00000000" w:rsidP="00BE00C7">
            <w:pPr>
              <w:pStyle w:val="OutcomeDescription"/>
              <w:spacing w:before="120" w:after="120"/>
              <w:rPr>
                <w:rFonts w:cs="Arial"/>
                <w:lang w:eastAsia="en-NZ"/>
              </w:rPr>
            </w:pPr>
          </w:p>
          <w:p w14:paraId="4430D4A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26D01" w14:paraId="3B36C757" w14:textId="77777777">
        <w:tc>
          <w:tcPr>
            <w:tcW w:w="0" w:type="auto"/>
          </w:tcPr>
          <w:p w14:paraId="4251B18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313FF6D"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13AD6B5"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94BBC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observed medication round was undertaken during this audit. Safe practices were observed at the time. A review of ten medication charts verified overall compliance, with one exception. A resident was admitted, and according to the medication chart from the previous care home, requires insulin. However, the care plan does not identify that the resident is on insulin, only that they are diabetic and require BGL monitoring. Interviews identify that when the resident was admitted there was very little clinical data available, and the GP has not received any medical notes from the previous GP. The Hillview GP admitted the resident and did not include insulin on the medication chart. The RN stated they contacted the GP. The GP verified this. The RNs for the past three weeks have been administering the insulin off the old medication chart. A phone conversation with the GP, on the day of audit, stated they verbally authorised it via a phone order. No evidence was sighted of a phone order. BGL records verify the resident was having high BGLs prior to when the insulin is given. The </w:t>
            </w:r>
            <w:r w:rsidRPr="00BE00C7">
              <w:rPr>
                <w:rFonts w:cs="Arial"/>
                <w:lang w:eastAsia="en-NZ"/>
              </w:rPr>
              <w:lastRenderedPageBreak/>
              <w:t>GP addressed the finding by amending the electronic medication chart on the day of audit.</w:t>
            </w:r>
          </w:p>
          <w:p w14:paraId="399E0A94" w14:textId="77777777" w:rsidR="00000000" w:rsidRPr="00BE00C7" w:rsidRDefault="00000000" w:rsidP="00BE00C7">
            <w:pPr>
              <w:pStyle w:val="OutcomeDescription"/>
              <w:spacing w:before="120" w:after="120"/>
              <w:rPr>
                <w:rFonts w:cs="Arial"/>
                <w:lang w:eastAsia="en-NZ"/>
              </w:rPr>
            </w:pPr>
          </w:p>
        </w:tc>
        <w:tc>
          <w:tcPr>
            <w:tcW w:w="0" w:type="auto"/>
          </w:tcPr>
          <w:p w14:paraId="7F08B3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system being used to administer medication by the RNs, when the electronic system has not been updated, has the potential to expose residents to risk.</w:t>
            </w:r>
          </w:p>
          <w:p w14:paraId="0BD5202C" w14:textId="77777777" w:rsidR="00000000" w:rsidRPr="00BE00C7" w:rsidRDefault="00000000" w:rsidP="00BE00C7">
            <w:pPr>
              <w:pStyle w:val="OutcomeDescription"/>
              <w:spacing w:before="120" w:after="120"/>
              <w:rPr>
                <w:rFonts w:cs="Arial"/>
                <w:lang w:eastAsia="en-NZ"/>
              </w:rPr>
            </w:pPr>
          </w:p>
        </w:tc>
        <w:tc>
          <w:tcPr>
            <w:tcW w:w="0" w:type="auto"/>
          </w:tcPr>
          <w:p w14:paraId="0A3FEC5D"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that processes are in place to ensure medications are administered as per the resident’s present medication chart.</w:t>
            </w:r>
          </w:p>
          <w:p w14:paraId="515B5DFD" w14:textId="77777777" w:rsidR="00000000" w:rsidRPr="00BE00C7" w:rsidRDefault="00000000" w:rsidP="00BE00C7">
            <w:pPr>
              <w:pStyle w:val="OutcomeDescription"/>
              <w:spacing w:before="120" w:after="120"/>
              <w:rPr>
                <w:rFonts w:cs="Arial"/>
                <w:lang w:eastAsia="en-NZ"/>
              </w:rPr>
            </w:pPr>
          </w:p>
          <w:p w14:paraId="39318136"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826D01" w14:paraId="748AA3AE" w14:textId="77777777">
        <w:tc>
          <w:tcPr>
            <w:tcW w:w="0" w:type="auto"/>
          </w:tcPr>
          <w:p w14:paraId="3F8A1C7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5.2.2</w:t>
            </w:r>
          </w:p>
          <w:p w14:paraId="3072BC2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have a clearly defined and documented IP programme that shall be:</w:t>
            </w:r>
            <w:r w:rsidRPr="00BE00C7">
              <w:rPr>
                <w:rFonts w:cs="Arial"/>
                <w:lang w:eastAsia="en-NZ"/>
              </w:rPr>
              <w:br/>
              <w:t>(a) Developed by those with IP expertise;</w:t>
            </w:r>
            <w:r w:rsidRPr="00BE00C7">
              <w:rPr>
                <w:rFonts w:cs="Arial"/>
                <w:lang w:eastAsia="en-NZ"/>
              </w:rPr>
              <w:br/>
              <w:t>(b) Approved by the governance body;</w:t>
            </w:r>
            <w:r w:rsidRPr="00BE00C7">
              <w:rPr>
                <w:rFonts w:cs="Arial"/>
                <w:lang w:eastAsia="en-NZ"/>
              </w:rPr>
              <w:br/>
              <w:t>(c) Linked to the quality improvement programme; and</w:t>
            </w:r>
            <w:r w:rsidRPr="00BE00C7">
              <w:rPr>
                <w:rFonts w:cs="Arial"/>
                <w:lang w:eastAsia="en-NZ"/>
              </w:rPr>
              <w:br/>
              <w:t>(d) Reviewed and reported on annually.</w:t>
            </w:r>
          </w:p>
          <w:p w14:paraId="3CA7E89F" w14:textId="77777777" w:rsidR="00000000" w:rsidRPr="00BE00C7" w:rsidRDefault="00000000" w:rsidP="00BE00C7">
            <w:pPr>
              <w:pStyle w:val="OutcomeDescription"/>
              <w:spacing w:before="120" w:after="120"/>
              <w:rPr>
                <w:rFonts w:cs="Arial"/>
                <w:lang w:eastAsia="en-NZ"/>
              </w:rPr>
            </w:pPr>
          </w:p>
        </w:tc>
        <w:tc>
          <w:tcPr>
            <w:tcW w:w="0" w:type="auto"/>
          </w:tcPr>
          <w:p w14:paraId="109403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94A2F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programme has been developed by those with IP expertise and approved by the governing body. The programme is linked to the quality improvement programme. It has not been reviewed yearly.</w:t>
            </w:r>
          </w:p>
          <w:p w14:paraId="4E01F2FF" w14:textId="77777777" w:rsidR="00000000" w:rsidRPr="00BE00C7" w:rsidRDefault="00000000" w:rsidP="00BE00C7">
            <w:pPr>
              <w:pStyle w:val="OutcomeDescription"/>
              <w:spacing w:before="120" w:after="120"/>
              <w:rPr>
                <w:rFonts w:cs="Arial"/>
                <w:lang w:eastAsia="en-NZ"/>
              </w:rPr>
            </w:pPr>
          </w:p>
        </w:tc>
        <w:tc>
          <w:tcPr>
            <w:tcW w:w="0" w:type="auto"/>
          </w:tcPr>
          <w:p w14:paraId="3BD40C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has not been reviewed within the last year.</w:t>
            </w:r>
          </w:p>
          <w:p w14:paraId="50E90D36" w14:textId="77777777" w:rsidR="00000000" w:rsidRPr="00BE00C7" w:rsidRDefault="00000000" w:rsidP="00BE00C7">
            <w:pPr>
              <w:pStyle w:val="OutcomeDescription"/>
              <w:spacing w:before="120" w:after="120"/>
              <w:rPr>
                <w:rFonts w:cs="Arial"/>
                <w:lang w:eastAsia="en-NZ"/>
              </w:rPr>
            </w:pPr>
          </w:p>
        </w:tc>
        <w:tc>
          <w:tcPr>
            <w:tcW w:w="0" w:type="auto"/>
          </w:tcPr>
          <w:p w14:paraId="17ACBAA5" w14:textId="77777777" w:rsidR="00000000" w:rsidRPr="00BE00C7" w:rsidRDefault="00000000" w:rsidP="00BE00C7">
            <w:pPr>
              <w:pStyle w:val="OutcomeDescription"/>
              <w:spacing w:before="120" w:after="120"/>
              <w:rPr>
                <w:rFonts w:cs="Arial"/>
                <w:lang w:eastAsia="en-NZ"/>
              </w:rPr>
            </w:pPr>
            <w:r w:rsidRPr="00BE00C7">
              <w:rPr>
                <w:rFonts w:cs="Arial"/>
                <w:lang w:eastAsia="en-NZ"/>
              </w:rPr>
              <w:t>Provide evidence the infection control programme is reviewed yearly</w:t>
            </w:r>
          </w:p>
          <w:p w14:paraId="5881003D" w14:textId="77777777" w:rsidR="00000000" w:rsidRPr="00BE00C7" w:rsidRDefault="00000000" w:rsidP="00BE00C7">
            <w:pPr>
              <w:pStyle w:val="OutcomeDescription"/>
              <w:spacing w:before="120" w:after="120"/>
              <w:rPr>
                <w:rFonts w:cs="Arial"/>
                <w:lang w:eastAsia="en-NZ"/>
              </w:rPr>
            </w:pPr>
          </w:p>
          <w:p w14:paraId="67F31C1E"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5B642E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C322330" w14:textId="77777777" w:rsidR="00000000" w:rsidRDefault="00000000">
      <w:pPr>
        <w:pStyle w:val="Heading1"/>
        <w:rPr>
          <w:rFonts w:cs="Arial"/>
        </w:rPr>
      </w:pPr>
      <w:r>
        <w:rPr>
          <w:rFonts w:cs="Arial"/>
        </w:rPr>
        <w:lastRenderedPageBreak/>
        <w:t>Specific results for criterion where a continuous improvement has been recorded</w:t>
      </w:r>
    </w:p>
    <w:p w14:paraId="6A7CBEE7"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EB49549"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0CFE4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26D01" w14:paraId="2C73A00F" w14:textId="77777777">
        <w:tc>
          <w:tcPr>
            <w:tcW w:w="0" w:type="auto"/>
          </w:tcPr>
          <w:p w14:paraId="427F65D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D03D6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1D0B67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B732E" w14:textId="77777777" w:rsidR="00DA69B9" w:rsidRDefault="00DA69B9">
      <w:r>
        <w:separator/>
      </w:r>
    </w:p>
  </w:endnote>
  <w:endnote w:type="continuationSeparator" w:id="0">
    <w:p w14:paraId="1E3E0175" w14:textId="77777777" w:rsidR="00DA69B9" w:rsidRDefault="00DA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CF7E" w14:textId="77777777" w:rsidR="00000000" w:rsidRDefault="00000000">
    <w:pPr>
      <w:pStyle w:val="Footer"/>
    </w:pPr>
  </w:p>
  <w:p w14:paraId="751CC027" w14:textId="77777777" w:rsidR="00000000" w:rsidRDefault="00000000"/>
  <w:p w14:paraId="6B049EE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EC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Hillview Trust Incorporated - Hillview Home and Hospital</w:t>
    </w:r>
    <w:bookmarkEnd w:id="59"/>
    <w:r>
      <w:rPr>
        <w:rFonts w:cs="Arial"/>
        <w:sz w:val="16"/>
        <w:szCs w:val="20"/>
      </w:rPr>
      <w:tab/>
      <w:t xml:space="preserve">Date of Audit: </w:t>
    </w:r>
    <w:bookmarkStart w:id="60" w:name="AuditStartDate1"/>
    <w:r>
      <w:rPr>
        <w:rFonts w:cs="Arial"/>
        <w:sz w:val="16"/>
        <w:szCs w:val="20"/>
      </w:rPr>
      <w:t>20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A1A62C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85B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83E6" w14:textId="77777777" w:rsidR="00DA69B9" w:rsidRDefault="00DA69B9">
      <w:r>
        <w:separator/>
      </w:r>
    </w:p>
  </w:footnote>
  <w:footnote w:type="continuationSeparator" w:id="0">
    <w:p w14:paraId="148A619D" w14:textId="77777777" w:rsidR="00DA69B9" w:rsidRDefault="00DA6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65A86" w14:textId="77777777" w:rsidR="00000000" w:rsidRDefault="00000000">
    <w:pPr>
      <w:pStyle w:val="Header"/>
    </w:pPr>
  </w:p>
  <w:p w14:paraId="54CBBD11"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5EA5" w14:textId="77777777" w:rsidR="00000000" w:rsidRDefault="00000000">
    <w:pPr>
      <w:pStyle w:val="Header"/>
    </w:pPr>
  </w:p>
  <w:p w14:paraId="05C1A37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C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42C0480">
      <w:start w:val="1"/>
      <w:numFmt w:val="decimal"/>
      <w:lvlText w:val="%1."/>
      <w:lvlJc w:val="left"/>
      <w:pPr>
        <w:ind w:left="360" w:hanging="360"/>
      </w:pPr>
    </w:lvl>
    <w:lvl w:ilvl="1" w:tplc="13504B74" w:tentative="1">
      <w:start w:val="1"/>
      <w:numFmt w:val="lowerLetter"/>
      <w:lvlText w:val="%2."/>
      <w:lvlJc w:val="left"/>
      <w:pPr>
        <w:ind w:left="1080" w:hanging="360"/>
      </w:pPr>
    </w:lvl>
    <w:lvl w:ilvl="2" w:tplc="090C8CB8" w:tentative="1">
      <w:start w:val="1"/>
      <w:numFmt w:val="lowerRoman"/>
      <w:lvlText w:val="%3."/>
      <w:lvlJc w:val="right"/>
      <w:pPr>
        <w:ind w:left="1800" w:hanging="180"/>
      </w:pPr>
    </w:lvl>
    <w:lvl w:ilvl="3" w:tplc="E62CD978" w:tentative="1">
      <w:start w:val="1"/>
      <w:numFmt w:val="decimal"/>
      <w:lvlText w:val="%4."/>
      <w:lvlJc w:val="left"/>
      <w:pPr>
        <w:ind w:left="2520" w:hanging="360"/>
      </w:pPr>
    </w:lvl>
    <w:lvl w:ilvl="4" w:tplc="8E7A6F56" w:tentative="1">
      <w:start w:val="1"/>
      <w:numFmt w:val="lowerLetter"/>
      <w:lvlText w:val="%5."/>
      <w:lvlJc w:val="left"/>
      <w:pPr>
        <w:ind w:left="3240" w:hanging="360"/>
      </w:pPr>
    </w:lvl>
    <w:lvl w:ilvl="5" w:tplc="A75C1438" w:tentative="1">
      <w:start w:val="1"/>
      <w:numFmt w:val="lowerRoman"/>
      <w:lvlText w:val="%6."/>
      <w:lvlJc w:val="right"/>
      <w:pPr>
        <w:ind w:left="3960" w:hanging="180"/>
      </w:pPr>
    </w:lvl>
    <w:lvl w:ilvl="6" w:tplc="ED22DDBA" w:tentative="1">
      <w:start w:val="1"/>
      <w:numFmt w:val="decimal"/>
      <w:lvlText w:val="%7."/>
      <w:lvlJc w:val="left"/>
      <w:pPr>
        <w:ind w:left="4680" w:hanging="360"/>
      </w:pPr>
    </w:lvl>
    <w:lvl w:ilvl="7" w:tplc="A802E0C4" w:tentative="1">
      <w:start w:val="1"/>
      <w:numFmt w:val="lowerLetter"/>
      <w:lvlText w:val="%8."/>
      <w:lvlJc w:val="left"/>
      <w:pPr>
        <w:ind w:left="5400" w:hanging="360"/>
      </w:pPr>
    </w:lvl>
    <w:lvl w:ilvl="8" w:tplc="561CCB9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EAC057A">
      <w:start w:val="1"/>
      <w:numFmt w:val="bullet"/>
      <w:lvlText w:val=""/>
      <w:lvlJc w:val="left"/>
      <w:pPr>
        <w:ind w:left="720" w:hanging="360"/>
      </w:pPr>
      <w:rPr>
        <w:rFonts w:ascii="Symbol" w:hAnsi="Symbol" w:hint="default"/>
      </w:rPr>
    </w:lvl>
    <w:lvl w:ilvl="1" w:tplc="97D41096" w:tentative="1">
      <w:start w:val="1"/>
      <w:numFmt w:val="bullet"/>
      <w:lvlText w:val="o"/>
      <w:lvlJc w:val="left"/>
      <w:pPr>
        <w:ind w:left="1440" w:hanging="360"/>
      </w:pPr>
      <w:rPr>
        <w:rFonts w:ascii="Courier New" w:hAnsi="Courier New" w:cs="Courier New" w:hint="default"/>
      </w:rPr>
    </w:lvl>
    <w:lvl w:ilvl="2" w:tplc="8BF226EC" w:tentative="1">
      <w:start w:val="1"/>
      <w:numFmt w:val="bullet"/>
      <w:lvlText w:val=""/>
      <w:lvlJc w:val="left"/>
      <w:pPr>
        <w:ind w:left="2160" w:hanging="360"/>
      </w:pPr>
      <w:rPr>
        <w:rFonts w:ascii="Wingdings" w:hAnsi="Wingdings" w:hint="default"/>
      </w:rPr>
    </w:lvl>
    <w:lvl w:ilvl="3" w:tplc="850A666E" w:tentative="1">
      <w:start w:val="1"/>
      <w:numFmt w:val="bullet"/>
      <w:lvlText w:val=""/>
      <w:lvlJc w:val="left"/>
      <w:pPr>
        <w:ind w:left="2880" w:hanging="360"/>
      </w:pPr>
      <w:rPr>
        <w:rFonts w:ascii="Symbol" w:hAnsi="Symbol" w:hint="default"/>
      </w:rPr>
    </w:lvl>
    <w:lvl w:ilvl="4" w:tplc="F0069490" w:tentative="1">
      <w:start w:val="1"/>
      <w:numFmt w:val="bullet"/>
      <w:lvlText w:val="o"/>
      <w:lvlJc w:val="left"/>
      <w:pPr>
        <w:ind w:left="3600" w:hanging="360"/>
      </w:pPr>
      <w:rPr>
        <w:rFonts w:ascii="Courier New" w:hAnsi="Courier New" w:cs="Courier New" w:hint="default"/>
      </w:rPr>
    </w:lvl>
    <w:lvl w:ilvl="5" w:tplc="F6188C78" w:tentative="1">
      <w:start w:val="1"/>
      <w:numFmt w:val="bullet"/>
      <w:lvlText w:val=""/>
      <w:lvlJc w:val="left"/>
      <w:pPr>
        <w:ind w:left="4320" w:hanging="360"/>
      </w:pPr>
      <w:rPr>
        <w:rFonts w:ascii="Wingdings" w:hAnsi="Wingdings" w:hint="default"/>
      </w:rPr>
    </w:lvl>
    <w:lvl w:ilvl="6" w:tplc="49547AC2" w:tentative="1">
      <w:start w:val="1"/>
      <w:numFmt w:val="bullet"/>
      <w:lvlText w:val=""/>
      <w:lvlJc w:val="left"/>
      <w:pPr>
        <w:ind w:left="5040" w:hanging="360"/>
      </w:pPr>
      <w:rPr>
        <w:rFonts w:ascii="Symbol" w:hAnsi="Symbol" w:hint="default"/>
      </w:rPr>
    </w:lvl>
    <w:lvl w:ilvl="7" w:tplc="CD98E94C" w:tentative="1">
      <w:start w:val="1"/>
      <w:numFmt w:val="bullet"/>
      <w:lvlText w:val="o"/>
      <w:lvlJc w:val="left"/>
      <w:pPr>
        <w:ind w:left="5760" w:hanging="360"/>
      </w:pPr>
      <w:rPr>
        <w:rFonts w:ascii="Courier New" w:hAnsi="Courier New" w:cs="Courier New" w:hint="default"/>
      </w:rPr>
    </w:lvl>
    <w:lvl w:ilvl="8" w:tplc="B3D8056C" w:tentative="1">
      <w:start w:val="1"/>
      <w:numFmt w:val="bullet"/>
      <w:lvlText w:val=""/>
      <w:lvlJc w:val="left"/>
      <w:pPr>
        <w:ind w:left="6480" w:hanging="360"/>
      </w:pPr>
      <w:rPr>
        <w:rFonts w:ascii="Wingdings" w:hAnsi="Wingdings" w:hint="default"/>
      </w:rPr>
    </w:lvl>
  </w:abstractNum>
  <w:num w:numId="1" w16cid:durableId="779421873">
    <w:abstractNumId w:val="1"/>
  </w:num>
  <w:num w:numId="2" w16cid:durableId="1373772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01"/>
    <w:rsid w:val="006670D3"/>
    <w:rsid w:val="007B6F95"/>
    <w:rsid w:val="00826D01"/>
    <w:rsid w:val="0085184B"/>
    <w:rsid w:val="00AC076C"/>
    <w:rsid w:val="00DA69B9"/>
    <w:rsid w:val="00F231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AD72C"/>
  <w15:docId w15:val="{53346730-992F-4845-B9C9-32F8D0EA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6599</Words>
  <Characters>37615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6</cp:revision>
  <dcterms:created xsi:type="dcterms:W3CDTF">2024-12-19T18:55:00Z</dcterms:created>
  <dcterms:modified xsi:type="dcterms:W3CDTF">2024-12-19T19:07:00Z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