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11E5" w14:textId="77777777" w:rsidR="00000000" w:rsidRDefault="00000000">
      <w:pPr>
        <w:pStyle w:val="Heading1"/>
        <w:rPr>
          <w:rFonts w:cs="Arial"/>
        </w:rPr>
      </w:pPr>
      <w:bookmarkStart w:id="0" w:name="PRMS_RIName"/>
      <w:r>
        <w:rPr>
          <w:rFonts w:cs="Arial"/>
        </w:rPr>
        <w:t>Heritage Lifecare Limited - Rosewood Rest Home &amp; Hospital</w:t>
      </w:r>
      <w:bookmarkEnd w:id="0"/>
    </w:p>
    <w:p w14:paraId="7FCE6823" w14:textId="77777777" w:rsidR="00000000" w:rsidRDefault="00000000">
      <w:pPr>
        <w:pStyle w:val="Heading2"/>
        <w:spacing w:after="0"/>
        <w:rPr>
          <w:rFonts w:cs="Arial"/>
        </w:rPr>
      </w:pPr>
      <w:r>
        <w:rPr>
          <w:rFonts w:cs="Arial"/>
        </w:rPr>
        <w:t>Introduction</w:t>
      </w:r>
    </w:p>
    <w:p w14:paraId="2C7E00C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8F081B8"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DAD6F3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190AF7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6A7D57F" w14:textId="77777777" w:rsidR="00000000" w:rsidRDefault="00000000">
      <w:pPr>
        <w:spacing w:before="240" w:after="240"/>
        <w:rPr>
          <w:rFonts w:cs="Arial"/>
          <w:lang w:eastAsia="en-NZ"/>
        </w:rPr>
      </w:pPr>
      <w:r>
        <w:rPr>
          <w:rFonts w:cs="Arial"/>
          <w:lang w:eastAsia="en-NZ"/>
        </w:rPr>
        <w:t>The specifics of this audit included:</w:t>
      </w:r>
    </w:p>
    <w:p w14:paraId="4FB6599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1985B7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6CF8A02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Rosewood Rest Home &amp; Hospital</w:t>
      </w:r>
      <w:bookmarkEnd w:id="5"/>
    </w:p>
    <w:p w14:paraId="192477B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Dementia care</w:t>
      </w:r>
      <w:bookmarkEnd w:id="6"/>
    </w:p>
    <w:p w14:paraId="2711A46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November 2024</w:t>
      </w:r>
      <w:bookmarkEnd w:id="7"/>
      <w:r w:rsidRPr="009418D4">
        <w:rPr>
          <w:rFonts w:cs="Arial"/>
        </w:rPr>
        <w:tab/>
        <w:t xml:space="preserve">End date: </w:t>
      </w:r>
      <w:bookmarkStart w:id="8" w:name="AuditEndDate"/>
      <w:r>
        <w:rPr>
          <w:rFonts w:cs="Arial"/>
        </w:rPr>
        <w:t>8 November 2024</w:t>
      </w:r>
      <w:bookmarkEnd w:id="8"/>
    </w:p>
    <w:p w14:paraId="6ADC3BE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DF43517" w14:textId="77777777" w:rsidR="008A624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60</w:t>
      </w:r>
      <w:bookmarkEnd w:id="10"/>
    </w:p>
    <w:p w14:paraId="3CA5712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1F37934" w14:textId="77777777" w:rsidR="00000000" w:rsidRDefault="00000000">
      <w:pPr>
        <w:pStyle w:val="Heading1"/>
        <w:rPr>
          <w:rFonts w:cs="Arial"/>
        </w:rPr>
      </w:pPr>
      <w:r>
        <w:rPr>
          <w:rFonts w:cs="Arial"/>
        </w:rPr>
        <w:lastRenderedPageBreak/>
        <w:t>Executive summary of the audit</w:t>
      </w:r>
    </w:p>
    <w:p w14:paraId="647DA006" w14:textId="77777777" w:rsidR="00000000" w:rsidRDefault="00000000">
      <w:pPr>
        <w:pStyle w:val="Heading2"/>
        <w:rPr>
          <w:rFonts w:cs="Arial"/>
        </w:rPr>
      </w:pPr>
      <w:r>
        <w:rPr>
          <w:rFonts w:cs="Arial"/>
        </w:rPr>
        <w:t>Introduction</w:t>
      </w:r>
    </w:p>
    <w:p w14:paraId="4270E1B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F910E8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AE6A54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D5FB85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C308F5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DF7E86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A9C860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1CF5C2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B0EAC7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A6248" w14:paraId="1429D00C" w14:textId="77777777">
        <w:trPr>
          <w:cantSplit/>
          <w:tblHeader/>
        </w:trPr>
        <w:tc>
          <w:tcPr>
            <w:tcW w:w="1260" w:type="dxa"/>
            <w:tcBorders>
              <w:bottom w:val="single" w:sz="4" w:space="0" w:color="000000"/>
            </w:tcBorders>
            <w:vAlign w:val="center"/>
          </w:tcPr>
          <w:p w14:paraId="6CFC285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0A3EE1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BF1BE99" w14:textId="77777777" w:rsidR="00000000" w:rsidRDefault="00000000">
            <w:pPr>
              <w:spacing w:before="60" w:after="60"/>
              <w:rPr>
                <w:rFonts w:eastAsia="Calibri"/>
                <w:b/>
                <w:szCs w:val="24"/>
              </w:rPr>
            </w:pPr>
            <w:r>
              <w:rPr>
                <w:rFonts w:eastAsia="Calibri"/>
                <w:b/>
                <w:szCs w:val="24"/>
              </w:rPr>
              <w:t>Definition</w:t>
            </w:r>
          </w:p>
        </w:tc>
      </w:tr>
      <w:tr w:rsidR="008A6248" w14:paraId="5398E9DC" w14:textId="77777777">
        <w:trPr>
          <w:cantSplit/>
          <w:trHeight w:val="964"/>
        </w:trPr>
        <w:tc>
          <w:tcPr>
            <w:tcW w:w="1260" w:type="dxa"/>
            <w:tcBorders>
              <w:bottom w:val="single" w:sz="4" w:space="0" w:color="000000"/>
            </w:tcBorders>
            <w:shd w:val="clear" w:color="0066FF" w:fill="0000FF"/>
            <w:vAlign w:val="center"/>
          </w:tcPr>
          <w:p w14:paraId="231F156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A840CD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6ED95C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A6248" w14:paraId="3B8857A4" w14:textId="77777777">
        <w:trPr>
          <w:cantSplit/>
          <w:trHeight w:val="964"/>
        </w:trPr>
        <w:tc>
          <w:tcPr>
            <w:tcW w:w="1260" w:type="dxa"/>
            <w:shd w:val="clear" w:color="33CC33" w:fill="00FF00"/>
            <w:vAlign w:val="center"/>
          </w:tcPr>
          <w:p w14:paraId="2C507796" w14:textId="77777777" w:rsidR="00000000" w:rsidRDefault="00000000">
            <w:pPr>
              <w:spacing w:before="60" w:after="60"/>
              <w:rPr>
                <w:rFonts w:eastAsia="Calibri"/>
                <w:szCs w:val="24"/>
              </w:rPr>
            </w:pPr>
          </w:p>
        </w:tc>
        <w:tc>
          <w:tcPr>
            <w:tcW w:w="7095" w:type="dxa"/>
            <w:shd w:val="clear" w:color="auto" w:fill="auto"/>
            <w:vAlign w:val="center"/>
          </w:tcPr>
          <w:p w14:paraId="2608871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0334FC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A6248" w14:paraId="275F666E" w14:textId="77777777">
        <w:trPr>
          <w:cantSplit/>
          <w:trHeight w:val="964"/>
        </w:trPr>
        <w:tc>
          <w:tcPr>
            <w:tcW w:w="1260" w:type="dxa"/>
            <w:tcBorders>
              <w:bottom w:val="single" w:sz="4" w:space="0" w:color="000000"/>
            </w:tcBorders>
            <w:shd w:val="clear" w:color="auto" w:fill="FFFF00"/>
            <w:vAlign w:val="center"/>
          </w:tcPr>
          <w:p w14:paraId="7896F9F4" w14:textId="77777777" w:rsidR="00000000" w:rsidRDefault="00000000">
            <w:pPr>
              <w:spacing w:before="60" w:after="60"/>
              <w:rPr>
                <w:rFonts w:eastAsia="Calibri"/>
                <w:szCs w:val="24"/>
              </w:rPr>
            </w:pPr>
          </w:p>
        </w:tc>
        <w:tc>
          <w:tcPr>
            <w:tcW w:w="7095" w:type="dxa"/>
            <w:shd w:val="clear" w:color="auto" w:fill="auto"/>
            <w:vAlign w:val="center"/>
          </w:tcPr>
          <w:p w14:paraId="52FFFB8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160531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A6248" w14:paraId="6401C7EE" w14:textId="77777777">
        <w:trPr>
          <w:cantSplit/>
          <w:trHeight w:val="964"/>
        </w:trPr>
        <w:tc>
          <w:tcPr>
            <w:tcW w:w="1260" w:type="dxa"/>
            <w:tcBorders>
              <w:bottom w:val="single" w:sz="4" w:space="0" w:color="000000"/>
            </w:tcBorders>
            <w:shd w:val="clear" w:color="auto" w:fill="FFC800"/>
            <w:vAlign w:val="center"/>
          </w:tcPr>
          <w:p w14:paraId="11E946B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D4B335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8FCC44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A6248" w14:paraId="4F9F8A22" w14:textId="77777777">
        <w:trPr>
          <w:cantSplit/>
          <w:trHeight w:val="964"/>
        </w:trPr>
        <w:tc>
          <w:tcPr>
            <w:tcW w:w="1260" w:type="dxa"/>
            <w:shd w:val="clear" w:color="auto" w:fill="FF0000"/>
            <w:vAlign w:val="center"/>
          </w:tcPr>
          <w:p w14:paraId="335FD8E4" w14:textId="77777777" w:rsidR="00000000" w:rsidRDefault="00000000">
            <w:pPr>
              <w:spacing w:before="60" w:after="60"/>
              <w:rPr>
                <w:rFonts w:eastAsia="Calibri"/>
                <w:szCs w:val="24"/>
              </w:rPr>
            </w:pPr>
          </w:p>
        </w:tc>
        <w:tc>
          <w:tcPr>
            <w:tcW w:w="7095" w:type="dxa"/>
            <w:shd w:val="clear" w:color="auto" w:fill="auto"/>
            <w:vAlign w:val="center"/>
          </w:tcPr>
          <w:p w14:paraId="7F107E1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6C21B5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68316AA" w14:textId="77777777" w:rsidR="00000000" w:rsidRDefault="00000000">
      <w:pPr>
        <w:pStyle w:val="Heading2"/>
        <w:spacing w:after="0"/>
        <w:rPr>
          <w:rFonts w:cs="Arial"/>
        </w:rPr>
      </w:pPr>
      <w:r>
        <w:rPr>
          <w:rFonts w:cs="Arial"/>
        </w:rPr>
        <w:t>General overview of the audit</w:t>
      </w:r>
    </w:p>
    <w:p w14:paraId="5E094934" w14:textId="77777777" w:rsidR="00000000" w:rsidRDefault="00000000">
      <w:pPr>
        <w:spacing w:before="240" w:line="276" w:lineRule="auto"/>
        <w:rPr>
          <w:rFonts w:eastAsia="Calibri"/>
        </w:rPr>
      </w:pPr>
      <w:bookmarkStart w:id="13" w:name="GeneralOverview"/>
      <w:r w:rsidRPr="00A4268A">
        <w:rPr>
          <w:rFonts w:eastAsia="Calibri"/>
        </w:rPr>
        <w:t>Rosewood Rest Home and Hospital, known as Rosewood Lifecare, is owned and operated by Heritage Lifecare Limited. Rosewood provides rest home dementia care, hospital level care and specialised psychogeriatric services for up to 66 residents. The service is managed by a care home manager, supported by a clinical services manager and senior registered nurses (RNs). Residents and families spoke positively about the care provided.</w:t>
      </w:r>
    </w:p>
    <w:p w14:paraId="254A3ABE" w14:textId="77777777" w:rsidR="008A6248"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members of the governance group managers, staff, and a general practitioner. </w:t>
      </w:r>
    </w:p>
    <w:p w14:paraId="2BBC3F40" w14:textId="77777777" w:rsidR="008A6248" w:rsidRPr="00A4268A" w:rsidRDefault="00000000">
      <w:pPr>
        <w:spacing w:before="240" w:line="276" w:lineRule="auto"/>
        <w:rPr>
          <w:rFonts w:eastAsia="Calibri"/>
        </w:rPr>
      </w:pPr>
      <w:r w:rsidRPr="00A4268A">
        <w:rPr>
          <w:rFonts w:eastAsia="Calibri"/>
        </w:rPr>
        <w:t>Strengths of the service included the commitment of long-serving staff to the residents. The corrective actions required from the previous audit have been addressed, with improvements made to staff training, service planning and recording the effectiveness of medications administered. As a result of this audit, one area for improvement was identified related to the documentation of informed consent.</w:t>
      </w:r>
    </w:p>
    <w:bookmarkEnd w:id="13"/>
    <w:p w14:paraId="6FD344E0" w14:textId="77777777" w:rsidR="008A6248" w:rsidRPr="00A4268A" w:rsidRDefault="008A6248">
      <w:pPr>
        <w:spacing w:before="240" w:line="276" w:lineRule="auto"/>
        <w:rPr>
          <w:rFonts w:eastAsia="Calibri"/>
        </w:rPr>
      </w:pPr>
    </w:p>
    <w:p w14:paraId="1706424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6248" w14:paraId="3CE86682" w14:textId="77777777" w:rsidTr="00A4268A">
        <w:trPr>
          <w:cantSplit/>
        </w:trPr>
        <w:tc>
          <w:tcPr>
            <w:tcW w:w="10206" w:type="dxa"/>
            <w:vAlign w:val="center"/>
          </w:tcPr>
          <w:p w14:paraId="6629963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4741EC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55CCD87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E98F47F"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medium or high risk and/or unattained and of low risk.</w:t>
            </w:r>
          </w:p>
        </w:tc>
      </w:tr>
    </w:tbl>
    <w:p w14:paraId="3AB14FCF" w14:textId="77777777" w:rsidR="00000000" w:rsidRDefault="00000000">
      <w:pPr>
        <w:spacing w:before="240" w:line="276" w:lineRule="auto"/>
        <w:rPr>
          <w:rFonts w:eastAsia="Calibri"/>
        </w:rPr>
      </w:pPr>
      <w:bookmarkStart w:id="16" w:name="ConsumerRights"/>
      <w:r w:rsidRPr="00A4268A">
        <w:rPr>
          <w:rFonts w:eastAsia="Calibri"/>
        </w:rPr>
        <w:t xml:space="preserve">Rosewood works collaboratively to support and encourage a Māori world view of health in service delivery. Māori are provided with equitable and effective services based on Te Tiriti o Waitangi and the principles of mana motuhake. </w:t>
      </w:r>
    </w:p>
    <w:p w14:paraId="3F4F9616" w14:textId="77777777" w:rsidR="008A6248"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6B3D9452" w14:textId="77777777" w:rsidR="008A6248"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and finances of residents were respected. </w:t>
      </w:r>
    </w:p>
    <w:p w14:paraId="346FEED2" w14:textId="77777777" w:rsidR="008A6248"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4529D0D2" w14:textId="77777777" w:rsidR="008A6248"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703CDCA8" w14:textId="77777777" w:rsidR="008A6248" w:rsidRPr="00A4268A" w:rsidRDefault="008A6248">
      <w:pPr>
        <w:spacing w:before="240" w:line="276" w:lineRule="auto"/>
        <w:rPr>
          <w:rFonts w:eastAsia="Calibri"/>
        </w:rPr>
      </w:pPr>
    </w:p>
    <w:p w14:paraId="69EA0719"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6248" w14:paraId="6D5AC596" w14:textId="77777777" w:rsidTr="00A4268A">
        <w:trPr>
          <w:cantSplit/>
        </w:trPr>
        <w:tc>
          <w:tcPr>
            <w:tcW w:w="10206" w:type="dxa"/>
            <w:vAlign w:val="center"/>
          </w:tcPr>
          <w:p w14:paraId="521F43D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47A6F5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80D329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E5AF990"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1324DCB6" w14:textId="77777777" w:rsidR="008A6248"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0833EBF7" w14:textId="77777777" w:rsidR="008A6248"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4AF01EE6" w14:textId="77777777" w:rsidR="008A6248"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were identified and mitigated. </w:t>
      </w:r>
    </w:p>
    <w:p w14:paraId="78DE31EC" w14:textId="77777777" w:rsidR="008A6248"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7F2E18CD" w14:textId="77777777" w:rsidR="008A6248"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267A6A3C" w14:textId="77777777" w:rsidR="008A6248"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414A39B7" w14:textId="77777777" w:rsidR="008A6248" w:rsidRPr="00A4268A" w:rsidRDefault="008A6248">
      <w:pPr>
        <w:spacing w:before="240" w:line="276" w:lineRule="auto"/>
        <w:rPr>
          <w:rFonts w:eastAsia="Calibri"/>
        </w:rPr>
      </w:pPr>
    </w:p>
    <w:p w14:paraId="57950AFA"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6248" w14:paraId="3EA34EC3" w14:textId="77777777" w:rsidTr="00A4268A">
        <w:trPr>
          <w:cantSplit/>
        </w:trPr>
        <w:tc>
          <w:tcPr>
            <w:tcW w:w="10206" w:type="dxa"/>
            <w:vAlign w:val="center"/>
          </w:tcPr>
          <w:p w14:paraId="0BD30F6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B03DD6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E51AE9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A11775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or legal representative to assess, plan and evaluate care. Care plans were individualised and based on comprehensive risk-based assessments. Files reviewed demonstrated that care met the needs of residents and whānau and was evaluated on a regular and timely basis. </w:t>
      </w:r>
    </w:p>
    <w:p w14:paraId="2B1D1389" w14:textId="77777777" w:rsidR="008A6248"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15834610" w14:textId="77777777" w:rsidR="008A6248"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68239EBD" w14:textId="77777777" w:rsidR="008A6248"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398DAB14" w14:textId="77777777" w:rsidR="008A6248" w:rsidRPr="00A4268A" w:rsidRDefault="008A6248" w:rsidP="00621629">
      <w:pPr>
        <w:spacing w:before="240" w:line="276" w:lineRule="auto"/>
        <w:rPr>
          <w:rFonts w:eastAsia="Calibri"/>
        </w:rPr>
      </w:pPr>
    </w:p>
    <w:p w14:paraId="0AE8DFC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6248" w14:paraId="73084ED0" w14:textId="77777777" w:rsidTr="00A4268A">
        <w:trPr>
          <w:cantSplit/>
        </w:trPr>
        <w:tc>
          <w:tcPr>
            <w:tcW w:w="10206" w:type="dxa"/>
            <w:vAlign w:val="center"/>
          </w:tcPr>
          <w:p w14:paraId="22DCBF8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9ABDA9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0EE5A3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0C48969"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was tested as required.</w:t>
      </w:r>
    </w:p>
    <w:bookmarkEnd w:id="25"/>
    <w:p w14:paraId="2ED840C3" w14:textId="77777777" w:rsidR="008A6248" w:rsidRPr="00A4268A" w:rsidRDefault="008A6248">
      <w:pPr>
        <w:spacing w:before="240" w:line="276" w:lineRule="auto"/>
        <w:rPr>
          <w:rFonts w:eastAsia="Calibri"/>
        </w:rPr>
      </w:pPr>
    </w:p>
    <w:p w14:paraId="3939347C"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6248" w14:paraId="75F1C70B" w14:textId="77777777" w:rsidTr="00A4268A">
        <w:trPr>
          <w:cantSplit/>
        </w:trPr>
        <w:tc>
          <w:tcPr>
            <w:tcW w:w="10206" w:type="dxa"/>
            <w:vAlign w:val="center"/>
          </w:tcPr>
          <w:p w14:paraId="629F430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2DA3B8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92B874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76DF4CB"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was reviewed and reported on annually. </w:t>
      </w:r>
    </w:p>
    <w:p w14:paraId="3054FD11" w14:textId="77777777" w:rsidR="008A6248"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477D4F8A" w14:textId="77777777" w:rsidR="008A6248"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2D613D39" w14:textId="77777777" w:rsidR="008A6248" w:rsidRPr="00A4268A" w:rsidRDefault="008A6248">
      <w:pPr>
        <w:spacing w:before="240" w:line="276" w:lineRule="auto"/>
        <w:rPr>
          <w:rFonts w:eastAsia="Calibri"/>
        </w:rPr>
      </w:pPr>
    </w:p>
    <w:p w14:paraId="0676704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6248" w14:paraId="11E840B8" w14:textId="77777777" w:rsidTr="00A4268A">
        <w:trPr>
          <w:cantSplit/>
        </w:trPr>
        <w:tc>
          <w:tcPr>
            <w:tcW w:w="10206" w:type="dxa"/>
            <w:vAlign w:val="center"/>
          </w:tcPr>
          <w:p w14:paraId="08BD181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952508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5E8E00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6079F33"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was one resident who had a restraint in place at the time of audit, with the required consents and approvals in place.  </w:t>
      </w:r>
    </w:p>
    <w:p w14:paraId="3D731E86" w14:textId="77777777" w:rsidR="008A6248"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alternative interventions, and demonstrated effective practice.</w:t>
      </w:r>
    </w:p>
    <w:bookmarkEnd w:id="31"/>
    <w:p w14:paraId="0466E0F6" w14:textId="77777777" w:rsidR="008A6248" w:rsidRPr="00A4268A" w:rsidRDefault="008A6248">
      <w:pPr>
        <w:spacing w:before="240" w:line="276" w:lineRule="auto"/>
        <w:rPr>
          <w:rFonts w:eastAsia="Calibri"/>
        </w:rPr>
      </w:pPr>
    </w:p>
    <w:p w14:paraId="79D0EE84" w14:textId="77777777" w:rsidR="00000000" w:rsidRDefault="00000000" w:rsidP="000E6E02">
      <w:pPr>
        <w:pStyle w:val="Heading2"/>
        <w:spacing w:before="0"/>
        <w:rPr>
          <w:rFonts w:cs="Arial"/>
        </w:rPr>
      </w:pPr>
      <w:r>
        <w:rPr>
          <w:rFonts w:cs="Arial"/>
        </w:rPr>
        <w:t>Summary of attainment</w:t>
      </w:r>
    </w:p>
    <w:p w14:paraId="5F5B442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A6248" w14:paraId="2C36B2F7" w14:textId="77777777">
        <w:tc>
          <w:tcPr>
            <w:tcW w:w="1384" w:type="dxa"/>
            <w:vAlign w:val="center"/>
          </w:tcPr>
          <w:p w14:paraId="4B524BE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F37D968" w14:textId="77777777" w:rsidR="00000000" w:rsidRDefault="00000000">
            <w:pPr>
              <w:keepNext/>
              <w:spacing w:before="60" w:after="60"/>
              <w:jc w:val="center"/>
              <w:rPr>
                <w:rFonts w:cs="Arial"/>
                <w:b/>
                <w:sz w:val="20"/>
                <w:szCs w:val="20"/>
              </w:rPr>
            </w:pPr>
            <w:r>
              <w:rPr>
                <w:rFonts w:cs="Arial"/>
                <w:b/>
                <w:sz w:val="20"/>
                <w:szCs w:val="20"/>
              </w:rPr>
              <w:t>Continuous Improvement</w:t>
            </w:r>
          </w:p>
          <w:p w14:paraId="0C9C2C7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E63C313" w14:textId="77777777" w:rsidR="00000000" w:rsidRDefault="00000000">
            <w:pPr>
              <w:keepNext/>
              <w:spacing w:before="60" w:after="60"/>
              <w:jc w:val="center"/>
              <w:rPr>
                <w:rFonts w:cs="Arial"/>
                <w:b/>
                <w:sz w:val="20"/>
                <w:szCs w:val="20"/>
              </w:rPr>
            </w:pPr>
            <w:r>
              <w:rPr>
                <w:rFonts w:cs="Arial"/>
                <w:b/>
                <w:sz w:val="20"/>
                <w:szCs w:val="20"/>
              </w:rPr>
              <w:t>Fully Attained</w:t>
            </w:r>
          </w:p>
          <w:p w14:paraId="343F9FE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7E6E96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09568B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EDE185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9583A0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8B75E3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DA6098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5C80D4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6B348F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7023D0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BED5DDE" w14:textId="77777777" w:rsidR="00000000" w:rsidRDefault="00000000">
            <w:pPr>
              <w:keepNext/>
              <w:spacing w:before="60" w:after="60"/>
              <w:jc w:val="center"/>
              <w:rPr>
                <w:rFonts w:cs="Arial"/>
                <w:b/>
                <w:sz w:val="20"/>
                <w:szCs w:val="20"/>
              </w:rPr>
            </w:pPr>
            <w:r>
              <w:rPr>
                <w:rFonts w:cs="Arial"/>
                <w:b/>
                <w:sz w:val="20"/>
                <w:szCs w:val="20"/>
              </w:rPr>
              <w:t>(PA Critical)</w:t>
            </w:r>
          </w:p>
        </w:tc>
      </w:tr>
      <w:tr w:rsidR="008A6248" w14:paraId="12A28B52" w14:textId="77777777">
        <w:tc>
          <w:tcPr>
            <w:tcW w:w="1384" w:type="dxa"/>
            <w:vAlign w:val="center"/>
          </w:tcPr>
          <w:p w14:paraId="497C72B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64AA1A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828CAE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FFCD91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220DA4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164072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5743A9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6F791D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A6248" w14:paraId="28393844" w14:textId="77777777">
        <w:tc>
          <w:tcPr>
            <w:tcW w:w="1384" w:type="dxa"/>
            <w:vAlign w:val="center"/>
          </w:tcPr>
          <w:p w14:paraId="00C794D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3A5E3F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E26FE6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08FA96F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07D1D6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ADDEED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F21564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CF7C47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630482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A6248" w14:paraId="5D49FC73" w14:textId="77777777">
        <w:tc>
          <w:tcPr>
            <w:tcW w:w="1384" w:type="dxa"/>
            <w:vAlign w:val="center"/>
          </w:tcPr>
          <w:p w14:paraId="754D6DB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675F17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5BE790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7356D29" w14:textId="77777777" w:rsidR="00000000" w:rsidRDefault="00000000">
            <w:pPr>
              <w:keepNext/>
              <w:spacing w:before="60" w:after="60"/>
              <w:jc w:val="center"/>
              <w:rPr>
                <w:rFonts w:cs="Arial"/>
                <w:b/>
                <w:sz w:val="20"/>
                <w:szCs w:val="20"/>
              </w:rPr>
            </w:pPr>
            <w:r>
              <w:rPr>
                <w:rFonts w:cs="Arial"/>
                <w:b/>
                <w:sz w:val="20"/>
                <w:szCs w:val="20"/>
              </w:rPr>
              <w:t>Unattained Low Risk</w:t>
            </w:r>
          </w:p>
          <w:p w14:paraId="37A9AE8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398B1A8" w14:textId="77777777" w:rsidR="00000000" w:rsidRDefault="00000000">
            <w:pPr>
              <w:keepNext/>
              <w:spacing w:before="60" w:after="60"/>
              <w:jc w:val="center"/>
              <w:rPr>
                <w:rFonts w:cs="Arial"/>
                <w:b/>
                <w:sz w:val="20"/>
                <w:szCs w:val="20"/>
              </w:rPr>
            </w:pPr>
            <w:r>
              <w:rPr>
                <w:rFonts w:cs="Arial"/>
                <w:b/>
                <w:sz w:val="20"/>
                <w:szCs w:val="20"/>
              </w:rPr>
              <w:t>Unattained Moderate Risk</w:t>
            </w:r>
          </w:p>
          <w:p w14:paraId="13E43A3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59B4FEA" w14:textId="77777777" w:rsidR="00000000" w:rsidRDefault="00000000">
            <w:pPr>
              <w:keepNext/>
              <w:spacing w:before="60" w:after="60"/>
              <w:jc w:val="center"/>
              <w:rPr>
                <w:rFonts w:cs="Arial"/>
                <w:b/>
                <w:sz w:val="20"/>
                <w:szCs w:val="20"/>
              </w:rPr>
            </w:pPr>
            <w:r>
              <w:rPr>
                <w:rFonts w:cs="Arial"/>
                <w:b/>
                <w:sz w:val="20"/>
                <w:szCs w:val="20"/>
              </w:rPr>
              <w:t>Unattained High Risk</w:t>
            </w:r>
          </w:p>
          <w:p w14:paraId="2255935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802F19C" w14:textId="77777777" w:rsidR="00000000" w:rsidRDefault="00000000">
            <w:pPr>
              <w:keepNext/>
              <w:spacing w:before="60" w:after="60"/>
              <w:jc w:val="center"/>
              <w:rPr>
                <w:rFonts w:cs="Arial"/>
                <w:b/>
                <w:sz w:val="20"/>
                <w:szCs w:val="20"/>
              </w:rPr>
            </w:pPr>
            <w:r>
              <w:rPr>
                <w:rFonts w:cs="Arial"/>
                <w:b/>
                <w:sz w:val="20"/>
                <w:szCs w:val="20"/>
              </w:rPr>
              <w:t>Unattained Critical Risk</w:t>
            </w:r>
          </w:p>
          <w:p w14:paraId="33FBC890" w14:textId="77777777" w:rsidR="00000000" w:rsidRDefault="00000000">
            <w:pPr>
              <w:keepNext/>
              <w:spacing w:before="60" w:after="60"/>
              <w:jc w:val="center"/>
              <w:rPr>
                <w:rFonts w:cs="Arial"/>
                <w:b/>
                <w:sz w:val="20"/>
                <w:szCs w:val="20"/>
              </w:rPr>
            </w:pPr>
            <w:r>
              <w:rPr>
                <w:rFonts w:cs="Arial"/>
                <w:b/>
                <w:sz w:val="20"/>
                <w:szCs w:val="20"/>
              </w:rPr>
              <w:t>(UA Critical)</w:t>
            </w:r>
          </w:p>
        </w:tc>
      </w:tr>
      <w:tr w:rsidR="008A6248" w14:paraId="2B9B05B8" w14:textId="77777777">
        <w:tc>
          <w:tcPr>
            <w:tcW w:w="1384" w:type="dxa"/>
            <w:vAlign w:val="center"/>
          </w:tcPr>
          <w:p w14:paraId="7A66B43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11BDBF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4D3ACF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79F45B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44249F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E1D0D7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A6248" w14:paraId="6E2E5275" w14:textId="77777777">
        <w:tc>
          <w:tcPr>
            <w:tcW w:w="1384" w:type="dxa"/>
            <w:vAlign w:val="center"/>
          </w:tcPr>
          <w:p w14:paraId="75373C1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309D6F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B887EA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E6F73A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4B3D2B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1A7672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21E514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0211DE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184421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9E7644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365"/>
        <w:gridCol w:w="7107"/>
      </w:tblGrid>
      <w:tr w:rsidR="008A6248" w14:paraId="0871ABE4" w14:textId="77777777">
        <w:tc>
          <w:tcPr>
            <w:tcW w:w="0" w:type="auto"/>
          </w:tcPr>
          <w:p w14:paraId="3CFF23C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30B77D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A01F71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A6248" w14:paraId="3361F5B5" w14:textId="77777777">
        <w:tc>
          <w:tcPr>
            <w:tcW w:w="0" w:type="auto"/>
          </w:tcPr>
          <w:p w14:paraId="0BDBFE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1C248D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5700D41" w14:textId="77777777" w:rsidR="00000000" w:rsidRPr="00BE00C7" w:rsidRDefault="00000000" w:rsidP="00BE00C7">
            <w:pPr>
              <w:pStyle w:val="OutcomeDescription"/>
              <w:spacing w:before="120" w:after="120"/>
              <w:rPr>
                <w:rFonts w:cs="Arial"/>
                <w:lang w:eastAsia="en-NZ"/>
              </w:rPr>
            </w:pPr>
          </w:p>
        </w:tc>
        <w:tc>
          <w:tcPr>
            <w:tcW w:w="0" w:type="auto"/>
          </w:tcPr>
          <w:p w14:paraId="16B971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46CAA6" w14:textId="77777777" w:rsidR="00000000" w:rsidRPr="00BE00C7" w:rsidRDefault="00000000" w:rsidP="00BE00C7">
            <w:pPr>
              <w:pStyle w:val="OutcomeDescription"/>
              <w:spacing w:before="120" w:after="120"/>
              <w:rPr>
                <w:rFonts w:cs="Arial"/>
                <w:lang w:eastAsia="en-NZ"/>
              </w:rPr>
            </w:pPr>
            <w:r w:rsidRPr="00BE00C7">
              <w:rPr>
                <w:rFonts w:cs="Arial"/>
                <w:lang w:eastAsia="en-NZ"/>
              </w:rPr>
              <w:t>Rosewood Lifecare (Rosewood) Heritage Lifecare Limited (HLL) has developed policies, procedures and processes to embed and enact Te Tiriti o Waitangi in all aspects of its work. There is a Māori Health Plan to guide care delivery when there are Māori being supported by the service. The Māori Health Plan incorporates the Whare Tapa Whā model of care, to ensure mana motuhake (self-determination) is respected. The plan has been developed with input from cultural advisers and can be used for residents who identify as Māori. There were four residents at the time of the audit who identified as Māori.</w:t>
            </w:r>
          </w:p>
          <w:p w14:paraId="2DD92FA0" w14:textId="77777777" w:rsidR="00000000" w:rsidRPr="00BE00C7" w:rsidRDefault="00000000" w:rsidP="00BE00C7">
            <w:pPr>
              <w:pStyle w:val="OutcomeDescription"/>
              <w:spacing w:before="120" w:after="120"/>
              <w:rPr>
                <w:rFonts w:cs="Arial"/>
                <w:lang w:eastAsia="en-NZ"/>
              </w:rPr>
            </w:pPr>
            <w:r w:rsidRPr="00BE00C7">
              <w:rPr>
                <w:rFonts w:cs="Arial"/>
                <w:lang w:eastAsia="en-NZ"/>
              </w:rPr>
              <w:t>Input from Māori is supported through the Māori Network Komiti, a group of Māori employees.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(RNs), and other care workers. There were no staff at the time of audit who identified as Māori.</w:t>
            </w:r>
          </w:p>
          <w:p w14:paraId="0004E7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group provides information through the clinical governance structure (the clinical advisory group) to the board. The service can access support through Te Whatu Ora – Health New Zealand Waitaha Canterbury (Te Whatu Ora </w:t>
            </w:r>
            <w:r w:rsidRPr="00BE00C7">
              <w:rPr>
                <w:rFonts w:cs="Arial"/>
                <w:lang w:eastAsia="en-NZ"/>
              </w:rPr>
              <w:lastRenderedPageBreak/>
              <w:t>Waitaha Canterbury), through local Māori health providers and through its local marae.</w:t>
            </w:r>
          </w:p>
          <w:p w14:paraId="5731827F"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on Te Tiriti o Waitangi and cultural safety are part of the training programme. Staff reported, and documentation evidenced, the training had been provided.</w:t>
            </w:r>
          </w:p>
          <w:p w14:paraId="2168250C" w14:textId="77777777" w:rsidR="00000000" w:rsidRPr="00BE00C7" w:rsidRDefault="00000000" w:rsidP="00BE00C7">
            <w:pPr>
              <w:pStyle w:val="OutcomeDescription"/>
              <w:spacing w:before="120" w:after="120"/>
              <w:rPr>
                <w:rFonts w:cs="Arial"/>
                <w:lang w:eastAsia="en-NZ"/>
              </w:rPr>
            </w:pPr>
          </w:p>
        </w:tc>
      </w:tr>
      <w:tr w:rsidR="008A6248" w14:paraId="5483CE02" w14:textId="77777777">
        <w:tc>
          <w:tcPr>
            <w:tcW w:w="0" w:type="auto"/>
          </w:tcPr>
          <w:p w14:paraId="501BEB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A1385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A007CF6" w14:textId="77777777" w:rsidR="00000000" w:rsidRPr="00BE00C7" w:rsidRDefault="00000000" w:rsidP="00BE00C7">
            <w:pPr>
              <w:pStyle w:val="OutcomeDescription"/>
              <w:spacing w:before="120" w:after="120"/>
              <w:rPr>
                <w:rFonts w:cs="Arial"/>
                <w:lang w:eastAsia="en-NZ"/>
              </w:rPr>
            </w:pPr>
          </w:p>
        </w:tc>
        <w:tc>
          <w:tcPr>
            <w:tcW w:w="0" w:type="auto"/>
          </w:tcPr>
          <w:p w14:paraId="3FC6B6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50100A"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understood the equity issues faced by Pacific peoples and can access guidance from people within the organisation around appropriate care and service for Pasifika. Two members of the executive team identify as Pasifika. They can assist the board to meet their Ngā Paerewa obligations to Pacific peoples.</w:t>
            </w:r>
          </w:p>
          <w:p w14:paraId="2B8437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two staff who identified as Pasifika at the time of the audit. Staff reported, and documentation evidenced, that cultural training had been provided.</w:t>
            </w:r>
          </w:p>
          <w:p w14:paraId="0A45E0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in place which utilises the Fonofale model of care documenting care requirements for Pacific peoples to ensure culturally appropriate services. </w:t>
            </w:r>
          </w:p>
          <w:p w14:paraId="35D423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 has been developed with input from cultural advisers. Rosewood has established access to local Pasifika communities through a cultural advisor. There were no residents who identified as Pasifika at the time of the audit.</w:t>
            </w:r>
          </w:p>
          <w:p w14:paraId="2670E812" w14:textId="77777777" w:rsidR="00000000" w:rsidRPr="00BE00C7" w:rsidRDefault="00000000" w:rsidP="00BE00C7">
            <w:pPr>
              <w:pStyle w:val="OutcomeDescription"/>
              <w:spacing w:before="120" w:after="120"/>
              <w:rPr>
                <w:rFonts w:cs="Arial"/>
                <w:lang w:eastAsia="en-NZ"/>
              </w:rPr>
            </w:pPr>
          </w:p>
        </w:tc>
      </w:tr>
      <w:tr w:rsidR="008A6248" w14:paraId="549E8104" w14:textId="77777777">
        <w:tc>
          <w:tcPr>
            <w:tcW w:w="0" w:type="auto"/>
          </w:tcPr>
          <w:p w14:paraId="5F8309E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11FC1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A488842" w14:textId="77777777" w:rsidR="00000000" w:rsidRPr="00BE00C7" w:rsidRDefault="00000000" w:rsidP="00BE00C7">
            <w:pPr>
              <w:pStyle w:val="OutcomeDescription"/>
              <w:spacing w:before="120" w:after="120"/>
              <w:rPr>
                <w:rFonts w:cs="Arial"/>
                <w:lang w:eastAsia="en-NZ"/>
              </w:rPr>
            </w:pPr>
          </w:p>
        </w:tc>
        <w:tc>
          <w:tcPr>
            <w:tcW w:w="0" w:type="auto"/>
          </w:tcPr>
          <w:p w14:paraId="4BA036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5897E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4DC8885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The code of rights was displayed at the entry of the facility and information included in the admission pack provided to residents and their whānau or legal representative.</w:t>
            </w:r>
          </w:p>
          <w:p w14:paraId="2122F1AF" w14:textId="77777777" w:rsidR="00000000" w:rsidRPr="00BE00C7" w:rsidRDefault="00000000" w:rsidP="00BE00C7">
            <w:pPr>
              <w:pStyle w:val="OutcomeDescription"/>
              <w:spacing w:before="120" w:after="120"/>
              <w:rPr>
                <w:rFonts w:cs="Arial"/>
                <w:lang w:eastAsia="en-NZ"/>
              </w:rPr>
            </w:pPr>
          </w:p>
        </w:tc>
      </w:tr>
      <w:tr w:rsidR="008A6248" w14:paraId="4C1FED3C" w14:textId="77777777">
        <w:tc>
          <w:tcPr>
            <w:tcW w:w="0" w:type="auto"/>
          </w:tcPr>
          <w:p w14:paraId="5FC86A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6A571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40FE8B6" w14:textId="77777777" w:rsidR="00000000" w:rsidRPr="00BE00C7" w:rsidRDefault="00000000" w:rsidP="00BE00C7">
            <w:pPr>
              <w:pStyle w:val="OutcomeDescription"/>
              <w:spacing w:before="120" w:after="120"/>
              <w:rPr>
                <w:rFonts w:cs="Arial"/>
                <w:lang w:eastAsia="en-NZ"/>
              </w:rPr>
            </w:pPr>
          </w:p>
        </w:tc>
        <w:tc>
          <w:tcPr>
            <w:tcW w:w="0" w:type="auto"/>
          </w:tcPr>
          <w:p w14:paraId="615F6B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B0CD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and/or harassment identified during the audit through staff, resident and whānau interviews, or in documentation reviewed. </w:t>
            </w:r>
          </w:p>
          <w:p w14:paraId="2DC251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Whānau, Enduring Power of Attorney (EPOA) and residents interviewed reported that their property is respected. Facility policy and processes ensure resident finances are protected and staff do not handle residents’ money. </w:t>
            </w:r>
          </w:p>
          <w:p w14:paraId="12CC0553"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w:t>
            </w:r>
          </w:p>
          <w:p w14:paraId="37F4F9CD" w14:textId="77777777" w:rsidR="00000000" w:rsidRPr="00BE00C7" w:rsidRDefault="00000000" w:rsidP="00BE00C7">
            <w:pPr>
              <w:pStyle w:val="OutcomeDescription"/>
              <w:spacing w:before="120" w:after="120"/>
              <w:rPr>
                <w:rFonts w:cs="Arial"/>
                <w:lang w:eastAsia="en-NZ"/>
              </w:rPr>
            </w:pPr>
          </w:p>
        </w:tc>
      </w:tr>
      <w:tr w:rsidR="008A6248" w14:paraId="0579E970" w14:textId="77777777">
        <w:tc>
          <w:tcPr>
            <w:tcW w:w="0" w:type="auto"/>
          </w:tcPr>
          <w:p w14:paraId="7FDD06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D586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3B6D9AD" w14:textId="77777777" w:rsidR="00000000" w:rsidRPr="00BE00C7" w:rsidRDefault="00000000" w:rsidP="00BE00C7">
            <w:pPr>
              <w:pStyle w:val="OutcomeDescription"/>
              <w:spacing w:before="120" w:after="120"/>
              <w:rPr>
                <w:rFonts w:cs="Arial"/>
                <w:lang w:eastAsia="en-NZ"/>
              </w:rPr>
            </w:pPr>
          </w:p>
        </w:tc>
        <w:tc>
          <w:tcPr>
            <w:tcW w:w="0" w:type="auto"/>
          </w:tcPr>
          <w:p w14:paraId="38C9927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804F08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legal representative are provided with the information necessary to make informed decisions in line with the Code. Those interviewed, including residents, EPOA and whānau, felt empowered to actively participate in decision-making.</w:t>
            </w:r>
          </w:p>
          <w:p w14:paraId="608BD982"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Policy describes consent process and advance directives, including resuscitation status, were well documented. However, documented consents for agreement of care were not sighted in all resident files reviewed; refer criterion 1.7.5.</w:t>
            </w:r>
          </w:p>
          <w:p w14:paraId="70243D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obtaining verbal consents from residents prior to cares, and this was confirmed in resident and whānau/EPOA interviews. </w:t>
            </w:r>
          </w:p>
          <w:p w14:paraId="3948BF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 the secure dementia unit or specialised psychogeriatric unit either have a documented EPOA or welfare guardian on file that has been activated by an appropriate medical practitioner, or, in the case of three residents, an application has been made to the courts for a welfare guardian to be appointed.  </w:t>
            </w:r>
          </w:p>
          <w:p w14:paraId="36D43173" w14:textId="77777777" w:rsidR="00000000" w:rsidRPr="00BE00C7" w:rsidRDefault="00000000" w:rsidP="00BE00C7">
            <w:pPr>
              <w:pStyle w:val="OutcomeDescription"/>
              <w:spacing w:before="120" w:after="120"/>
              <w:rPr>
                <w:rFonts w:cs="Arial"/>
                <w:lang w:eastAsia="en-NZ"/>
              </w:rPr>
            </w:pPr>
          </w:p>
        </w:tc>
      </w:tr>
      <w:tr w:rsidR="008A6248" w14:paraId="289A5E66" w14:textId="77777777">
        <w:tc>
          <w:tcPr>
            <w:tcW w:w="0" w:type="auto"/>
          </w:tcPr>
          <w:p w14:paraId="30FD2D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BBFC4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w:t>
            </w:r>
            <w:r w:rsidRPr="00BE00C7">
              <w:rPr>
                <w:rFonts w:cs="Arial"/>
                <w:lang w:eastAsia="en-NZ"/>
              </w:rPr>
              <w:lastRenderedPageBreak/>
              <w:t>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6F49B24" w14:textId="77777777" w:rsidR="00000000" w:rsidRPr="00BE00C7" w:rsidRDefault="00000000" w:rsidP="00BE00C7">
            <w:pPr>
              <w:pStyle w:val="OutcomeDescription"/>
              <w:spacing w:before="120" w:after="120"/>
              <w:rPr>
                <w:rFonts w:cs="Arial"/>
                <w:lang w:eastAsia="en-NZ"/>
              </w:rPr>
            </w:pPr>
          </w:p>
        </w:tc>
        <w:tc>
          <w:tcPr>
            <w:tcW w:w="0" w:type="auto"/>
          </w:tcPr>
          <w:p w14:paraId="70F072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5F71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requirements of The Code of Health and Disability Services Consumers’ Rights (the Code). Residents presented with varying levels of capacity and were supported, along with their family/whānau and advocates, to understand their right to </w:t>
            </w:r>
            <w:r w:rsidRPr="00BE00C7">
              <w:rPr>
                <w:rFonts w:cs="Arial"/>
                <w:lang w:eastAsia="en-NZ"/>
              </w:rPr>
              <w:lastRenderedPageBreak/>
              <w:t>make a complaint and how to do so. Complaint forms and a complaint box were at reception. The Code was available in te reo Māori and English.</w:t>
            </w:r>
          </w:p>
          <w:p w14:paraId="0F9741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(CHM) is responsible for complaints management and follow-up, with oversight and support from the national quality manager as required. Complaint records showed that there had been two complaints received since the last audit. Each of these complaints was from families, and records showed that these were proactively managed in line with the requirements of the Code. There is one long-standing complaint from the Health and Disability Commission (HDC) that remains open. Requested information has been provided to HDC, and the management of the complaint is now being handled by HLL’s quality manager. </w:t>
            </w:r>
          </w:p>
          <w:p w14:paraId="38C30E50" w14:textId="77777777" w:rsidR="00000000" w:rsidRPr="00BE00C7" w:rsidRDefault="00000000" w:rsidP="00BE00C7">
            <w:pPr>
              <w:pStyle w:val="OutcomeDescription"/>
              <w:spacing w:before="120" w:after="120"/>
              <w:rPr>
                <w:rFonts w:cs="Arial"/>
                <w:lang w:eastAsia="en-NZ"/>
              </w:rPr>
            </w:pPr>
            <w:r w:rsidRPr="00BE00C7">
              <w:rPr>
                <w:rFonts w:cs="Arial"/>
                <w:lang w:eastAsia="en-NZ"/>
              </w:rPr>
              <w:t>No other complaints have been received from the Health and Disability Commissioner, Te Whatu Ora – Health New Zealand Waitaha Canterbury or Manatū Hauroa since the last audit. The CHM reported, and documentation evidenced, that a translator would be available to support people if needed. Processes are in place to ensure the complaint process works equitably for Māori, but there was no evidence that any complaints had been received by Māori to date.</w:t>
            </w:r>
          </w:p>
          <w:p w14:paraId="2E08F48C" w14:textId="77777777" w:rsidR="00000000" w:rsidRPr="00BE00C7" w:rsidRDefault="00000000" w:rsidP="00BE00C7">
            <w:pPr>
              <w:pStyle w:val="OutcomeDescription"/>
              <w:spacing w:before="120" w:after="120"/>
              <w:rPr>
                <w:rFonts w:cs="Arial"/>
                <w:lang w:eastAsia="en-NZ"/>
              </w:rPr>
            </w:pPr>
          </w:p>
        </w:tc>
      </w:tr>
      <w:tr w:rsidR="008A6248" w14:paraId="17E41FDD" w14:textId="77777777">
        <w:tc>
          <w:tcPr>
            <w:tcW w:w="0" w:type="auto"/>
          </w:tcPr>
          <w:p w14:paraId="45244A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C3B48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96477ED" w14:textId="77777777" w:rsidR="00000000" w:rsidRPr="00BE00C7" w:rsidRDefault="00000000" w:rsidP="00BE00C7">
            <w:pPr>
              <w:pStyle w:val="OutcomeDescription"/>
              <w:spacing w:before="120" w:after="120"/>
              <w:rPr>
                <w:rFonts w:cs="Arial"/>
                <w:lang w:eastAsia="en-NZ"/>
              </w:rPr>
            </w:pPr>
          </w:p>
        </w:tc>
        <w:tc>
          <w:tcPr>
            <w:tcW w:w="0" w:type="auto"/>
          </w:tcPr>
          <w:p w14:paraId="0E5993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756A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Limited (HLL) is the governing body for 42 aged-care facilities across New Zealand.  A three-member board of directors is appointed by shareholders, who determine the skills required and the size of the board. Plans are in place for HLL’s existing CEO to become chairperson of the HLL board in the new year. Processes are in place to appoint a new CEO to lead HLL’s operations. </w:t>
            </w:r>
          </w:p>
          <w:p w14:paraId="3C85CB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through supporting meaningful inclusion of Māori and Pasifika in governance groups, honouring Te Tiriti o Waitangi and being focused on improving outcomes for Māori, Pasifika and tāngata whaikaha. Heritage Lifecare has a legal team who monitor changes to legislative and clinical requirements and have access to domestic and international legal advice. Information garnered from these sources translates into policy and procedure. </w:t>
            </w:r>
          </w:p>
          <w:p w14:paraId="73DD39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a strategic plan in place which outlines the organisation’s structure, purpose, values, scope, direction, performance and goals. The plan incorporates the Ngā Paerewa Standard in relation to </w:t>
            </w:r>
            <w:r w:rsidRPr="00BE00C7">
              <w:rPr>
                <w:rFonts w:cs="Arial"/>
                <w:lang w:eastAsia="en-NZ"/>
              </w:rPr>
              <w:lastRenderedPageBreak/>
              <w:t>antimicrobial stewardship (AMS) and restraint elimination across ethnicity. Ethnicity data is collected to support equitable service delivery. Heritage Lifecare also utilises the skills of staff and senior managers and supports them in making sure barriers to equitable service delivery are surmounted.</w:t>
            </w:r>
          </w:p>
          <w:p w14:paraId="08E3A1F7" w14:textId="77777777" w:rsidR="00000000" w:rsidRPr="00BE00C7" w:rsidRDefault="00000000" w:rsidP="00BE00C7">
            <w:pPr>
              <w:pStyle w:val="OutcomeDescription"/>
              <w:spacing w:before="120" w:after="120"/>
              <w:rPr>
                <w:rFonts w:cs="Arial"/>
                <w:lang w:eastAsia="en-NZ"/>
              </w:rPr>
            </w:pPr>
            <w:r w:rsidRPr="00BE00C7">
              <w:rPr>
                <w:rFonts w:cs="Arial"/>
                <w:lang w:eastAsia="en-NZ"/>
              </w:rPr>
              <w:t>Rosewood Lifecare’s business plan was sighted and is reviewed quarterly by the CHM and the regional operations manager. The clinical team are guided by the clinical governance policy and the clinical services manager (CSM). The CSM has experience in the aged residential care sector and has been in the role for one year. They oversee clinical care, and monitor, discuss and report on clinical indicators, including medication errors, complaints, compliments, falls, pressure injuries and infections. A sample of their monthly reports were sighted.</w:t>
            </w:r>
          </w:p>
          <w:p w14:paraId="1FC93136" w14:textId="77777777" w:rsidR="00000000" w:rsidRPr="00BE00C7" w:rsidRDefault="00000000" w:rsidP="00BE00C7">
            <w:pPr>
              <w:pStyle w:val="OutcomeDescription"/>
              <w:spacing w:before="120" w:after="120"/>
              <w:rPr>
                <w:rFonts w:cs="Arial"/>
                <w:lang w:eastAsia="en-NZ"/>
              </w:rPr>
            </w:pPr>
            <w:r w:rsidRPr="00BE00C7">
              <w:rPr>
                <w:rFonts w:cs="Arial"/>
                <w:lang w:eastAsia="en-NZ"/>
              </w:rPr>
              <w:t>Rosewood Lifecare has 66 beds, and provides services from three separate units, each focused on providing a particular level of care. The service holds contracts with Te Whatu Ora Waitaha Canterbury to provide rest home level dementia care, hospital level care, including medical and psychogeriatric care, respite care and long-term chronic health conditions. On the day of the audit, Rosewood Lifecare was supporting 60 residents, with 22 people receiving dementia level care in the Totara unit, 20 people were receiving hospital level care in the Rata unit and 18 people were receiving psychogeriatric support in the Rimu unit. One person receiving hospital level care was funded through mental health services, and no one was receiving respite care on the day of the audit.</w:t>
            </w:r>
          </w:p>
          <w:p w14:paraId="0471AC1A" w14:textId="77777777" w:rsidR="00000000" w:rsidRPr="00BE00C7" w:rsidRDefault="00000000" w:rsidP="00BE00C7">
            <w:pPr>
              <w:pStyle w:val="OutcomeDescription"/>
              <w:spacing w:before="120" w:after="120"/>
              <w:rPr>
                <w:rFonts w:cs="Arial"/>
                <w:lang w:eastAsia="en-NZ"/>
              </w:rPr>
            </w:pPr>
          </w:p>
        </w:tc>
      </w:tr>
      <w:tr w:rsidR="008A6248" w14:paraId="0898EA17" w14:textId="77777777">
        <w:tc>
          <w:tcPr>
            <w:tcW w:w="0" w:type="auto"/>
          </w:tcPr>
          <w:p w14:paraId="25A720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7979A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w:t>
            </w:r>
            <w:r w:rsidRPr="00BE00C7">
              <w:rPr>
                <w:rFonts w:cs="Arial"/>
                <w:lang w:eastAsia="en-NZ"/>
              </w:rPr>
              <w:lastRenderedPageBreak/>
              <w:t>these systems meet the needs of people using the services and our health care and support workers.</w:t>
            </w:r>
          </w:p>
          <w:p w14:paraId="2E03C1D1" w14:textId="77777777" w:rsidR="00000000" w:rsidRPr="00BE00C7" w:rsidRDefault="00000000" w:rsidP="00BE00C7">
            <w:pPr>
              <w:pStyle w:val="OutcomeDescription"/>
              <w:spacing w:before="120" w:after="120"/>
              <w:rPr>
                <w:rFonts w:cs="Arial"/>
                <w:lang w:eastAsia="en-NZ"/>
              </w:rPr>
            </w:pPr>
          </w:p>
        </w:tc>
        <w:tc>
          <w:tcPr>
            <w:tcW w:w="0" w:type="auto"/>
          </w:tcPr>
          <w:p w14:paraId="612F2B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9ACB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w:t>
            </w:r>
          </w:p>
          <w:p w14:paraId="728A69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family/whānau and staff contribute to quality improvement through meetings, surveys, using suggestion boxes or talking with the CHM. The results of the family/whānau survey, and the associated analysis, were reviewed. Corrective action plans had been put in place to address identified areas requiring improvement. The corrective action from the previous audit </w:t>
            </w:r>
            <w:r w:rsidRPr="00BE00C7">
              <w:rPr>
                <w:rFonts w:cs="Arial"/>
                <w:lang w:eastAsia="en-NZ"/>
              </w:rPr>
              <w:lastRenderedPageBreak/>
              <w:t xml:space="preserve">regarding resident and whānau participation in service planning (criterion 2.2.1), has now been closed. </w:t>
            </w:r>
          </w:p>
          <w:p w14:paraId="430B57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 internal audits schedule was sighted. Completed audits include cleaning, laundry, infection prevention, kitchen, meal satisfaction, care planning and the environment. Internal audit results were reported at the staff meetings, and health and safety meetings. These forums are used to review and evaluate progress against established quality outcomes. Where required, corrective action plans were developed and evidence of these were sighted. Each corrective action plan included the area of focus, the improvement action required, the timeframe and the person responsible. Once the corrective action plan had been fully completed, it was signed off by the CHM to document that the issue has been resolved. </w:t>
            </w:r>
          </w:p>
          <w:p w14:paraId="252A1B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ensures staff can deliver high quality health care for Māori through, for example, training including cultural safety training, cultural assessments and care plans.</w:t>
            </w:r>
          </w:p>
          <w:p w14:paraId="5B6D09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described the processes for the identification, documentation, monitoring, review and reporting of risks, including health and safety risks, and development of mitigation strategies. Staff reported at interview that they knew to report risks, and these were reviewed and discussed at staff meetings and at the health and safety meetings.  Staff document adverse and near-miss events in line with the National Adverse Events Reporting Policy. A sample of incidents forms reviewed showed these were fully completed, incidents were investigated, action plans developed, and actions followed up in a timely manner. Evidence was sighted that resident-related incidents are being disclosed with the designated next of kin.</w:t>
            </w:r>
          </w:p>
          <w:p w14:paraId="01017A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clinical service manager (CSM) understood and have complied with essential notification reporting requirements. The Section 31 notifications were sighted, including two for pressure injuries and one for a missing resident. The CHM reported that there have been no police investigations, coroner’s inquests, issues-based audits or employment disputes since the previous audit.</w:t>
            </w:r>
          </w:p>
          <w:p w14:paraId="30BE1E30" w14:textId="77777777" w:rsidR="00000000" w:rsidRPr="00BE00C7" w:rsidRDefault="00000000" w:rsidP="00BE00C7">
            <w:pPr>
              <w:pStyle w:val="OutcomeDescription"/>
              <w:spacing w:before="120" w:after="120"/>
              <w:rPr>
                <w:rFonts w:cs="Arial"/>
                <w:lang w:eastAsia="en-NZ"/>
              </w:rPr>
            </w:pPr>
          </w:p>
        </w:tc>
      </w:tr>
      <w:tr w:rsidR="008A6248" w14:paraId="45131413" w14:textId="77777777">
        <w:tc>
          <w:tcPr>
            <w:tcW w:w="0" w:type="auto"/>
          </w:tcPr>
          <w:p w14:paraId="6D591A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E55EF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1C8D4DB" w14:textId="77777777" w:rsidR="00000000" w:rsidRPr="00BE00C7" w:rsidRDefault="00000000" w:rsidP="00BE00C7">
            <w:pPr>
              <w:pStyle w:val="OutcomeDescription"/>
              <w:spacing w:before="120" w:after="120"/>
              <w:rPr>
                <w:rFonts w:cs="Arial"/>
                <w:lang w:eastAsia="en-NZ"/>
              </w:rPr>
            </w:pPr>
          </w:p>
        </w:tc>
        <w:tc>
          <w:tcPr>
            <w:tcW w:w="0" w:type="auto"/>
          </w:tcPr>
          <w:p w14:paraId="609A7E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E722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A Safe Rostering tool is used, and the facility </w:t>
            </w:r>
            <w:r w:rsidRPr="00BE00C7">
              <w:rPr>
                <w:rFonts w:cs="Arial"/>
                <w:lang w:eastAsia="en-NZ"/>
              </w:rPr>
              <w:lastRenderedPageBreak/>
              <w:t xml:space="preserve">adjusts staffing levels to meet the changing needs of residents. There is a registered nurse, and at least one trained first aider on site 24/7. A review of the fortnightly rosters confirmed adequate staff cover, with any unplanned absences covered by the service’s own casual or permanent staff. </w:t>
            </w:r>
          </w:p>
          <w:p w14:paraId="3B2ACFC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done on site by the caregivers, who provided feedback during interview that this prevented them from engaging with, and doing activities with, residents. Staff were observed to be folding laundry on the day of the audit and activities were observed to be occurring. Residents’ family/whānau and staff interviewed confirmed there were sufficient staff.</w:t>
            </w:r>
          </w:p>
          <w:p w14:paraId="747283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an experienced CHM, who has worked at this facility for five years. The CHM is supported by the CSM, who is an experienced RN, and who has been in the CSM role for the last year. The CHM and the CSM provide afterhours support as required, and staff reported that good access to advice is available when this is needed.   </w:t>
            </w:r>
          </w:p>
          <w:p w14:paraId="6826D1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described the recruitment process, which includes referee checks, police vetting, and validation of qualifications and annual practicing certificates (APCs) where required.  The review of recruitment documentation and employees’ files showed that good employment practices were in place. </w:t>
            </w:r>
          </w:p>
          <w:p w14:paraId="3441890E"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Records reviewed demonstrated completion of the required training and competency assessments, and the corrective action raised at the last audit is now closed. Staff hold Level 2, 3 and 4 New Zealand Qualification Authority (NZQA) education qualifications and have completed or commenced the required dementia training to meet the requirements of the provider’s agreement with Te Whatu Ora.</w:t>
            </w:r>
          </w:p>
          <w:p w14:paraId="5133A378" w14:textId="77777777" w:rsidR="00000000" w:rsidRPr="00BE00C7" w:rsidRDefault="00000000" w:rsidP="00BE00C7">
            <w:pPr>
              <w:pStyle w:val="OutcomeDescription"/>
              <w:spacing w:before="120" w:after="120"/>
              <w:rPr>
                <w:rFonts w:cs="Arial"/>
                <w:lang w:eastAsia="en-NZ"/>
              </w:rPr>
            </w:pPr>
          </w:p>
        </w:tc>
      </w:tr>
      <w:tr w:rsidR="008A6248" w14:paraId="6C45B4C7" w14:textId="77777777">
        <w:tc>
          <w:tcPr>
            <w:tcW w:w="0" w:type="auto"/>
          </w:tcPr>
          <w:p w14:paraId="07F602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3D673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w:t>
            </w:r>
            <w:r w:rsidRPr="00BE00C7">
              <w:rPr>
                <w:rFonts w:cs="Arial"/>
                <w:lang w:eastAsia="en-NZ"/>
              </w:rPr>
              <w:lastRenderedPageBreak/>
              <w:t>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5282673" w14:textId="77777777" w:rsidR="00000000" w:rsidRPr="00BE00C7" w:rsidRDefault="00000000" w:rsidP="00BE00C7">
            <w:pPr>
              <w:pStyle w:val="OutcomeDescription"/>
              <w:spacing w:before="120" w:after="120"/>
              <w:rPr>
                <w:rFonts w:cs="Arial"/>
                <w:lang w:eastAsia="en-NZ"/>
              </w:rPr>
            </w:pPr>
          </w:p>
        </w:tc>
        <w:tc>
          <w:tcPr>
            <w:tcW w:w="0" w:type="auto"/>
          </w:tcPr>
          <w:p w14:paraId="0057ED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50A439"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registrations. Annual practicing certificates sighted were current.</w:t>
            </w:r>
          </w:p>
          <w:p w14:paraId="58B8FE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w:t>
            </w:r>
            <w:r w:rsidRPr="00BE00C7">
              <w:rPr>
                <w:rFonts w:cs="Arial"/>
                <w:lang w:eastAsia="en-NZ"/>
              </w:rPr>
              <w:lastRenderedPageBreak/>
              <w:t>Opportunities to discuss and review performance occurred three months following appointment and yearly thereafter, as confirmed in records reviewed.</w:t>
            </w:r>
          </w:p>
          <w:p w14:paraId="4C15680E" w14:textId="77777777" w:rsidR="00000000" w:rsidRPr="00BE00C7" w:rsidRDefault="00000000" w:rsidP="00BE00C7">
            <w:pPr>
              <w:pStyle w:val="OutcomeDescription"/>
              <w:spacing w:before="120" w:after="120"/>
              <w:rPr>
                <w:rFonts w:cs="Arial"/>
                <w:lang w:eastAsia="en-NZ"/>
              </w:rPr>
            </w:pPr>
          </w:p>
        </w:tc>
      </w:tr>
      <w:tr w:rsidR="008A6248" w14:paraId="4FACC09F" w14:textId="77777777">
        <w:tc>
          <w:tcPr>
            <w:tcW w:w="0" w:type="auto"/>
          </w:tcPr>
          <w:p w14:paraId="493532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8DA5E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C78599B" w14:textId="77777777" w:rsidR="00000000" w:rsidRPr="00BE00C7" w:rsidRDefault="00000000" w:rsidP="00BE00C7">
            <w:pPr>
              <w:pStyle w:val="OutcomeDescription"/>
              <w:spacing w:before="120" w:after="120"/>
              <w:rPr>
                <w:rFonts w:cs="Arial"/>
                <w:lang w:eastAsia="en-NZ"/>
              </w:rPr>
            </w:pPr>
          </w:p>
        </w:tc>
        <w:tc>
          <w:tcPr>
            <w:tcW w:w="0" w:type="auto"/>
          </w:tcPr>
          <w:p w14:paraId="001248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84A0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Rosewood work in partnership with the resident and whānau to support wellbeing.  Six resident files were reviewed and verified that a registered nurse develops a plan of care to suit the resident’s needs following a comprehensive assessment. Assessments were based on a range of clinical assessments, including consideration of the person’s lived experience, cultural needs, values and beliefs, and which included wider service integration, where required.</w:t>
            </w:r>
          </w:p>
          <w:p w14:paraId="72FE4C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Assessments included resident and whānau input (as applicable). Timeframes for the initial assessment, general practitioner assessment, initial care plan, long-term care plan and review timeframes meet contractual and policy requirements.  </w:t>
            </w:r>
          </w:p>
          <w:p w14:paraId="20D24F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need for residents and whānau, including Māori, to have input into their care and identify their own goals or outcomes. Management of any specific medical conditions was well documented, with evidence of systematic monitoring and regular evaluation of responses to planned care, including the use of a range of outcome measures.  Short-term care plans were developed, if necessary, and examples were sighted for infections and wound care. These are reviewed weekly, or earlier if clinically indicated. Where progress was different from that expected, changes were made to the care plan in collaboration with the resident and/or whānau. Residents and whānau were given choices and staff ensured they had access to information.   The EPOA or welfare guardian was involved at every step of the assessment, care planning and review process for residents. Those interviewed confirmed active involvement, including for residents with a disability. </w:t>
            </w:r>
          </w:p>
          <w:p w14:paraId="3F4BD8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 the secure dementia and specialised psychogeriatric units had a behavioural management plan in place that identified 24-hour activity needs, behavioural triggers and documented de-escalation techniques to manage and behavioural challenges. </w:t>
            </w:r>
          </w:p>
          <w:p w14:paraId="7B74ECC8" w14:textId="3C90012B" w:rsidR="00000000" w:rsidRPr="00BE00C7" w:rsidRDefault="00000000" w:rsidP="00474C28">
            <w:pPr>
              <w:pStyle w:val="OutcomeDescription"/>
              <w:spacing w:before="120" w:after="120"/>
              <w:rPr>
                <w:rFonts w:cs="Arial"/>
                <w:lang w:eastAsia="en-NZ"/>
              </w:rPr>
            </w:pPr>
            <w:r w:rsidRPr="00BE00C7">
              <w:rPr>
                <w:rFonts w:cs="Arial"/>
                <w:lang w:eastAsia="en-NZ"/>
              </w:rPr>
              <w:lastRenderedPageBreak/>
              <w:t xml:space="preserve">When a resident’s needs change and there is a change in the level of care they require, for example, when a resident requires hospital level care or specialised psychogeriatric care, referral is made to the NASC for reassessment of needs and the EPOA and whānau are kept informed. As Rosewood is able to provide higher levels of care within the facility, it is unusual for a resident to require transfer elsewhere; should this occur staff would assist the resident and/or EPOA to find a suitable facility. Examples of this occurring appropriately were discussed, and the general practitioner confirmed nurses identify when a resident’s needs change and they are called appropriately when needed. </w:t>
            </w:r>
          </w:p>
        </w:tc>
      </w:tr>
      <w:tr w:rsidR="008A6248" w14:paraId="7EAA0619" w14:textId="77777777">
        <w:tc>
          <w:tcPr>
            <w:tcW w:w="0" w:type="auto"/>
          </w:tcPr>
          <w:p w14:paraId="316679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347EA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8F9D3BB" w14:textId="77777777" w:rsidR="00000000" w:rsidRPr="00BE00C7" w:rsidRDefault="00000000" w:rsidP="00BE00C7">
            <w:pPr>
              <w:pStyle w:val="OutcomeDescription"/>
              <w:spacing w:before="120" w:after="120"/>
              <w:rPr>
                <w:rFonts w:cs="Arial"/>
                <w:lang w:eastAsia="en-NZ"/>
              </w:rPr>
            </w:pPr>
          </w:p>
        </w:tc>
        <w:tc>
          <w:tcPr>
            <w:tcW w:w="0" w:type="auto"/>
          </w:tcPr>
          <w:p w14:paraId="633C8F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4FFC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w:t>
            </w:r>
          </w:p>
          <w:p w14:paraId="08A949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6187F4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as confirmed in the sample of records reviewed. Medicine-related allergies or sensitivities were recorded, and any adverse events responded to appropriately.  The required three-monthly general or nurse practitioner review was consistently recorded on the medicine chart. </w:t>
            </w:r>
          </w:p>
          <w:p w14:paraId="37B711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are not used. </w:t>
            </w:r>
          </w:p>
          <w:p w14:paraId="0515AABE"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were self-administering medications at the time of audit. The registered nurse confirmed this did not occur in the secure dementia units and described how this would be facilitated and managed safely in the hospital should the need arise.</w:t>
            </w:r>
          </w:p>
          <w:p w14:paraId="2B43E309"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Recording of the effectiveness of as-required medication is occurring and the corrective action raised under criterion 3.4.2 at the last audit is now closed.</w:t>
            </w:r>
          </w:p>
          <w:p w14:paraId="6669A9F5" w14:textId="77777777" w:rsidR="00000000" w:rsidRPr="00BE00C7" w:rsidRDefault="00000000" w:rsidP="00BE00C7">
            <w:pPr>
              <w:pStyle w:val="OutcomeDescription"/>
              <w:spacing w:before="120" w:after="120"/>
              <w:rPr>
                <w:rFonts w:cs="Arial"/>
                <w:lang w:eastAsia="en-NZ"/>
              </w:rPr>
            </w:pPr>
          </w:p>
        </w:tc>
      </w:tr>
      <w:tr w:rsidR="008A6248" w14:paraId="2BBB9F3C" w14:textId="77777777">
        <w:tc>
          <w:tcPr>
            <w:tcW w:w="0" w:type="auto"/>
          </w:tcPr>
          <w:p w14:paraId="5BB8F5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19ECD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44AA4B1" w14:textId="77777777" w:rsidR="00000000" w:rsidRPr="00BE00C7" w:rsidRDefault="00000000" w:rsidP="00BE00C7">
            <w:pPr>
              <w:pStyle w:val="OutcomeDescription"/>
              <w:spacing w:before="120" w:after="120"/>
              <w:rPr>
                <w:rFonts w:cs="Arial"/>
                <w:lang w:eastAsia="en-NZ"/>
              </w:rPr>
            </w:pPr>
          </w:p>
        </w:tc>
        <w:tc>
          <w:tcPr>
            <w:tcW w:w="0" w:type="auto"/>
          </w:tcPr>
          <w:p w14:paraId="5E9CE5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0A34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older persons, taking into consideration the dietary needs, intolerances and food and cultural preferences of those using the service.  Evidence of resident satisfaction with meals was verified from residents and whānau interview.</w:t>
            </w:r>
          </w:p>
          <w:p w14:paraId="569B43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current registration.</w:t>
            </w:r>
          </w:p>
          <w:p w14:paraId="1D6ED759"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unit has a separate servery and snacks such as toast, sandwiches, fruit, yoghurt, biscuits and drinks are available 24 hours a day for residents.</w:t>
            </w:r>
          </w:p>
          <w:p w14:paraId="40482B8D" w14:textId="77777777" w:rsidR="00000000" w:rsidRPr="00BE00C7" w:rsidRDefault="00000000" w:rsidP="00BE00C7">
            <w:pPr>
              <w:pStyle w:val="OutcomeDescription"/>
              <w:spacing w:before="120" w:after="120"/>
              <w:rPr>
                <w:rFonts w:cs="Arial"/>
                <w:lang w:eastAsia="en-NZ"/>
              </w:rPr>
            </w:pPr>
          </w:p>
        </w:tc>
      </w:tr>
      <w:tr w:rsidR="008A6248" w14:paraId="28185C6A" w14:textId="77777777">
        <w:tc>
          <w:tcPr>
            <w:tcW w:w="0" w:type="auto"/>
          </w:tcPr>
          <w:p w14:paraId="57D880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7C8DD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FF55BE7" w14:textId="77777777" w:rsidR="00000000" w:rsidRPr="00BE00C7" w:rsidRDefault="00000000" w:rsidP="00BE00C7">
            <w:pPr>
              <w:pStyle w:val="OutcomeDescription"/>
              <w:spacing w:before="120" w:after="120"/>
              <w:rPr>
                <w:rFonts w:cs="Arial"/>
                <w:lang w:eastAsia="en-NZ"/>
              </w:rPr>
            </w:pPr>
          </w:p>
        </w:tc>
        <w:tc>
          <w:tcPr>
            <w:tcW w:w="0" w:type="auto"/>
          </w:tcPr>
          <w:p w14:paraId="62D392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9D5E5C"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and EPOA reported being kept well informed during the transfer of their relative.</w:t>
            </w:r>
          </w:p>
          <w:p w14:paraId="5539DE77" w14:textId="77777777" w:rsidR="00000000" w:rsidRPr="00BE00C7" w:rsidRDefault="00000000" w:rsidP="00BE00C7">
            <w:pPr>
              <w:pStyle w:val="OutcomeDescription"/>
              <w:spacing w:before="120" w:after="120"/>
              <w:rPr>
                <w:rFonts w:cs="Arial"/>
                <w:lang w:eastAsia="en-NZ"/>
              </w:rPr>
            </w:pPr>
          </w:p>
        </w:tc>
      </w:tr>
      <w:tr w:rsidR="008A6248" w14:paraId="41F44CCD" w14:textId="77777777">
        <w:tc>
          <w:tcPr>
            <w:tcW w:w="0" w:type="auto"/>
          </w:tcPr>
          <w:p w14:paraId="499E18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1202B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5A29A8D2" w14:textId="77777777" w:rsidR="00000000" w:rsidRPr="00BE00C7" w:rsidRDefault="00000000" w:rsidP="00BE00C7">
            <w:pPr>
              <w:pStyle w:val="OutcomeDescription"/>
              <w:spacing w:before="120" w:after="120"/>
              <w:rPr>
                <w:rFonts w:cs="Arial"/>
                <w:lang w:eastAsia="en-NZ"/>
              </w:rPr>
            </w:pPr>
          </w:p>
        </w:tc>
        <w:tc>
          <w:tcPr>
            <w:tcW w:w="0" w:type="auto"/>
          </w:tcPr>
          <w:p w14:paraId="0B3E72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BD8B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electrical and bio-medical testing, and hot water temperatures. </w:t>
            </w:r>
          </w:p>
          <w:p w14:paraId="039D862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they knew the processes they should follow if any repairs or maintenance are required. Spaces were culturally inclusive and suited the needs of the resident groups.  Residents, staff and family/whānau were happy with the environment, including heating and ventilation, natural light, privacy, maintenance and outdoor garden areas.</w:t>
            </w:r>
          </w:p>
          <w:p w14:paraId="4D2FE86C" w14:textId="77777777" w:rsidR="00000000" w:rsidRPr="00BE00C7" w:rsidRDefault="00000000" w:rsidP="00BE00C7">
            <w:pPr>
              <w:pStyle w:val="OutcomeDescription"/>
              <w:spacing w:before="120" w:after="120"/>
              <w:rPr>
                <w:rFonts w:cs="Arial"/>
                <w:lang w:eastAsia="en-NZ"/>
              </w:rPr>
            </w:pPr>
          </w:p>
        </w:tc>
      </w:tr>
      <w:tr w:rsidR="008A6248" w14:paraId="239E3F61" w14:textId="77777777">
        <w:tc>
          <w:tcPr>
            <w:tcW w:w="0" w:type="auto"/>
          </w:tcPr>
          <w:p w14:paraId="54333E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D02A8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9F4CD69" w14:textId="77777777" w:rsidR="00000000" w:rsidRPr="00BE00C7" w:rsidRDefault="00000000" w:rsidP="00BE00C7">
            <w:pPr>
              <w:pStyle w:val="OutcomeDescription"/>
              <w:spacing w:before="120" w:after="120"/>
              <w:rPr>
                <w:rFonts w:cs="Arial"/>
                <w:lang w:eastAsia="en-NZ"/>
              </w:rPr>
            </w:pPr>
          </w:p>
        </w:tc>
        <w:tc>
          <w:tcPr>
            <w:tcW w:w="0" w:type="auto"/>
          </w:tcPr>
          <w:p w14:paraId="3F7930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3A12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is the infection prevention and control coordinator (IPCC) and is responsible for overseeing and implementing the IP programme, which has been developed by those with IP expertise and approved by the Heritage Lifecare Limited governing body. The programme is linked to the quality improvement programme and is reviewed and reported on annually. This was confirmed by the IPCC and review of the programme documentation. </w:t>
            </w:r>
          </w:p>
          <w:p w14:paraId="79D45A0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628F0421" w14:textId="77777777" w:rsidR="00000000" w:rsidRPr="00BE00C7" w:rsidRDefault="00000000" w:rsidP="00BE00C7">
            <w:pPr>
              <w:pStyle w:val="OutcomeDescription"/>
              <w:spacing w:before="120" w:after="120"/>
              <w:rPr>
                <w:rFonts w:cs="Arial"/>
                <w:lang w:eastAsia="en-NZ"/>
              </w:rPr>
            </w:pPr>
          </w:p>
        </w:tc>
      </w:tr>
      <w:tr w:rsidR="008A6248" w14:paraId="24F2661E" w14:textId="77777777">
        <w:tc>
          <w:tcPr>
            <w:tcW w:w="0" w:type="auto"/>
          </w:tcPr>
          <w:p w14:paraId="08F23A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FB9B2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2143987" w14:textId="77777777" w:rsidR="00000000" w:rsidRPr="00BE00C7" w:rsidRDefault="00000000" w:rsidP="00BE00C7">
            <w:pPr>
              <w:pStyle w:val="OutcomeDescription"/>
              <w:spacing w:before="120" w:after="120"/>
              <w:rPr>
                <w:rFonts w:cs="Arial"/>
                <w:lang w:eastAsia="en-NZ"/>
              </w:rPr>
            </w:pPr>
          </w:p>
        </w:tc>
        <w:tc>
          <w:tcPr>
            <w:tcW w:w="0" w:type="auto"/>
          </w:tcPr>
          <w:p w14:paraId="7CEFAA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6F2A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long-term care facilities and is in line with priorities defined in the infection control programme. Standardised definitions are used, and monthly surveillance data, including ethnicity data, is collated and analysed to identify any trends, possible causative factors and required actions.  Benchmarking with other facilities in the Heritage Lifecare group occurs.  Results of the surveillance programme are reported to management and shared with staff. </w:t>
            </w:r>
          </w:p>
          <w:p w14:paraId="70CB0305" w14:textId="77777777" w:rsidR="00000000" w:rsidRPr="00BE00C7" w:rsidRDefault="00000000" w:rsidP="00BE00C7">
            <w:pPr>
              <w:pStyle w:val="OutcomeDescription"/>
              <w:spacing w:before="120" w:after="120"/>
              <w:rPr>
                <w:rFonts w:cs="Arial"/>
                <w:lang w:eastAsia="en-NZ"/>
              </w:rPr>
            </w:pPr>
            <w:r w:rsidRPr="00BE00C7">
              <w:rPr>
                <w:rFonts w:cs="Arial"/>
                <w:lang w:eastAsia="en-NZ"/>
              </w:rPr>
              <w:t>A summary report for a recent infection outbreak was reviewed, and it demonstrated a thorough process for investigation and follow-up. Learnings from the event were identified and staff education provided in relation to hand hygiene and outbreak management.</w:t>
            </w:r>
          </w:p>
          <w:p w14:paraId="373FC842" w14:textId="77777777" w:rsidR="00000000" w:rsidRPr="00BE00C7" w:rsidRDefault="00000000" w:rsidP="00BE00C7">
            <w:pPr>
              <w:pStyle w:val="OutcomeDescription"/>
              <w:spacing w:before="120" w:after="120"/>
              <w:rPr>
                <w:rFonts w:cs="Arial"/>
                <w:lang w:eastAsia="en-NZ"/>
              </w:rPr>
            </w:pPr>
          </w:p>
        </w:tc>
      </w:tr>
      <w:tr w:rsidR="008A6248" w14:paraId="39640257" w14:textId="77777777">
        <w:tc>
          <w:tcPr>
            <w:tcW w:w="0" w:type="auto"/>
          </w:tcPr>
          <w:p w14:paraId="024454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25A72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2E8C17F" w14:textId="77777777" w:rsidR="00000000" w:rsidRPr="00BE00C7" w:rsidRDefault="00000000" w:rsidP="00BE00C7">
            <w:pPr>
              <w:pStyle w:val="OutcomeDescription"/>
              <w:spacing w:before="120" w:after="120"/>
              <w:rPr>
                <w:rFonts w:cs="Arial"/>
                <w:lang w:eastAsia="en-NZ"/>
              </w:rPr>
            </w:pPr>
          </w:p>
        </w:tc>
        <w:tc>
          <w:tcPr>
            <w:tcW w:w="0" w:type="auto"/>
          </w:tcPr>
          <w:p w14:paraId="2653F9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A337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The clinical advisory group (CAG) monitors the use of restraint across the organisation and is chaired by one of </w:t>
            </w:r>
            <w:r w:rsidRPr="00BE00C7">
              <w:rPr>
                <w:rFonts w:cs="Arial"/>
                <w:lang w:eastAsia="en-NZ"/>
              </w:rPr>
              <w:lastRenderedPageBreak/>
              <w:t>the organisation’s regional managers, who has responsibility for ensuring that restraint minimisation is achieved.</w:t>
            </w:r>
          </w:p>
          <w:p w14:paraId="5691C6B5"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one resident had an approved restraint in place. This restraint had only been used twice, and staff reported they now use strategies to manage the person’s behaviour, so the use of the restraint has not been required; however, approved restraint remains an option for this resident should the need arise. The restraint records showed that there had been a reduction in restraint use over the past six months, from four restraints used down to one, which is reported through to the governance group. Staff reported, and documentation evidenced, that staff have been trained in the least restrictive practice, safe restraint practice, alternative cultural-specific interventions, and de-escalation techniques.</w:t>
            </w:r>
          </w:p>
          <w:p w14:paraId="3180E87E" w14:textId="77777777" w:rsidR="00000000" w:rsidRPr="00BE00C7" w:rsidRDefault="00000000" w:rsidP="00BE00C7">
            <w:pPr>
              <w:pStyle w:val="OutcomeDescription"/>
              <w:spacing w:before="120" w:after="120"/>
              <w:rPr>
                <w:rFonts w:cs="Arial"/>
                <w:lang w:eastAsia="en-NZ"/>
              </w:rPr>
            </w:pPr>
          </w:p>
        </w:tc>
      </w:tr>
    </w:tbl>
    <w:p w14:paraId="4CBA91E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C7C4401" w14:textId="77777777" w:rsidR="00000000" w:rsidRDefault="00000000">
      <w:pPr>
        <w:pStyle w:val="Heading1"/>
        <w:rPr>
          <w:rFonts w:cs="Arial"/>
        </w:rPr>
      </w:pPr>
      <w:r>
        <w:rPr>
          <w:rFonts w:cs="Arial"/>
        </w:rPr>
        <w:lastRenderedPageBreak/>
        <w:t>Specific results for criterion where corrective actions are required</w:t>
      </w:r>
    </w:p>
    <w:p w14:paraId="3649A23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1E11F9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48627F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1345"/>
        <w:gridCol w:w="5334"/>
        <w:gridCol w:w="2270"/>
        <w:gridCol w:w="2373"/>
      </w:tblGrid>
      <w:tr w:rsidR="008A6248" w14:paraId="5D6D89A6" w14:textId="77777777">
        <w:tc>
          <w:tcPr>
            <w:tcW w:w="0" w:type="auto"/>
          </w:tcPr>
          <w:p w14:paraId="59B72FF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3B7709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F673F9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6FFBC4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BE5E42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A6248" w14:paraId="4F5D0AB9" w14:textId="77777777">
        <w:tc>
          <w:tcPr>
            <w:tcW w:w="0" w:type="auto"/>
          </w:tcPr>
          <w:p w14:paraId="4E467FF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1.7.5</w:t>
            </w:r>
          </w:p>
          <w:p w14:paraId="01A81EB2" w14:textId="77777777" w:rsidR="00000000" w:rsidRPr="00BE00C7" w:rsidRDefault="00000000" w:rsidP="00BE00C7">
            <w:pPr>
              <w:pStyle w:val="OutcomeDescription"/>
              <w:spacing w:before="120" w:after="120"/>
              <w:rPr>
                <w:rFonts w:cs="Arial"/>
                <w:lang w:eastAsia="en-NZ"/>
              </w:rPr>
            </w:pPr>
            <w:r w:rsidRPr="00BE00C7">
              <w:rPr>
                <w:rFonts w:cs="Arial"/>
                <w:lang w:eastAsia="en-NZ"/>
              </w:rPr>
              <w:t>I shall give informed consent in accordance with the Code of Health and Disability Services Consumers’ Rights and operating policies.</w:t>
            </w:r>
          </w:p>
        </w:tc>
        <w:tc>
          <w:tcPr>
            <w:tcW w:w="0" w:type="auto"/>
          </w:tcPr>
          <w:p w14:paraId="29AE3EB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CA9118F"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Limited policy requires informed consent to be obtained for all residents using the organisation’s informed consent documentation. Staff interviewed understood the requirements. However, in four out of six files sampled, the consent documentation was not present in the resident file. This included documentation for two recently admitted residents and two long-standing residents.</w:t>
            </w:r>
          </w:p>
          <w:p w14:paraId="1D134B78" w14:textId="77777777" w:rsidR="00000000" w:rsidRPr="00BE00C7" w:rsidRDefault="00000000" w:rsidP="00BE00C7">
            <w:pPr>
              <w:pStyle w:val="OutcomeDescription"/>
              <w:spacing w:before="120" w:after="120"/>
              <w:rPr>
                <w:rFonts w:cs="Arial"/>
                <w:lang w:eastAsia="en-NZ"/>
              </w:rPr>
            </w:pPr>
          </w:p>
        </w:tc>
        <w:tc>
          <w:tcPr>
            <w:tcW w:w="0" w:type="auto"/>
          </w:tcPr>
          <w:p w14:paraId="0842F262"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informed consent documentation met the requirements of the facility policy.</w:t>
            </w:r>
          </w:p>
          <w:p w14:paraId="0B5942C7" w14:textId="77777777" w:rsidR="00000000" w:rsidRPr="00BE00C7" w:rsidRDefault="00000000" w:rsidP="00BE00C7">
            <w:pPr>
              <w:pStyle w:val="OutcomeDescription"/>
              <w:spacing w:before="120" w:after="120"/>
              <w:rPr>
                <w:rFonts w:cs="Arial"/>
                <w:lang w:eastAsia="en-NZ"/>
              </w:rPr>
            </w:pPr>
          </w:p>
        </w:tc>
        <w:tc>
          <w:tcPr>
            <w:tcW w:w="0" w:type="auto"/>
          </w:tcPr>
          <w:p w14:paraId="7A638BB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informed consent documentation is fully completed and held in the resident’s file.</w:t>
            </w:r>
          </w:p>
          <w:p w14:paraId="57F3F59C" w14:textId="77777777" w:rsidR="00000000" w:rsidRPr="00BE00C7" w:rsidRDefault="00000000" w:rsidP="00BE00C7">
            <w:pPr>
              <w:pStyle w:val="OutcomeDescription"/>
              <w:spacing w:before="120" w:after="120"/>
              <w:rPr>
                <w:rFonts w:cs="Arial"/>
                <w:lang w:eastAsia="en-NZ"/>
              </w:rPr>
            </w:pPr>
          </w:p>
          <w:p w14:paraId="4522492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3F7145D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790C20F" w14:textId="77777777" w:rsidR="00000000" w:rsidRDefault="00000000">
      <w:pPr>
        <w:pStyle w:val="Heading1"/>
        <w:rPr>
          <w:rFonts w:cs="Arial"/>
        </w:rPr>
      </w:pPr>
      <w:r>
        <w:rPr>
          <w:rFonts w:cs="Arial"/>
        </w:rPr>
        <w:lastRenderedPageBreak/>
        <w:t>Specific results for criterion where a continuous improvement has been recorded</w:t>
      </w:r>
    </w:p>
    <w:p w14:paraId="0771B6C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07ED25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C57C40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A6248" w14:paraId="2DAB6938" w14:textId="77777777">
        <w:tc>
          <w:tcPr>
            <w:tcW w:w="0" w:type="auto"/>
          </w:tcPr>
          <w:p w14:paraId="1E07D60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3F0618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7DA969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3CC0" w14:textId="77777777" w:rsidR="00D73BED" w:rsidRDefault="00D73BED">
      <w:r>
        <w:separator/>
      </w:r>
    </w:p>
  </w:endnote>
  <w:endnote w:type="continuationSeparator" w:id="0">
    <w:p w14:paraId="68BD1A85" w14:textId="77777777" w:rsidR="00D73BED" w:rsidRDefault="00D7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D91F" w14:textId="77777777" w:rsidR="00000000" w:rsidRDefault="00000000">
    <w:pPr>
      <w:pStyle w:val="Footer"/>
    </w:pPr>
  </w:p>
  <w:p w14:paraId="05784C76" w14:textId="77777777" w:rsidR="00000000" w:rsidRDefault="00000000"/>
  <w:p w14:paraId="731A084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3B8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Rosewood Rest Home &amp; Hospital</w:t>
    </w:r>
    <w:bookmarkEnd w:id="59"/>
    <w:r>
      <w:rPr>
        <w:rFonts w:cs="Arial"/>
        <w:sz w:val="16"/>
        <w:szCs w:val="20"/>
      </w:rPr>
      <w:tab/>
      <w:t xml:space="preserve">Date of Audit: </w:t>
    </w:r>
    <w:bookmarkStart w:id="60" w:name="AuditStartDate1"/>
    <w:r>
      <w:rPr>
        <w:rFonts w:cs="Arial"/>
        <w:sz w:val="16"/>
        <w:szCs w:val="20"/>
      </w:rPr>
      <w:t>7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D947E2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4C4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BD28E" w14:textId="77777777" w:rsidR="00D73BED" w:rsidRDefault="00D73BED">
      <w:r>
        <w:separator/>
      </w:r>
    </w:p>
  </w:footnote>
  <w:footnote w:type="continuationSeparator" w:id="0">
    <w:p w14:paraId="0A6E1C0E" w14:textId="77777777" w:rsidR="00D73BED" w:rsidRDefault="00D7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5A12" w14:textId="77777777" w:rsidR="00000000" w:rsidRDefault="00000000">
    <w:pPr>
      <w:pStyle w:val="Header"/>
    </w:pPr>
  </w:p>
  <w:p w14:paraId="3B0342B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21B0" w14:textId="77777777" w:rsidR="00000000" w:rsidRDefault="00000000">
    <w:pPr>
      <w:pStyle w:val="Header"/>
    </w:pPr>
  </w:p>
  <w:p w14:paraId="3B36674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1F3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B42273C">
      <w:start w:val="1"/>
      <w:numFmt w:val="decimal"/>
      <w:lvlText w:val="%1."/>
      <w:lvlJc w:val="left"/>
      <w:pPr>
        <w:ind w:left="360" w:hanging="360"/>
      </w:pPr>
    </w:lvl>
    <w:lvl w:ilvl="1" w:tplc="806AED66" w:tentative="1">
      <w:start w:val="1"/>
      <w:numFmt w:val="lowerLetter"/>
      <w:lvlText w:val="%2."/>
      <w:lvlJc w:val="left"/>
      <w:pPr>
        <w:ind w:left="1080" w:hanging="360"/>
      </w:pPr>
    </w:lvl>
    <w:lvl w:ilvl="2" w:tplc="0FE0493E" w:tentative="1">
      <w:start w:val="1"/>
      <w:numFmt w:val="lowerRoman"/>
      <w:lvlText w:val="%3."/>
      <w:lvlJc w:val="right"/>
      <w:pPr>
        <w:ind w:left="1800" w:hanging="180"/>
      </w:pPr>
    </w:lvl>
    <w:lvl w:ilvl="3" w:tplc="65D2C47A" w:tentative="1">
      <w:start w:val="1"/>
      <w:numFmt w:val="decimal"/>
      <w:lvlText w:val="%4."/>
      <w:lvlJc w:val="left"/>
      <w:pPr>
        <w:ind w:left="2520" w:hanging="360"/>
      </w:pPr>
    </w:lvl>
    <w:lvl w:ilvl="4" w:tplc="EE8628EA" w:tentative="1">
      <w:start w:val="1"/>
      <w:numFmt w:val="lowerLetter"/>
      <w:lvlText w:val="%5."/>
      <w:lvlJc w:val="left"/>
      <w:pPr>
        <w:ind w:left="3240" w:hanging="360"/>
      </w:pPr>
    </w:lvl>
    <w:lvl w:ilvl="5" w:tplc="FA52B96A" w:tentative="1">
      <w:start w:val="1"/>
      <w:numFmt w:val="lowerRoman"/>
      <w:lvlText w:val="%6."/>
      <w:lvlJc w:val="right"/>
      <w:pPr>
        <w:ind w:left="3960" w:hanging="180"/>
      </w:pPr>
    </w:lvl>
    <w:lvl w:ilvl="6" w:tplc="8B48B3F8" w:tentative="1">
      <w:start w:val="1"/>
      <w:numFmt w:val="decimal"/>
      <w:lvlText w:val="%7."/>
      <w:lvlJc w:val="left"/>
      <w:pPr>
        <w:ind w:left="4680" w:hanging="360"/>
      </w:pPr>
    </w:lvl>
    <w:lvl w:ilvl="7" w:tplc="ADC6FCFA" w:tentative="1">
      <w:start w:val="1"/>
      <w:numFmt w:val="lowerLetter"/>
      <w:lvlText w:val="%8."/>
      <w:lvlJc w:val="left"/>
      <w:pPr>
        <w:ind w:left="5400" w:hanging="360"/>
      </w:pPr>
    </w:lvl>
    <w:lvl w:ilvl="8" w:tplc="BE3808F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C865086">
      <w:start w:val="1"/>
      <w:numFmt w:val="bullet"/>
      <w:lvlText w:val=""/>
      <w:lvlJc w:val="left"/>
      <w:pPr>
        <w:ind w:left="720" w:hanging="360"/>
      </w:pPr>
      <w:rPr>
        <w:rFonts w:ascii="Symbol" w:hAnsi="Symbol" w:hint="default"/>
      </w:rPr>
    </w:lvl>
    <w:lvl w:ilvl="1" w:tplc="8A6E03BC" w:tentative="1">
      <w:start w:val="1"/>
      <w:numFmt w:val="bullet"/>
      <w:lvlText w:val="o"/>
      <w:lvlJc w:val="left"/>
      <w:pPr>
        <w:ind w:left="1440" w:hanging="360"/>
      </w:pPr>
      <w:rPr>
        <w:rFonts w:ascii="Courier New" w:hAnsi="Courier New" w:cs="Courier New" w:hint="default"/>
      </w:rPr>
    </w:lvl>
    <w:lvl w:ilvl="2" w:tplc="C1E4BDE0" w:tentative="1">
      <w:start w:val="1"/>
      <w:numFmt w:val="bullet"/>
      <w:lvlText w:val=""/>
      <w:lvlJc w:val="left"/>
      <w:pPr>
        <w:ind w:left="2160" w:hanging="360"/>
      </w:pPr>
      <w:rPr>
        <w:rFonts w:ascii="Wingdings" w:hAnsi="Wingdings" w:hint="default"/>
      </w:rPr>
    </w:lvl>
    <w:lvl w:ilvl="3" w:tplc="F01CF32A" w:tentative="1">
      <w:start w:val="1"/>
      <w:numFmt w:val="bullet"/>
      <w:lvlText w:val=""/>
      <w:lvlJc w:val="left"/>
      <w:pPr>
        <w:ind w:left="2880" w:hanging="360"/>
      </w:pPr>
      <w:rPr>
        <w:rFonts w:ascii="Symbol" w:hAnsi="Symbol" w:hint="default"/>
      </w:rPr>
    </w:lvl>
    <w:lvl w:ilvl="4" w:tplc="30849786" w:tentative="1">
      <w:start w:val="1"/>
      <w:numFmt w:val="bullet"/>
      <w:lvlText w:val="o"/>
      <w:lvlJc w:val="left"/>
      <w:pPr>
        <w:ind w:left="3600" w:hanging="360"/>
      </w:pPr>
      <w:rPr>
        <w:rFonts w:ascii="Courier New" w:hAnsi="Courier New" w:cs="Courier New" w:hint="default"/>
      </w:rPr>
    </w:lvl>
    <w:lvl w:ilvl="5" w:tplc="5C4C69B2" w:tentative="1">
      <w:start w:val="1"/>
      <w:numFmt w:val="bullet"/>
      <w:lvlText w:val=""/>
      <w:lvlJc w:val="left"/>
      <w:pPr>
        <w:ind w:left="4320" w:hanging="360"/>
      </w:pPr>
      <w:rPr>
        <w:rFonts w:ascii="Wingdings" w:hAnsi="Wingdings" w:hint="default"/>
      </w:rPr>
    </w:lvl>
    <w:lvl w:ilvl="6" w:tplc="2D9C2746" w:tentative="1">
      <w:start w:val="1"/>
      <w:numFmt w:val="bullet"/>
      <w:lvlText w:val=""/>
      <w:lvlJc w:val="left"/>
      <w:pPr>
        <w:ind w:left="5040" w:hanging="360"/>
      </w:pPr>
      <w:rPr>
        <w:rFonts w:ascii="Symbol" w:hAnsi="Symbol" w:hint="default"/>
      </w:rPr>
    </w:lvl>
    <w:lvl w:ilvl="7" w:tplc="0646F48E" w:tentative="1">
      <w:start w:val="1"/>
      <w:numFmt w:val="bullet"/>
      <w:lvlText w:val="o"/>
      <w:lvlJc w:val="left"/>
      <w:pPr>
        <w:ind w:left="5760" w:hanging="360"/>
      </w:pPr>
      <w:rPr>
        <w:rFonts w:ascii="Courier New" w:hAnsi="Courier New" w:cs="Courier New" w:hint="default"/>
      </w:rPr>
    </w:lvl>
    <w:lvl w:ilvl="8" w:tplc="A1EE91AE" w:tentative="1">
      <w:start w:val="1"/>
      <w:numFmt w:val="bullet"/>
      <w:lvlText w:val=""/>
      <w:lvlJc w:val="left"/>
      <w:pPr>
        <w:ind w:left="6480" w:hanging="360"/>
      </w:pPr>
      <w:rPr>
        <w:rFonts w:ascii="Wingdings" w:hAnsi="Wingdings" w:hint="default"/>
      </w:rPr>
    </w:lvl>
  </w:abstractNum>
  <w:num w:numId="1" w16cid:durableId="961690646">
    <w:abstractNumId w:val="1"/>
  </w:num>
  <w:num w:numId="2" w16cid:durableId="160026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48"/>
    <w:rsid w:val="00452430"/>
    <w:rsid w:val="00474C28"/>
    <w:rsid w:val="008A6248"/>
    <w:rsid w:val="00D73B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E9BE"/>
  <w15:docId w15:val="{91036899-1A0D-48CE-9115-AF2FA61E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7003</Words>
  <Characters>39920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2024-12-17T18:20:00Z</dcterms:created>
  <dcterms:modified xsi:type="dcterms:W3CDTF">2024-12-17T18:20:00Z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