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23C7" w14:textId="77777777" w:rsidR="00000000" w:rsidRDefault="00000000">
      <w:pPr>
        <w:pStyle w:val="Heading1"/>
        <w:rPr>
          <w:rFonts w:cs="Arial"/>
        </w:rPr>
      </w:pPr>
      <w:bookmarkStart w:id="0" w:name="PRMS_RIName"/>
      <w:r>
        <w:rPr>
          <w:rFonts w:cs="Arial"/>
        </w:rPr>
        <w:t>Jean Sandel Retirement Village Limited - Jean Sandel Retirement Village</w:t>
      </w:r>
      <w:bookmarkEnd w:id="0"/>
    </w:p>
    <w:p w14:paraId="4F0E54AC" w14:textId="77777777" w:rsidR="00000000" w:rsidRDefault="00000000">
      <w:pPr>
        <w:pStyle w:val="Heading2"/>
        <w:spacing w:after="0"/>
        <w:rPr>
          <w:rFonts w:cs="Arial"/>
        </w:rPr>
      </w:pPr>
      <w:r>
        <w:rPr>
          <w:rFonts w:cs="Arial"/>
        </w:rPr>
        <w:t>Introduction</w:t>
      </w:r>
    </w:p>
    <w:p w14:paraId="73D319FB"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498A7AD"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F654421"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AF38D3E"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C7E42B1" w14:textId="77777777" w:rsidR="00000000" w:rsidRDefault="00000000">
      <w:pPr>
        <w:spacing w:before="240" w:after="240"/>
        <w:rPr>
          <w:rFonts w:cs="Arial"/>
          <w:lang w:eastAsia="en-NZ"/>
        </w:rPr>
      </w:pPr>
      <w:r>
        <w:rPr>
          <w:rFonts w:cs="Arial"/>
          <w:lang w:eastAsia="en-NZ"/>
        </w:rPr>
        <w:t>The specifics of this audit included:</w:t>
      </w:r>
    </w:p>
    <w:p w14:paraId="62D1387F"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F7142D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Jean Sandel Retirement Village Limited</w:t>
      </w:r>
      <w:bookmarkEnd w:id="4"/>
    </w:p>
    <w:p w14:paraId="071D2E3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Jean Sandel Retirement Village</w:t>
      </w:r>
      <w:bookmarkEnd w:id="5"/>
    </w:p>
    <w:p w14:paraId="0583734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EE9A56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October 2024</w:t>
      </w:r>
      <w:bookmarkEnd w:id="7"/>
      <w:r w:rsidRPr="009418D4">
        <w:rPr>
          <w:rFonts w:cs="Arial"/>
        </w:rPr>
        <w:tab/>
        <w:t xml:space="preserve">End date: </w:t>
      </w:r>
      <w:bookmarkStart w:id="8" w:name="AuditEndDate"/>
      <w:r>
        <w:rPr>
          <w:rFonts w:cs="Arial"/>
        </w:rPr>
        <w:t>25 October 2024</w:t>
      </w:r>
      <w:bookmarkEnd w:id="8"/>
    </w:p>
    <w:p w14:paraId="047B7F58"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One lounge on level one was previously certified as being able to accommodate any referral for emergency respite care. This lounge is now a whānau room. The overall numbers decreased from 112 to 111 in the care centre.</w:t>
      </w:r>
    </w:p>
    <w:bookmarkEnd w:id="9"/>
    <w:p w14:paraId="10D1106A" w14:textId="77777777" w:rsidR="00D65E12"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107</w:t>
      </w:r>
      <w:bookmarkEnd w:id="10"/>
    </w:p>
    <w:p w14:paraId="3F6F63E3"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F57C9D7" w14:textId="77777777" w:rsidR="00000000" w:rsidRDefault="00000000">
      <w:pPr>
        <w:pStyle w:val="Heading1"/>
        <w:rPr>
          <w:rFonts w:cs="Arial"/>
        </w:rPr>
      </w:pPr>
      <w:r>
        <w:rPr>
          <w:rFonts w:cs="Arial"/>
        </w:rPr>
        <w:lastRenderedPageBreak/>
        <w:t>Executive summary of the audit</w:t>
      </w:r>
    </w:p>
    <w:p w14:paraId="55E716CB" w14:textId="77777777" w:rsidR="00000000" w:rsidRDefault="00000000">
      <w:pPr>
        <w:pStyle w:val="Heading2"/>
        <w:rPr>
          <w:rFonts w:cs="Arial"/>
        </w:rPr>
      </w:pPr>
      <w:r>
        <w:rPr>
          <w:rFonts w:cs="Arial"/>
        </w:rPr>
        <w:t>Introduction</w:t>
      </w:r>
    </w:p>
    <w:p w14:paraId="1D6253D9"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0376719"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87B1DEC"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637B988"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2D5653C"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F996592"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ADA6369"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249707"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1C29FE4"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65E12" w14:paraId="068A8FC5" w14:textId="77777777">
        <w:trPr>
          <w:cantSplit/>
          <w:tblHeader/>
        </w:trPr>
        <w:tc>
          <w:tcPr>
            <w:tcW w:w="1260" w:type="dxa"/>
            <w:tcBorders>
              <w:bottom w:val="single" w:sz="4" w:space="0" w:color="000000"/>
            </w:tcBorders>
            <w:vAlign w:val="center"/>
          </w:tcPr>
          <w:p w14:paraId="427CB815"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5AED7B1"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F9587E0" w14:textId="77777777" w:rsidR="00000000" w:rsidRDefault="00000000">
            <w:pPr>
              <w:spacing w:before="60" w:after="60"/>
              <w:rPr>
                <w:rFonts w:eastAsia="Calibri"/>
                <w:b/>
                <w:szCs w:val="24"/>
              </w:rPr>
            </w:pPr>
            <w:r>
              <w:rPr>
                <w:rFonts w:eastAsia="Calibri"/>
                <w:b/>
                <w:szCs w:val="24"/>
              </w:rPr>
              <w:t>Definition</w:t>
            </w:r>
          </w:p>
        </w:tc>
      </w:tr>
      <w:tr w:rsidR="00D65E12" w14:paraId="0B8DD36E" w14:textId="77777777">
        <w:trPr>
          <w:cantSplit/>
          <w:trHeight w:val="964"/>
        </w:trPr>
        <w:tc>
          <w:tcPr>
            <w:tcW w:w="1260" w:type="dxa"/>
            <w:tcBorders>
              <w:bottom w:val="single" w:sz="4" w:space="0" w:color="000000"/>
            </w:tcBorders>
            <w:shd w:val="clear" w:color="0066FF" w:fill="0000FF"/>
            <w:vAlign w:val="center"/>
          </w:tcPr>
          <w:p w14:paraId="0CBA218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BA605C6"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B3857D2"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65E12" w14:paraId="14BA9E14" w14:textId="77777777">
        <w:trPr>
          <w:cantSplit/>
          <w:trHeight w:val="964"/>
        </w:trPr>
        <w:tc>
          <w:tcPr>
            <w:tcW w:w="1260" w:type="dxa"/>
            <w:shd w:val="clear" w:color="33CC33" w:fill="00FF00"/>
            <w:vAlign w:val="center"/>
          </w:tcPr>
          <w:p w14:paraId="5AF4E904" w14:textId="77777777" w:rsidR="00000000" w:rsidRDefault="00000000">
            <w:pPr>
              <w:spacing w:before="60" w:after="60"/>
              <w:rPr>
                <w:rFonts w:eastAsia="Calibri"/>
                <w:szCs w:val="24"/>
              </w:rPr>
            </w:pPr>
          </w:p>
        </w:tc>
        <w:tc>
          <w:tcPr>
            <w:tcW w:w="7095" w:type="dxa"/>
            <w:shd w:val="clear" w:color="auto" w:fill="auto"/>
            <w:vAlign w:val="center"/>
          </w:tcPr>
          <w:p w14:paraId="009C384A"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282FB3"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D65E12" w14:paraId="16544A39" w14:textId="77777777">
        <w:trPr>
          <w:cantSplit/>
          <w:trHeight w:val="964"/>
        </w:trPr>
        <w:tc>
          <w:tcPr>
            <w:tcW w:w="1260" w:type="dxa"/>
            <w:tcBorders>
              <w:bottom w:val="single" w:sz="4" w:space="0" w:color="000000"/>
            </w:tcBorders>
            <w:shd w:val="clear" w:color="auto" w:fill="FFFF00"/>
            <w:vAlign w:val="center"/>
          </w:tcPr>
          <w:p w14:paraId="564F1F24" w14:textId="77777777" w:rsidR="00000000" w:rsidRDefault="00000000">
            <w:pPr>
              <w:spacing w:before="60" w:after="60"/>
              <w:rPr>
                <w:rFonts w:eastAsia="Calibri"/>
                <w:szCs w:val="24"/>
              </w:rPr>
            </w:pPr>
          </w:p>
        </w:tc>
        <w:tc>
          <w:tcPr>
            <w:tcW w:w="7095" w:type="dxa"/>
            <w:shd w:val="clear" w:color="auto" w:fill="auto"/>
            <w:vAlign w:val="center"/>
          </w:tcPr>
          <w:p w14:paraId="346A99A7"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8956518"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65E12" w14:paraId="36324A0D" w14:textId="77777777">
        <w:trPr>
          <w:cantSplit/>
          <w:trHeight w:val="964"/>
        </w:trPr>
        <w:tc>
          <w:tcPr>
            <w:tcW w:w="1260" w:type="dxa"/>
            <w:tcBorders>
              <w:bottom w:val="single" w:sz="4" w:space="0" w:color="000000"/>
            </w:tcBorders>
            <w:shd w:val="clear" w:color="auto" w:fill="FFC800"/>
            <w:vAlign w:val="center"/>
          </w:tcPr>
          <w:p w14:paraId="3AB033F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4C65A9B"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88EB7EA"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65E12" w14:paraId="0AFBA5F7" w14:textId="77777777">
        <w:trPr>
          <w:cantSplit/>
          <w:trHeight w:val="964"/>
        </w:trPr>
        <w:tc>
          <w:tcPr>
            <w:tcW w:w="1260" w:type="dxa"/>
            <w:shd w:val="clear" w:color="auto" w:fill="FF0000"/>
            <w:vAlign w:val="center"/>
          </w:tcPr>
          <w:p w14:paraId="424F977C" w14:textId="77777777" w:rsidR="00000000" w:rsidRDefault="00000000">
            <w:pPr>
              <w:spacing w:before="60" w:after="60"/>
              <w:rPr>
                <w:rFonts w:eastAsia="Calibri"/>
                <w:szCs w:val="24"/>
              </w:rPr>
            </w:pPr>
          </w:p>
        </w:tc>
        <w:tc>
          <w:tcPr>
            <w:tcW w:w="7095" w:type="dxa"/>
            <w:shd w:val="clear" w:color="auto" w:fill="auto"/>
            <w:vAlign w:val="center"/>
          </w:tcPr>
          <w:p w14:paraId="027343D2"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AFD859D"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31ABB9C" w14:textId="77777777" w:rsidR="00000000" w:rsidRDefault="00000000">
      <w:pPr>
        <w:pStyle w:val="Heading2"/>
        <w:spacing w:after="0"/>
        <w:rPr>
          <w:rFonts w:cs="Arial"/>
        </w:rPr>
      </w:pPr>
      <w:r>
        <w:rPr>
          <w:rFonts w:cs="Arial"/>
        </w:rPr>
        <w:t>General overview of the audit</w:t>
      </w:r>
    </w:p>
    <w:p w14:paraId="639C496E" w14:textId="77777777" w:rsidR="00000000" w:rsidRDefault="00000000">
      <w:pPr>
        <w:spacing w:before="240" w:line="276" w:lineRule="auto"/>
        <w:rPr>
          <w:rFonts w:eastAsia="Calibri"/>
        </w:rPr>
      </w:pPr>
      <w:bookmarkStart w:id="13" w:name="GeneralOverview"/>
      <w:r w:rsidRPr="00A4268A">
        <w:rPr>
          <w:rFonts w:eastAsia="Calibri"/>
        </w:rPr>
        <w:t xml:space="preserve">Jean Sandel Retirement Village provides dementia, rest home and hospital care for up to 131 residents, including the 20 serviced apartments certified for rest home level of care. On the day of the audit, there were 107 residents at the care centre. </w:t>
      </w:r>
    </w:p>
    <w:p w14:paraId="7DB9E13E" w14:textId="77777777" w:rsidR="00D65E12" w:rsidRPr="00A4268A" w:rsidRDefault="00000000">
      <w:pPr>
        <w:spacing w:before="240" w:line="276" w:lineRule="auto"/>
        <w:rPr>
          <w:rFonts w:eastAsia="Calibri"/>
        </w:rPr>
      </w:pPr>
      <w:r w:rsidRPr="00A4268A">
        <w:rPr>
          <w:rFonts w:eastAsia="Calibri"/>
        </w:rPr>
        <w:t xml:space="preserve">This surveillance audit was conducted against a sub-section of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family/whānau; and interviews with staff, management, and the general practitioner. </w:t>
      </w:r>
    </w:p>
    <w:p w14:paraId="5F02F105" w14:textId="77777777" w:rsidR="00D65E12" w:rsidRPr="00A4268A" w:rsidRDefault="00000000">
      <w:pPr>
        <w:spacing w:before="240" w:line="276" w:lineRule="auto"/>
        <w:rPr>
          <w:rFonts w:eastAsia="Calibri"/>
        </w:rPr>
      </w:pPr>
      <w:r w:rsidRPr="00A4268A">
        <w:rPr>
          <w:rFonts w:eastAsia="Calibri"/>
        </w:rPr>
        <w:t xml:space="preserve">The service is managed by the village manager, clinical manager, resident services manager, and unit coordinators. They are supported by the regional operations manager and the Ryman Board. The residents and family/whānau interviewed spoke positively about the care and support provided. Resident and family/whānau surveys show high level of satisfaction with the services provided. </w:t>
      </w:r>
    </w:p>
    <w:p w14:paraId="0EE5436E" w14:textId="77777777" w:rsidR="00D65E12" w:rsidRPr="00A4268A" w:rsidRDefault="00000000">
      <w:pPr>
        <w:spacing w:before="240" w:line="276" w:lineRule="auto"/>
        <w:rPr>
          <w:rFonts w:eastAsia="Calibri"/>
        </w:rPr>
      </w:pPr>
      <w:r w:rsidRPr="00A4268A">
        <w:rPr>
          <w:rFonts w:eastAsia="Calibri"/>
        </w:rPr>
        <w:t xml:space="preserve">The service had no shortfalls to address from the previous audit. </w:t>
      </w:r>
    </w:p>
    <w:p w14:paraId="0C589B0C" w14:textId="77777777" w:rsidR="00D65E12" w:rsidRPr="00A4268A" w:rsidRDefault="00000000">
      <w:pPr>
        <w:spacing w:before="240" w:line="276" w:lineRule="auto"/>
        <w:rPr>
          <w:rFonts w:eastAsia="Calibri"/>
        </w:rPr>
      </w:pPr>
      <w:r w:rsidRPr="00A4268A">
        <w:rPr>
          <w:rFonts w:eastAsia="Calibri"/>
        </w:rPr>
        <w:t xml:space="preserve">There were no shortfalls identified at this surveillance audit. </w:t>
      </w:r>
    </w:p>
    <w:bookmarkEnd w:id="13"/>
    <w:p w14:paraId="3E40C4CC" w14:textId="77777777" w:rsidR="00D65E12" w:rsidRPr="00A4268A" w:rsidRDefault="00D65E12">
      <w:pPr>
        <w:spacing w:before="240" w:line="276" w:lineRule="auto"/>
        <w:rPr>
          <w:rFonts w:eastAsia="Calibri"/>
        </w:rPr>
      </w:pPr>
    </w:p>
    <w:p w14:paraId="55CA8ABE"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E12" w14:paraId="78896650" w14:textId="77777777" w:rsidTr="00A4268A">
        <w:trPr>
          <w:cantSplit/>
        </w:trPr>
        <w:tc>
          <w:tcPr>
            <w:tcW w:w="10206" w:type="dxa"/>
            <w:vAlign w:val="center"/>
          </w:tcPr>
          <w:p w14:paraId="5639838C"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7787A9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40489F6"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D2D93BC"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A271528" w14:textId="77777777" w:rsidR="00000000" w:rsidRDefault="00000000">
      <w:pPr>
        <w:spacing w:before="240" w:line="276" w:lineRule="auto"/>
        <w:rPr>
          <w:rFonts w:eastAsia="Calibri"/>
        </w:rPr>
      </w:pPr>
      <w:bookmarkStart w:id="16" w:name="ConsumerRights"/>
      <w:r w:rsidRPr="00A4268A">
        <w:rPr>
          <w:rFonts w:eastAsia="Calibri"/>
        </w:rPr>
        <w:t xml:space="preserve">Jean Sandel Retirement Village provides an environment that supports resident rights and safe care. Details relating to the Health and Disability Commissioner’s (HDC) Code of Health and Disability Services Consumers Rights (the Code) is included in the information packs given to new or potential residents and family/whānau. Staff demonstrate an understanding of resident’s rights and obligations. A Māori health plan is documented for the service. </w:t>
      </w:r>
    </w:p>
    <w:p w14:paraId="58637061" w14:textId="77777777" w:rsidR="00D65E12" w:rsidRPr="00A4268A" w:rsidRDefault="00000000">
      <w:pPr>
        <w:spacing w:before="240" w:line="276" w:lineRule="auto"/>
        <w:rPr>
          <w:rFonts w:eastAsia="Calibri"/>
        </w:rPr>
      </w:pPr>
      <w:r w:rsidRPr="00A4268A">
        <w:rPr>
          <w:rFonts w:eastAsia="Calibri"/>
        </w:rPr>
        <w:t>The service supports culturally safe care delivery to all residents. Residents receive services in a manner that considers their dignity, privacy, and independence. The rights of the resident and/or their family/whānau to make a complaint is understood, respected, and upheld by the service. Complaints processes are implemented, and complaints and concerns are actively managed and well-documented. A complaints management policy includes information on access to advocacy and complaint support systems.</w:t>
      </w:r>
    </w:p>
    <w:bookmarkEnd w:id="16"/>
    <w:p w14:paraId="79DB12B3" w14:textId="77777777" w:rsidR="00D65E12" w:rsidRPr="00A4268A" w:rsidRDefault="00D65E12">
      <w:pPr>
        <w:spacing w:before="240" w:line="276" w:lineRule="auto"/>
        <w:rPr>
          <w:rFonts w:eastAsia="Calibri"/>
        </w:rPr>
      </w:pPr>
    </w:p>
    <w:p w14:paraId="64695895"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E12" w14:paraId="34145044" w14:textId="77777777" w:rsidTr="00A4268A">
        <w:trPr>
          <w:cantSplit/>
        </w:trPr>
        <w:tc>
          <w:tcPr>
            <w:tcW w:w="10206" w:type="dxa"/>
            <w:vAlign w:val="center"/>
          </w:tcPr>
          <w:p w14:paraId="38783A3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75D89D8"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A7E2312"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A581BAB" w14:textId="77777777" w:rsidR="00000000" w:rsidRDefault="00000000">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The organisational strategic plan informs the site-specific operations objectives which are reviewed on a regular basis. The service has an effective quality and risk management systems in place that take a risk-based approach, and these systems meet the needs of residents and their staff. Quality and risk </w:t>
      </w:r>
      <w:r w:rsidRPr="00A4268A">
        <w:rPr>
          <w:rFonts w:eastAsia="Calibri"/>
        </w:rPr>
        <w:lastRenderedPageBreak/>
        <w:t xml:space="preserve">performance is reported across various meetings and to the Ryman senior leadership team. Jean Sandel Retirement Village collates clinical indicator data and benchmarking occurs within the organisation and at a national level. </w:t>
      </w:r>
    </w:p>
    <w:p w14:paraId="712A363A" w14:textId="77777777" w:rsidR="00D65E12" w:rsidRPr="00A4268A" w:rsidRDefault="00000000">
      <w:pPr>
        <w:spacing w:before="240" w:line="276" w:lineRule="auto"/>
        <w:rPr>
          <w:rFonts w:eastAsia="Calibri"/>
        </w:rPr>
      </w:pPr>
      <w:r w:rsidRPr="00A4268A">
        <w:rPr>
          <w:rFonts w:eastAsia="Calibri"/>
        </w:rPr>
        <w:t>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A comprehensive orientation programme is implemented. Staff have performance appraisals completed as scheduled.</w:t>
      </w:r>
    </w:p>
    <w:bookmarkEnd w:id="19"/>
    <w:p w14:paraId="7B6F375E" w14:textId="77777777" w:rsidR="00D65E12" w:rsidRPr="00A4268A" w:rsidRDefault="00D65E12">
      <w:pPr>
        <w:spacing w:before="240" w:line="276" w:lineRule="auto"/>
        <w:rPr>
          <w:rFonts w:eastAsia="Calibri"/>
        </w:rPr>
      </w:pPr>
    </w:p>
    <w:p w14:paraId="74AC0B5B"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E12" w14:paraId="43591BC0" w14:textId="77777777" w:rsidTr="00A4268A">
        <w:trPr>
          <w:cantSplit/>
        </w:trPr>
        <w:tc>
          <w:tcPr>
            <w:tcW w:w="10206" w:type="dxa"/>
            <w:vAlign w:val="center"/>
          </w:tcPr>
          <w:p w14:paraId="073C85C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7E5673B"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6B61BE5"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4C8A5C75"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nursing team is responsible for the assessment, development, and evaluation of care plans. Care plans were individualised and based on the residents’ assessed needs. Interventions were appropriate and evaluated promptly. </w:t>
      </w:r>
    </w:p>
    <w:p w14:paraId="7309C7D2" w14:textId="77777777" w:rsidR="00D65E12" w:rsidRPr="00A4268A" w:rsidRDefault="00000000" w:rsidP="00621629">
      <w:pPr>
        <w:spacing w:before="240" w:line="276" w:lineRule="auto"/>
        <w:rPr>
          <w:rFonts w:eastAsia="Calibri"/>
        </w:rPr>
      </w:pPr>
      <w:r w:rsidRPr="00A4268A">
        <w:rPr>
          <w:rFonts w:eastAsia="Calibri"/>
        </w:rPr>
        <w:t>There is a medicine management system in place. The organisation uses an electronic system for prescribing and administration of medications. The general practitioner or nurse practitioner were responsible for all medication reviews. Staff involved in medication administration are assessed as competent to do so.</w:t>
      </w:r>
    </w:p>
    <w:p w14:paraId="5943C2E4" w14:textId="77777777" w:rsidR="00D65E12" w:rsidRPr="00A4268A" w:rsidRDefault="00000000" w:rsidP="00621629">
      <w:pPr>
        <w:spacing w:before="240" w:line="276" w:lineRule="auto"/>
        <w:rPr>
          <w:rFonts w:eastAsia="Calibri"/>
        </w:rPr>
      </w:pPr>
      <w:r w:rsidRPr="00A4268A">
        <w:rPr>
          <w:rFonts w:eastAsia="Calibri"/>
        </w:rPr>
        <w:t xml:space="preserve">Residents’ nutritional and cultural requirements are met. A current food control plan is in place. </w:t>
      </w:r>
    </w:p>
    <w:p w14:paraId="17988B8F" w14:textId="77777777" w:rsidR="00D65E12"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522EA18C" w14:textId="77777777" w:rsidR="00D65E12" w:rsidRPr="00A4268A" w:rsidRDefault="00D65E12" w:rsidP="00621629">
      <w:pPr>
        <w:spacing w:before="240" w:line="276" w:lineRule="auto"/>
        <w:rPr>
          <w:rFonts w:eastAsia="Calibri"/>
        </w:rPr>
      </w:pPr>
    </w:p>
    <w:p w14:paraId="61F86554"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E12" w14:paraId="256A7183" w14:textId="77777777" w:rsidTr="00A4268A">
        <w:trPr>
          <w:cantSplit/>
        </w:trPr>
        <w:tc>
          <w:tcPr>
            <w:tcW w:w="10206" w:type="dxa"/>
            <w:vAlign w:val="center"/>
          </w:tcPr>
          <w:p w14:paraId="11542FD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5BB38C5"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A7DC138"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F918534"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has a current warrant of fitness. A maintenance plan is adhered to, and all equipment is tagged, tested, and calibrated as scheduled. </w:t>
      </w:r>
    </w:p>
    <w:bookmarkEnd w:id="25"/>
    <w:p w14:paraId="0CB01B32" w14:textId="77777777" w:rsidR="00D65E12" w:rsidRPr="00A4268A" w:rsidRDefault="00D65E12">
      <w:pPr>
        <w:spacing w:before="240" w:line="276" w:lineRule="auto"/>
        <w:rPr>
          <w:rFonts w:eastAsia="Calibri"/>
        </w:rPr>
      </w:pPr>
    </w:p>
    <w:p w14:paraId="5B101804"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E12" w14:paraId="432D4BB7" w14:textId="77777777" w:rsidTr="00A4268A">
        <w:trPr>
          <w:cantSplit/>
        </w:trPr>
        <w:tc>
          <w:tcPr>
            <w:tcW w:w="10206" w:type="dxa"/>
            <w:vAlign w:val="center"/>
          </w:tcPr>
          <w:p w14:paraId="13763CE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A0B2F87"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A2B1E11"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BBE87A5"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infection control programme is supported by the governance body. All policies, procedures, the pandemic plan, and the infection control programme are in place. Education is routinely provided in relation to infection control. </w:t>
      </w:r>
    </w:p>
    <w:p w14:paraId="17668874" w14:textId="77777777" w:rsidR="00D65E12" w:rsidRPr="00A4268A" w:rsidRDefault="00000000">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A monthly surveillance infection control report is completed with analysis and benchmarking. There have been five outbreaks recorded and reported on since the last audit. </w:t>
      </w:r>
    </w:p>
    <w:bookmarkEnd w:id="28"/>
    <w:p w14:paraId="538D96DE" w14:textId="77777777" w:rsidR="00D65E12" w:rsidRPr="00A4268A" w:rsidRDefault="00D65E12">
      <w:pPr>
        <w:spacing w:before="240" w:line="276" w:lineRule="auto"/>
        <w:rPr>
          <w:rFonts w:eastAsia="Calibri"/>
        </w:rPr>
      </w:pPr>
    </w:p>
    <w:p w14:paraId="79E19C7C"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5E12" w14:paraId="4A282F88" w14:textId="77777777" w:rsidTr="00A4268A">
        <w:trPr>
          <w:cantSplit/>
        </w:trPr>
        <w:tc>
          <w:tcPr>
            <w:tcW w:w="10206" w:type="dxa"/>
            <w:vAlign w:val="center"/>
          </w:tcPr>
          <w:p w14:paraId="5F3D391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AC3B42B"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0E3B1C8"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2B44123" w14:textId="77777777" w:rsidR="00000000" w:rsidRDefault="00000000">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There were no residents requiring restraint at the time of audit. Staff demonstrated a sound knowledge and understanding of providing the least restrictive practice, de-escalation techniques, and alternative interventions.</w:t>
      </w:r>
    </w:p>
    <w:bookmarkEnd w:id="31"/>
    <w:p w14:paraId="58338F30" w14:textId="77777777" w:rsidR="00D65E12" w:rsidRPr="00A4268A" w:rsidRDefault="00D65E12">
      <w:pPr>
        <w:spacing w:before="240" w:line="276" w:lineRule="auto"/>
        <w:rPr>
          <w:rFonts w:eastAsia="Calibri"/>
        </w:rPr>
      </w:pPr>
    </w:p>
    <w:p w14:paraId="4D091C79" w14:textId="77777777" w:rsidR="00000000" w:rsidRDefault="00000000" w:rsidP="000E6E02">
      <w:pPr>
        <w:pStyle w:val="Heading2"/>
        <w:spacing w:before="0"/>
        <w:rPr>
          <w:rFonts w:cs="Arial"/>
        </w:rPr>
      </w:pPr>
      <w:r>
        <w:rPr>
          <w:rFonts w:cs="Arial"/>
        </w:rPr>
        <w:t>Summary of attainment</w:t>
      </w:r>
    </w:p>
    <w:p w14:paraId="71963E59"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65E12" w14:paraId="3F7B92FB" w14:textId="77777777">
        <w:tc>
          <w:tcPr>
            <w:tcW w:w="1384" w:type="dxa"/>
            <w:vAlign w:val="center"/>
          </w:tcPr>
          <w:p w14:paraId="2BE2C7DB"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619E936" w14:textId="77777777" w:rsidR="00000000" w:rsidRDefault="00000000">
            <w:pPr>
              <w:keepNext/>
              <w:spacing w:before="60" w:after="60"/>
              <w:jc w:val="center"/>
              <w:rPr>
                <w:rFonts w:cs="Arial"/>
                <w:b/>
                <w:sz w:val="20"/>
                <w:szCs w:val="20"/>
              </w:rPr>
            </w:pPr>
            <w:r>
              <w:rPr>
                <w:rFonts w:cs="Arial"/>
                <w:b/>
                <w:sz w:val="20"/>
                <w:szCs w:val="20"/>
              </w:rPr>
              <w:t>Continuous Improvement</w:t>
            </w:r>
          </w:p>
          <w:p w14:paraId="1B148F7E"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ED18433" w14:textId="77777777" w:rsidR="00000000" w:rsidRDefault="00000000">
            <w:pPr>
              <w:keepNext/>
              <w:spacing w:before="60" w:after="60"/>
              <w:jc w:val="center"/>
              <w:rPr>
                <w:rFonts w:cs="Arial"/>
                <w:b/>
                <w:sz w:val="20"/>
                <w:szCs w:val="20"/>
              </w:rPr>
            </w:pPr>
            <w:r>
              <w:rPr>
                <w:rFonts w:cs="Arial"/>
                <w:b/>
                <w:sz w:val="20"/>
                <w:szCs w:val="20"/>
              </w:rPr>
              <w:t>Fully Attained</w:t>
            </w:r>
          </w:p>
          <w:p w14:paraId="46C997E8"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ED57107"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1D5DF9E7"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948DD06"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3B53FB4F"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FDCCE28"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74DDA0CE"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56EFB97"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3DB6BA54"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61706B4"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5C68E73A" w14:textId="77777777" w:rsidR="00000000" w:rsidRDefault="00000000">
            <w:pPr>
              <w:keepNext/>
              <w:spacing w:before="60" w:after="60"/>
              <w:jc w:val="center"/>
              <w:rPr>
                <w:rFonts w:cs="Arial"/>
                <w:b/>
                <w:sz w:val="20"/>
                <w:szCs w:val="20"/>
              </w:rPr>
            </w:pPr>
            <w:r>
              <w:rPr>
                <w:rFonts w:cs="Arial"/>
                <w:b/>
                <w:sz w:val="20"/>
                <w:szCs w:val="20"/>
              </w:rPr>
              <w:t>(PA Critical)</w:t>
            </w:r>
          </w:p>
        </w:tc>
      </w:tr>
      <w:tr w:rsidR="00D65E12" w14:paraId="5056A716" w14:textId="77777777">
        <w:tc>
          <w:tcPr>
            <w:tcW w:w="1384" w:type="dxa"/>
            <w:vAlign w:val="center"/>
          </w:tcPr>
          <w:p w14:paraId="02C28B24"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C60A364"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2691FD4"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5F6D32B"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90FF994"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4E67E41"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9865523"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17CEB2B"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65E12" w14:paraId="38415BB3" w14:textId="77777777">
        <w:tc>
          <w:tcPr>
            <w:tcW w:w="1384" w:type="dxa"/>
            <w:vAlign w:val="center"/>
          </w:tcPr>
          <w:p w14:paraId="2754E85C"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7F62E470"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FE2A6C9"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05251782"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B038953"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1B830B5"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2317DD3"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FB4DAF9"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E67A25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65E12" w14:paraId="5449BEFB" w14:textId="77777777">
        <w:tc>
          <w:tcPr>
            <w:tcW w:w="1384" w:type="dxa"/>
            <w:vAlign w:val="center"/>
          </w:tcPr>
          <w:p w14:paraId="28CAD16C"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7D0E777"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44C81CA"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61C201D" w14:textId="77777777" w:rsidR="00000000" w:rsidRDefault="00000000">
            <w:pPr>
              <w:keepNext/>
              <w:spacing w:before="60" w:after="60"/>
              <w:jc w:val="center"/>
              <w:rPr>
                <w:rFonts w:cs="Arial"/>
                <w:b/>
                <w:sz w:val="20"/>
                <w:szCs w:val="20"/>
              </w:rPr>
            </w:pPr>
            <w:r>
              <w:rPr>
                <w:rFonts w:cs="Arial"/>
                <w:b/>
                <w:sz w:val="20"/>
                <w:szCs w:val="20"/>
              </w:rPr>
              <w:t>Unattained Low Risk</w:t>
            </w:r>
          </w:p>
          <w:p w14:paraId="7008CA94"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C508C00" w14:textId="77777777" w:rsidR="00000000" w:rsidRDefault="00000000">
            <w:pPr>
              <w:keepNext/>
              <w:spacing w:before="60" w:after="60"/>
              <w:jc w:val="center"/>
              <w:rPr>
                <w:rFonts w:cs="Arial"/>
                <w:b/>
                <w:sz w:val="20"/>
                <w:szCs w:val="20"/>
              </w:rPr>
            </w:pPr>
            <w:r>
              <w:rPr>
                <w:rFonts w:cs="Arial"/>
                <w:b/>
                <w:sz w:val="20"/>
                <w:szCs w:val="20"/>
              </w:rPr>
              <w:t>Unattained Moderate Risk</w:t>
            </w:r>
          </w:p>
          <w:p w14:paraId="591795C5"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8D98220" w14:textId="77777777" w:rsidR="00000000" w:rsidRDefault="00000000">
            <w:pPr>
              <w:keepNext/>
              <w:spacing w:before="60" w:after="60"/>
              <w:jc w:val="center"/>
              <w:rPr>
                <w:rFonts w:cs="Arial"/>
                <w:b/>
                <w:sz w:val="20"/>
                <w:szCs w:val="20"/>
              </w:rPr>
            </w:pPr>
            <w:r>
              <w:rPr>
                <w:rFonts w:cs="Arial"/>
                <w:b/>
                <w:sz w:val="20"/>
                <w:szCs w:val="20"/>
              </w:rPr>
              <w:t>Unattained High Risk</w:t>
            </w:r>
          </w:p>
          <w:p w14:paraId="4B62047A"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A52AA18" w14:textId="77777777" w:rsidR="00000000" w:rsidRDefault="00000000">
            <w:pPr>
              <w:keepNext/>
              <w:spacing w:before="60" w:after="60"/>
              <w:jc w:val="center"/>
              <w:rPr>
                <w:rFonts w:cs="Arial"/>
                <w:b/>
                <w:sz w:val="20"/>
                <w:szCs w:val="20"/>
              </w:rPr>
            </w:pPr>
            <w:r>
              <w:rPr>
                <w:rFonts w:cs="Arial"/>
                <w:b/>
                <w:sz w:val="20"/>
                <w:szCs w:val="20"/>
              </w:rPr>
              <w:t>Unattained Critical Risk</w:t>
            </w:r>
          </w:p>
          <w:p w14:paraId="2054122B" w14:textId="77777777" w:rsidR="00000000" w:rsidRDefault="00000000">
            <w:pPr>
              <w:keepNext/>
              <w:spacing w:before="60" w:after="60"/>
              <w:jc w:val="center"/>
              <w:rPr>
                <w:rFonts w:cs="Arial"/>
                <w:b/>
                <w:sz w:val="20"/>
                <w:szCs w:val="20"/>
              </w:rPr>
            </w:pPr>
            <w:r>
              <w:rPr>
                <w:rFonts w:cs="Arial"/>
                <w:b/>
                <w:sz w:val="20"/>
                <w:szCs w:val="20"/>
              </w:rPr>
              <w:t>(UA Critical)</w:t>
            </w:r>
          </w:p>
        </w:tc>
      </w:tr>
      <w:tr w:rsidR="00D65E12" w14:paraId="377F7528" w14:textId="77777777">
        <w:tc>
          <w:tcPr>
            <w:tcW w:w="1384" w:type="dxa"/>
            <w:vAlign w:val="center"/>
          </w:tcPr>
          <w:p w14:paraId="2C30885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CEB2D52"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5369A13"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AC1AB55"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2D6D350"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675926F"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65E12" w14:paraId="01E6CF50" w14:textId="77777777">
        <w:tc>
          <w:tcPr>
            <w:tcW w:w="1384" w:type="dxa"/>
            <w:vAlign w:val="center"/>
          </w:tcPr>
          <w:p w14:paraId="2FBE484A"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31E800AC"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C6E8C65"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80CC43A"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CD0AE21"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CB4DF49"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EABD0BC"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073774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8B35AA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3AA52C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D65E12" w14:paraId="3925F5AD" w14:textId="77777777">
        <w:tc>
          <w:tcPr>
            <w:tcW w:w="0" w:type="auto"/>
          </w:tcPr>
          <w:p w14:paraId="28364B0D"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5E9F26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04907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65E12" w14:paraId="2C74A2AD" w14:textId="77777777">
        <w:tc>
          <w:tcPr>
            <w:tcW w:w="0" w:type="auto"/>
          </w:tcPr>
          <w:p w14:paraId="004EB14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5F40347"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D2E98C1" w14:textId="77777777" w:rsidR="00000000" w:rsidRPr="00BE00C7" w:rsidRDefault="00000000" w:rsidP="00BE00C7">
            <w:pPr>
              <w:pStyle w:val="OutcomeDescription"/>
              <w:spacing w:before="120" w:after="120"/>
              <w:rPr>
                <w:rFonts w:cs="Arial"/>
                <w:lang w:eastAsia="en-NZ"/>
              </w:rPr>
            </w:pPr>
          </w:p>
        </w:tc>
        <w:tc>
          <w:tcPr>
            <w:tcW w:w="0" w:type="auto"/>
          </w:tcPr>
          <w:p w14:paraId="5FA703C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49813A" w14:textId="77777777" w:rsidR="00000000" w:rsidRPr="00BE00C7" w:rsidRDefault="00000000" w:rsidP="00BE00C7">
            <w:pPr>
              <w:pStyle w:val="OutcomeDescription"/>
              <w:spacing w:before="120" w:after="120"/>
              <w:rPr>
                <w:rFonts w:cs="Arial"/>
                <w:lang w:eastAsia="en-NZ"/>
              </w:rPr>
            </w:pPr>
            <w:r w:rsidRPr="00BE00C7">
              <w:rPr>
                <w:rFonts w:cs="Arial"/>
                <w:lang w:eastAsia="en-NZ"/>
              </w:rPr>
              <w:t>Jean Sandel Retirement Village has a Māori health policy, a Māori health plan, and a Māori engagement framework, which collectively outlines how the facility responds to the cultural needs of Māori residents, and how it fulfils its obligations and responsibilities under Te Tiriti o Waitangi.</w:t>
            </w:r>
          </w:p>
          <w:p w14:paraId="0FEF58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audit, there were residents who identified as Māori. A review of the cultural aspect of the care plan showed that the care was provided equitably and based on Te Tiriti o Waitangi principles, with recognition of mana motuhake. </w:t>
            </w:r>
          </w:p>
          <w:p w14:paraId="6C33412E"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(five registered nurses [RNs] including three unit-coordinators, nine caregivers, maintenance lead and one senior lead cook) and three managers (village manager, resident services manager, and the clinical manager) interviewed confirmed that the staff have completed cultural safety training and are proficient in discussing principles of Treaty of Waitangi and applications within their roles.</w:t>
            </w:r>
          </w:p>
          <w:p w14:paraId="05586DB0" w14:textId="77777777" w:rsidR="00000000" w:rsidRPr="00BE00C7" w:rsidRDefault="00000000" w:rsidP="00BE00C7">
            <w:pPr>
              <w:pStyle w:val="OutcomeDescription"/>
              <w:spacing w:before="120" w:after="120"/>
              <w:rPr>
                <w:rFonts w:cs="Arial"/>
                <w:lang w:eastAsia="en-NZ"/>
              </w:rPr>
            </w:pPr>
          </w:p>
        </w:tc>
      </w:tr>
      <w:tr w:rsidR="00D65E12" w14:paraId="11C1381A" w14:textId="77777777">
        <w:tc>
          <w:tcPr>
            <w:tcW w:w="0" w:type="auto"/>
          </w:tcPr>
          <w:p w14:paraId="119180F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60E685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1C4AF50" w14:textId="77777777" w:rsidR="00000000" w:rsidRPr="00BE00C7" w:rsidRDefault="00000000" w:rsidP="00BE00C7">
            <w:pPr>
              <w:pStyle w:val="OutcomeDescription"/>
              <w:spacing w:before="120" w:after="120"/>
              <w:rPr>
                <w:rFonts w:cs="Arial"/>
                <w:lang w:eastAsia="en-NZ"/>
              </w:rPr>
            </w:pPr>
          </w:p>
        </w:tc>
        <w:tc>
          <w:tcPr>
            <w:tcW w:w="0" w:type="auto"/>
          </w:tcPr>
          <w:p w14:paraId="318659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1B714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current Pacific People’s policy which includes the Pacific health plan. These documents guide staff on how Pacific people who engage with the service are supported. During the audit, there were staff who identified as Pasifika and no Pacific residents at the facility. Staff when </w:t>
            </w:r>
            <w:r w:rsidRPr="00BE00C7">
              <w:rPr>
                <w:rFonts w:cs="Arial"/>
                <w:lang w:eastAsia="en-NZ"/>
              </w:rPr>
              <w:lastRenderedPageBreak/>
              <w:t>interviewed, demonstrated an understanding of Pacific culture, its relevance to their policies, and were knowledgeable about how to access community support for Pacific individuals.</w:t>
            </w:r>
          </w:p>
          <w:p w14:paraId="59D66A84" w14:textId="77777777" w:rsidR="00000000" w:rsidRPr="00BE00C7" w:rsidRDefault="00000000" w:rsidP="00BE00C7">
            <w:pPr>
              <w:pStyle w:val="OutcomeDescription"/>
              <w:spacing w:before="120" w:after="120"/>
              <w:rPr>
                <w:rFonts w:cs="Arial"/>
                <w:lang w:eastAsia="en-NZ"/>
              </w:rPr>
            </w:pPr>
          </w:p>
        </w:tc>
      </w:tr>
      <w:tr w:rsidR="00D65E12" w14:paraId="5F9FD261" w14:textId="77777777">
        <w:tc>
          <w:tcPr>
            <w:tcW w:w="0" w:type="auto"/>
          </w:tcPr>
          <w:p w14:paraId="3C91F15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5E59EA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5036D85" w14:textId="77777777" w:rsidR="00000000" w:rsidRPr="00BE00C7" w:rsidRDefault="00000000" w:rsidP="00BE00C7">
            <w:pPr>
              <w:pStyle w:val="OutcomeDescription"/>
              <w:spacing w:before="120" w:after="120"/>
              <w:rPr>
                <w:rFonts w:cs="Arial"/>
                <w:lang w:eastAsia="en-NZ"/>
              </w:rPr>
            </w:pPr>
          </w:p>
        </w:tc>
        <w:tc>
          <w:tcPr>
            <w:tcW w:w="0" w:type="auto"/>
          </w:tcPr>
          <w:p w14:paraId="3F8D316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ADFF9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welcome package is provided that contains details about the Health and Disability Commissioner (HDC) Code of Health and Disability Services Consumers’ Rights (the Code), and there is an opportunity for residents and their family/whānau to discuss aspects of the Code during the admission process. Interviews with eleven family/whānau (two from dementia, three from the hospital, and six rest home) and six residents (two hospital and four rest home) revealed that they received information at admission, which included the Code. </w:t>
            </w:r>
          </w:p>
          <w:p w14:paraId="7C32E0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Posters in large print featuring the Code and information on advocacy are prominently displayed across the facility in both English and te reo Māori. Both residents and family/whānau are briefed on the extent of services provided and any financial responsibilities for services not covered under the scope; all of which are detailed in the service agreement. Staff interviewed were knowledgeable about the Code and reported that they supported residents to know and understand their rights. </w:t>
            </w:r>
          </w:p>
          <w:p w14:paraId="46EBD038" w14:textId="77777777" w:rsidR="00000000" w:rsidRPr="00BE00C7" w:rsidRDefault="00000000" w:rsidP="00BE00C7">
            <w:pPr>
              <w:pStyle w:val="OutcomeDescription"/>
              <w:spacing w:before="120" w:after="120"/>
              <w:rPr>
                <w:rFonts w:cs="Arial"/>
                <w:lang w:eastAsia="en-NZ"/>
              </w:rPr>
            </w:pPr>
          </w:p>
        </w:tc>
      </w:tr>
      <w:tr w:rsidR="00D65E12" w14:paraId="168C7B9F" w14:textId="77777777">
        <w:tc>
          <w:tcPr>
            <w:tcW w:w="0" w:type="auto"/>
          </w:tcPr>
          <w:p w14:paraId="1156AB8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44FE4C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ACF85DF" w14:textId="77777777" w:rsidR="00000000" w:rsidRPr="00BE00C7" w:rsidRDefault="00000000" w:rsidP="00BE00C7">
            <w:pPr>
              <w:pStyle w:val="OutcomeDescription"/>
              <w:spacing w:before="120" w:after="120"/>
              <w:rPr>
                <w:rFonts w:cs="Arial"/>
                <w:lang w:eastAsia="en-NZ"/>
              </w:rPr>
            </w:pPr>
          </w:p>
        </w:tc>
        <w:tc>
          <w:tcPr>
            <w:tcW w:w="0" w:type="auto"/>
          </w:tcPr>
          <w:p w14:paraId="364FA8B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08FD5B" w14:textId="77777777" w:rsidR="00000000" w:rsidRPr="00BE00C7" w:rsidRDefault="00000000" w:rsidP="00BE00C7">
            <w:pPr>
              <w:pStyle w:val="OutcomeDescription"/>
              <w:spacing w:before="120" w:after="120"/>
              <w:rPr>
                <w:rFonts w:cs="Arial"/>
                <w:lang w:eastAsia="en-NZ"/>
              </w:rPr>
            </w:pPr>
            <w:r w:rsidRPr="00BE00C7">
              <w:rPr>
                <w:rFonts w:cs="Arial"/>
                <w:lang w:eastAsia="en-NZ"/>
              </w:rPr>
              <w:t>Jean Sandel Retirement Village has implemented a comprehensive training programme for all staff, focusing on sensitivity, ethics, and the importance of maintaining professional boundaries. This training is updated regularly to address emerging issues and reinforce the facility's zero-tolerance policy towards any form of abuse or discrimination. The effectiveness of this training is evident in the consistently positive feedback from resident and family/whānau satisfaction surveys, which highlight the respectful, compassionate care provided by the staff.</w:t>
            </w:r>
          </w:p>
          <w:p w14:paraId="58EC43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Bimonthly resident meetings provide a platform for voicing concerns and suggestions directly to management. Resident meetings have been </w:t>
            </w:r>
            <w:r w:rsidRPr="00BE00C7">
              <w:rPr>
                <w:rFonts w:cs="Arial"/>
                <w:lang w:eastAsia="en-NZ"/>
              </w:rPr>
              <w:lastRenderedPageBreak/>
              <w:t>instrumental in promoting a culture of openness and mutual respect, further ensuring that the rights and dignity of all residents are upheld. These measures, alongside the policies and procedures already in place, demonstrate the facility's ongoing commitment to creating a safe, inclusive environment that respects the dignity and rights of all individuals in its care.</w:t>
            </w:r>
          </w:p>
          <w:p w14:paraId="7AE0D5D8" w14:textId="77777777" w:rsidR="00000000" w:rsidRPr="00BE00C7" w:rsidRDefault="00000000" w:rsidP="00BE00C7">
            <w:pPr>
              <w:pStyle w:val="OutcomeDescription"/>
              <w:spacing w:before="120" w:after="120"/>
              <w:rPr>
                <w:rFonts w:cs="Arial"/>
                <w:lang w:eastAsia="en-NZ"/>
              </w:rPr>
            </w:pPr>
            <w:r w:rsidRPr="00BE00C7">
              <w:rPr>
                <w:rFonts w:cs="Arial"/>
                <w:lang w:eastAsia="en-NZ"/>
              </w:rPr>
              <w:t>Systems are established to oversee the personal finances of residents. Residents have the option to buy items from the facility's shop or have additional services and external purchases made on their behalf. The administrative staff maintains records of these transactions. Interviews with residents and family/whānau indicate that resident’s financial and property rights are upheld, and professional boundaries are consistently observed.</w:t>
            </w:r>
          </w:p>
          <w:p w14:paraId="1E78ACDE" w14:textId="77777777" w:rsidR="00000000" w:rsidRPr="00BE00C7" w:rsidRDefault="00000000" w:rsidP="00BE00C7">
            <w:pPr>
              <w:pStyle w:val="OutcomeDescription"/>
              <w:spacing w:before="120" w:after="120"/>
              <w:rPr>
                <w:rFonts w:cs="Arial"/>
                <w:lang w:eastAsia="en-NZ"/>
              </w:rPr>
            </w:pPr>
          </w:p>
        </w:tc>
      </w:tr>
      <w:tr w:rsidR="00D65E12" w14:paraId="10DD98A4" w14:textId="77777777">
        <w:tc>
          <w:tcPr>
            <w:tcW w:w="0" w:type="auto"/>
          </w:tcPr>
          <w:p w14:paraId="266F345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338B71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1D3D482" w14:textId="77777777" w:rsidR="00000000" w:rsidRPr="00BE00C7" w:rsidRDefault="00000000" w:rsidP="00BE00C7">
            <w:pPr>
              <w:pStyle w:val="OutcomeDescription"/>
              <w:spacing w:before="120" w:after="120"/>
              <w:rPr>
                <w:rFonts w:cs="Arial"/>
                <w:lang w:eastAsia="en-NZ"/>
              </w:rPr>
            </w:pPr>
          </w:p>
        </w:tc>
        <w:tc>
          <w:tcPr>
            <w:tcW w:w="0" w:type="auto"/>
          </w:tcPr>
          <w:p w14:paraId="368C1DB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5D194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reviewed included completed general consent forms and consents for influenza and Covid-19 vaccinations.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 </w:t>
            </w:r>
          </w:p>
          <w:p w14:paraId="669F85D1" w14:textId="77777777" w:rsidR="00000000" w:rsidRPr="00BE00C7" w:rsidRDefault="00000000" w:rsidP="00BE00C7">
            <w:pPr>
              <w:pStyle w:val="OutcomeDescription"/>
              <w:spacing w:before="120" w:after="120"/>
              <w:rPr>
                <w:rFonts w:cs="Arial"/>
                <w:lang w:eastAsia="en-NZ"/>
              </w:rPr>
            </w:pPr>
          </w:p>
        </w:tc>
      </w:tr>
      <w:tr w:rsidR="00D65E12" w14:paraId="392B681F" w14:textId="77777777">
        <w:tc>
          <w:tcPr>
            <w:tcW w:w="0" w:type="auto"/>
          </w:tcPr>
          <w:p w14:paraId="20358CC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166161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lastRenderedPageBreak/>
              <w:t>As service providers: We have a fair, transparent, and equitable system in place to easily receive and resolve or escalate complaints in a manner that leads to quality improvement.</w:t>
            </w:r>
          </w:p>
          <w:p w14:paraId="046A56DD" w14:textId="77777777" w:rsidR="00000000" w:rsidRPr="00BE00C7" w:rsidRDefault="00000000" w:rsidP="00BE00C7">
            <w:pPr>
              <w:pStyle w:val="OutcomeDescription"/>
              <w:spacing w:before="120" w:after="120"/>
              <w:rPr>
                <w:rFonts w:cs="Arial"/>
                <w:lang w:eastAsia="en-NZ"/>
              </w:rPr>
            </w:pPr>
          </w:p>
        </w:tc>
        <w:tc>
          <w:tcPr>
            <w:tcW w:w="0" w:type="auto"/>
          </w:tcPr>
          <w:p w14:paraId="7E92FBF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D99F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an equitable process that is provided to all residents and relatives on entry to the service. The village manager has overall responsibility for ensuring all complaints (verbal or written) are fully documented and investigated. Jean Sandel Retirement Village has an up-to-date complaint register. Concerns and complaints are discussed at relevant meetings. </w:t>
            </w:r>
          </w:p>
          <w:p w14:paraId="22CEB0F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There have been four complaints made in 2023 and one in 2024 year to date. There were no trends identified. Review of the complaint register showed that all complaints were managed in accordance with the Health and Disability Commissioner (HDC) guidelines. All concerns were addressed promptly, and resolution was documented. Where corrective actions were identified to improve the service; these were implemented and reported on.</w:t>
            </w:r>
          </w:p>
          <w:p w14:paraId="6E68EC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has been one coroner’s investigation dated September 2023. All required documentation and reports have been submitted to the coronial office. The investigation remains open, with no outcome yet received from the coroner. </w:t>
            </w:r>
          </w:p>
          <w:p w14:paraId="4A4A5C4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stated that they have a variety of avenues they can choose from to make a complaint or express a concern, including the bimonthly resident meetings and six-monthly family/whānau meetings. Interviews with the management team confirmed their understanding of the complaints process. Document review and staff interviews confirmed that the complaints process works equitably for Māori and support is available. There is an understanding that face to face meetings with whānau are preferred in resolving any issues for Māori.</w:t>
            </w:r>
          </w:p>
          <w:p w14:paraId="21C261B7" w14:textId="77777777" w:rsidR="00000000" w:rsidRPr="00BE00C7" w:rsidRDefault="00000000" w:rsidP="00BE00C7">
            <w:pPr>
              <w:pStyle w:val="OutcomeDescription"/>
              <w:spacing w:before="120" w:after="120"/>
              <w:rPr>
                <w:rFonts w:cs="Arial"/>
                <w:lang w:eastAsia="en-NZ"/>
              </w:rPr>
            </w:pPr>
          </w:p>
        </w:tc>
      </w:tr>
      <w:tr w:rsidR="00D65E12" w14:paraId="465B3B42" w14:textId="77777777">
        <w:tc>
          <w:tcPr>
            <w:tcW w:w="0" w:type="auto"/>
          </w:tcPr>
          <w:p w14:paraId="5146416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F480BF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9FF2299" w14:textId="77777777" w:rsidR="00000000" w:rsidRPr="00BE00C7" w:rsidRDefault="00000000" w:rsidP="00BE00C7">
            <w:pPr>
              <w:pStyle w:val="OutcomeDescription"/>
              <w:spacing w:before="120" w:after="120"/>
              <w:rPr>
                <w:rFonts w:cs="Arial"/>
                <w:lang w:eastAsia="en-NZ"/>
              </w:rPr>
            </w:pPr>
          </w:p>
        </w:tc>
        <w:tc>
          <w:tcPr>
            <w:tcW w:w="0" w:type="auto"/>
          </w:tcPr>
          <w:p w14:paraId="2BDF1FB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CFE0E2" w14:textId="77777777" w:rsidR="00000000" w:rsidRPr="00BE00C7" w:rsidRDefault="00000000" w:rsidP="00BE00C7">
            <w:pPr>
              <w:pStyle w:val="OutcomeDescription"/>
              <w:spacing w:before="120" w:after="120"/>
              <w:rPr>
                <w:rFonts w:cs="Arial"/>
                <w:lang w:eastAsia="en-NZ"/>
              </w:rPr>
            </w:pPr>
            <w:r w:rsidRPr="00BE00C7">
              <w:rPr>
                <w:rFonts w:cs="Arial"/>
                <w:lang w:eastAsia="en-NZ"/>
              </w:rPr>
              <w:t>Jean Sandel Retirement Village is owned and operated by Ryman Healthcare Group. The service is certified to provide dementia, rest home and hospital level of care (medical and geriatric) for up to 131 residents in total, with 111 residents in the care centre and 20 serviced apartments certified as suitable to provide rest home level care. There are 39 rest home beds on level one, 22 dementia beds and 50 dual purpose beds, both on level two. There are no shared or double rooms.</w:t>
            </w:r>
          </w:p>
          <w:p w14:paraId="26F30330" w14:textId="77777777" w:rsidR="00000000" w:rsidRPr="00BE00C7" w:rsidRDefault="00000000" w:rsidP="00BE00C7">
            <w:pPr>
              <w:pStyle w:val="OutcomeDescription"/>
              <w:spacing w:before="120" w:after="120"/>
              <w:rPr>
                <w:rFonts w:cs="Arial"/>
                <w:lang w:eastAsia="en-NZ"/>
              </w:rPr>
            </w:pPr>
            <w:r w:rsidRPr="00BE00C7">
              <w:rPr>
                <w:rFonts w:cs="Arial"/>
                <w:lang w:eastAsia="en-NZ"/>
              </w:rPr>
              <w:t>One lounge on level one was previously certified as being able to accommodate any referral for emergency respite care; this is now a whānau room and therefore the overall numbers decreased to 111 in the care centre.</w:t>
            </w:r>
          </w:p>
          <w:p w14:paraId="53CE0E0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a total of 107 residents on the day of the audit. This included 22 dementia level care residents, 39 hospital level care including two on respite and one on Accident Compensation Corporation (ACC) funding, and 46 rest home level care. All of the remaining residents were on the age-related residential care (ARRC) contract. </w:t>
            </w:r>
          </w:p>
          <w:p w14:paraId="22FDB26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Jean Sandel Retirement Village is managed by a village manager (non-clinical) who has been in the role for four years. They are supported by a resident services manager (two years in the role) and a clinical manager, who has been in the role since January 2024, but with Ryman for over eight years. </w:t>
            </w:r>
          </w:p>
          <w:p w14:paraId="79B133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Board oversees all aspects of the organisation's operations, from construction to village management. Under the Board, the Clinical Governance Committee is focused on supporting and enhancing the quality of Ryman’s clinical performance and care, and exploring new service provisions “Good enough for mom or dad. We do it safely or not at all.” These are key business goals for Ryman Healthcare and are embedded in everything they do, from the Board level to the village. Policy, procedure, and training resources ensure that these are embedded in all practices and day to day operations. Jean Sandel Retirement Village has business objectives that aligns with the Ryman strategic direction. The village objectives are reviewed and reported on quarterly.</w:t>
            </w:r>
          </w:p>
          <w:p w14:paraId="1E03C8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clinical governance structure in place with terms of reference that is appropriate to the size and complexity of the service provision. The Clinical Governance Committee (CGC) is a subcommittee of the Board. It monitors the villages' performance and assists the Board in discharging its responsibilities. The CGC is responsible for regularly reviewing and monitoring key performance indicators to ensure the organisation meets its quality and safety goals. The CGC members are Ryman Board members and Senior Ryman Leadership team members. The Board monitors performance of the company, with reports written quarterly. </w:t>
            </w:r>
          </w:p>
          <w:p w14:paraId="1225B6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has been developed in partnership with local iwi and community groups. This ensures that policy and procedure within the company and the governance body represents Te Tiriti partnership, address barriers to equitable service delivery, and improve outcomes to achieve equity for Māori. The Ryman quality auditor who has a Taha Māori focus, liaises with other teams within the business to assist achieving the cultural focussed goals. </w:t>
            </w:r>
          </w:p>
          <w:p w14:paraId="4BCB03BD" w14:textId="77777777" w:rsidR="00000000" w:rsidRPr="00BE00C7" w:rsidRDefault="00000000" w:rsidP="00BE00C7">
            <w:pPr>
              <w:pStyle w:val="OutcomeDescription"/>
              <w:spacing w:before="120" w:after="120"/>
              <w:rPr>
                <w:rFonts w:cs="Arial"/>
                <w:lang w:eastAsia="en-NZ"/>
              </w:rPr>
            </w:pPr>
          </w:p>
        </w:tc>
      </w:tr>
      <w:tr w:rsidR="00D65E12" w14:paraId="55F559BE" w14:textId="77777777">
        <w:tc>
          <w:tcPr>
            <w:tcW w:w="0" w:type="auto"/>
          </w:tcPr>
          <w:p w14:paraId="34FD256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E908C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lastRenderedPageBreak/>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A6716CC" w14:textId="77777777" w:rsidR="00000000" w:rsidRPr="00BE00C7" w:rsidRDefault="00000000" w:rsidP="00BE00C7">
            <w:pPr>
              <w:pStyle w:val="OutcomeDescription"/>
              <w:spacing w:before="120" w:after="120"/>
              <w:rPr>
                <w:rFonts w:cs="Arial"/>
                <w:lang w:eastAsia="en-NZ"/>
              </w:rPr>
            </w:pPr>
          </w:p>
        </w:tc>
        <w:tc>
          <w:tcPr>
            <w:tcW w:w="0" w:type="auto"/>
          </w:tcPr>
          <w:p w14:paraId="1FE25FC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8072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Jean Sandel Retirement Village is implementing the organisational quality and risk management programme. The quality and risk management systems include performance monitoring through internal audits and through the </w:t>
            </w:r>
            <w:r w:rsidRPr="00BE00C7">
              <w:rPr>
                <w:rFonts w:cs="Arial"/>
                <w:lang w:eastAsia="en-NZ"/>
              </w:rPr>
              <w:lastRenderedPageBreak/>
              <w:t>collection of clinical indicator data. Clinical indicator data is entered into the electronic resident management system and analysed at the head office, where the data is benchmarked within the organisation, and results are shared in staff meetings. The meeting schedule is being implemented. A range of meetings are held regularly, including full facility meetings, health and safety, infection control, and registered nurse meetings. Discussion with staff and review of records demonstrated that all subsequent learnings from audits and accidents/incidents that occurred, were reviewed through the head office to identify trends and learnings that could be used to effect change or influence practice.</w:t>
            </w:r>
          </w:p>
          <w:p w14:paraId="3CB6E2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monthly Team Ryman (quality/management) meetings and weekly managers meetings. Discussions include (but are not limited to) quality data; health and safety; infection control/pandemic strategies; complaints received (if any); staffing; and education. Internal audits were completed as scheduled, and outcomes show a high level of compliance with the Ryman policies and procedures. Any areas that required improvements had corrective actions developed, were followed up, and the audit was repeated, ensuring that the quality loop was closed. </w:t>
            </w:r>
          </w:p>
          <w:p w14:paraId="4F1D89C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Jean Sandel Retirement Village has village specific objectives for 2024 that include creating and enhancing resident and relative experience; reduce turnover and improve induction; health and safety; and reduction in clinical indicators, such as falls, wound management, medication errors, and to remain restraint free. Progress towards achieving these goals is monitored regularly. The objectives for 2023 were reviewed in January 2024, with evaluation of outcomes documented and discussed with staff. </w:t>
            </w:r>
          </w:p>
          <w:p w14:paraId="3B3B28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surveys were undertaken annually. Results were analysed, and a summary report was shared with staff, residents and family/whānau. Corrective actions were developed and follow-up implementations were completed. The continuous improvement project related to urinary tract infections (awarded at the previous audit) is ongoing, with consistently low rates of the infections and staff being proactive with risk minimisation strategies, including toileting and hydration. </w:t>
            </w:r>
          </w:p>
          <w:p w14:paraId="679CF3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comprehensive health and safety system in place with identified health and safety goals. The health and safety committee meets regularly according to schedule, with a wide range of topics covered as agenda topics, including work related risks, opportunities for improvements, and topics related to staff, residents, and visitors’ wellbeing. The hazard and risk </w:t>
            </w:r>
            <w:r w:rsidRPr="00BE00C7">
              <w:rPr>
                <w:rFonts w:cs="Arial"/>
                <w:lang w:eastAsia="en-NZ"/>
              </w:rPr>
              <w:lastRenderedPageBreak/>
              <w:t xml:space="preserve">registers detail the risk and how each risk is mitigated and controlled. These are reviewed annually (last reviewed May 2024) and were up to date with risks currently in the service. All resident incidents and accidents are recorded on the electronic system. Ten accident/incident forms reviewed evidenced immediate action noted and any follow-up action(s) required. Incident and accident data is collated monthly and analysed. Results are discussed in the quality and staff meetings and at handovers. </w:t>
            </w:r>
          </w:p>
          <w:p w14:paraId="0B3DBBF9"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clinical manager evidenced awareness of their requirement to notify relevant authorities in relation to essential notifications. There have been two Section 31 notifications completed to notify HealthCERT of a pressure injury in January 2024 and for the appointment of new clinical manager (January 2024) since the last audit. There have been four events notified to the Health Quality and Safety Commission (HQSC) since July 2024. Notification related to the five outbreaks was sent appropriately as sighted.</w:t>
            </w:r>
          </w:p>
          <w:p w14:paraId="5A60FDCC" w14:textId="77777777" w:rsidR="00000000" w:rsidRPr="00BE00C7" w:rsidRDefault="00000000" w:rsidP="00BE00C7">
            <w:pPr>
              <w:pStyle w:val="OutcomeDescription"/>
              <w:spacing w:before="120" w:after="120"/>
              <w:rPr>
                <w:rFonts w:cs="Arial"/>
                <w:lang w:eastAsia="en-NZ"/>
              </w:rPr>
            </w:pPr>
          </w:p>
        </w:tc>
      </w:tr>
      <w:tr w:rsidR="00D65E12" w14:paraId="2453733D" w14:textId="77777777">
        <w:tc>
          <w:tcPr>
            <w:tcW w:w="0" w:type="auto"/>
          </w:tcPr>
          <w:p w14:paraId="4080B7A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5131FA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9B2C952" w14:textId="77777777" w:rsidR="00000000" w:rsidRPr="00BE00C7" w:rsidRDefault="00000000" w:rsidP="00BE00C7">
            <w:pPr>
              <w:pStyle w:val="OutcomeDescription"/>
              <w:spacing w:before="120" w:after="120"/>
              <w:rPr>
                <w:rFonts w:cs="Arial"/>
                <w:lang w:eastAsia="en-NZ"/>
              </w:rPr>
            </w:pPr>
          </w:p>
        </w:tc>
        <w:tc>
          <w:tcPr>
            <w:tcW w:w="0" w:type="auto"/>
          </w:tcPr>
          <w:p w14:paraId="0AE245B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98C7F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Rosters implement the staffing rationale described in policy. Jean Sandel Retirement Village employs a total of 120 staff in various roles. There are no current staff vacancies. Staffing rosters were sighted, and there are staff on duty to meet the resident's clinical and cultural needs. Staff reported that short notice absences are filled with the cover pool/casual staff. The clinical manager is an experienced registered nurse with a current practising certificate, who works full time but was on a return-to-work programme at the time of the audit. They are supported by four unit-coordinators (dementia, rest home, hospital and serviced apartments) who stagger across a seven day a week schedule/roster. The unit coordinators share on call after hours for all clinical matters, with escalation to the clinical manager as required. The maintenance lead is available for maintenance and property related calls. </w:t>
            </w:r>
          </w:p>
          <w:p w14:paraId="713CCD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on the floor on the days of the audit were visible and were attending to call bells in a timely manner, as confirmed by all residents interviewed. Staff interviewed stated the staffing levels are satisfactory, and that the management team provide good support. Staff, residents and family/whānau are informed of any changes to staff; new staff are introduced to residents and family/whānau. There is 24/7 RN cover. </w:t>
            </w:r>
          </w:p>
          <w:p w14:paraId="44B25D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complete roles specific training that includes e-learning, case studies, </w:t>
            </w:r>
            <w:r w:rsidRPr="00BE00C7">
              <w:rPr>
                <w:rFonts w:cs="Arial"/>
                <w:lang w:eastAsia="en-NZ"/>
              </w:rPr>
              <w:lastRenderedPageBreak/>
              <w:t>reflective practice, and face to face training with speakers and webinars. There is an annual education and training schedule completed for 2023 and being implemented for 2024. There is an extensive training programme within the service, characterised by comprehensive records and a high rate of participation. This reflects a significant dedication to fostering staff development and enhancing competencies. The training programme included clinical training on different subjects, and training around the Code; infection control; restraint elimination; staff wellbeing; bullying and harassment; medication management; te reo Māori; tikanga Māori; Te Tiriti o Waitangi; cultural diversity, challenging behaviour and responding to distressed residents; infection prevention and control; and outbreak management.</w:t>
            </w:r>
          </w:p>
          <w:p w14:paraId="09B6AC50" w14:textId="77777777" w:rsidR="00000000" w:rsidRPr="00BE00C7" w:rsidRDefault="00000000" w:rsidP="00BE00C7">
            <w:pPr>
              <w:pStyle w:val="OutcomeDescription"/>
              <w:spacing w:before="120" w:after="120"/>
              <w:rPr>
                <w:rFonts w:cs="Arial"/>
                <w:lang w:eastAsia="en-NZ"/>
              </w:rPr>
            </w:pPr>
            <w:r w:rsidRPr="00BE00C7">
              <w:rPr>
                <w:rFonts w:cs="Arial"/>
                <w:lang w:eastAsia="en-NZ"/>
              </w:rPr>
              <w:t>A range of annual competencies are completed in relation to moving and handling, restraint, hand hygiene, correct use of personal protective equipment (PPE), and medication competencies.</w:t>
            </w:r>
          </w:p>
          <w:p w14:paraId="3FFD35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Jean Sandel Retirement Village supports all staff to transition through the New Zealand Qualification Authority (NZQA) Certificate for Health and Wellbeing. There are 73 caregivers, and 26 have achieved NZQA level 3 or above. Of the 45 staff who work in the dementia unit, 21 completed the required unit standards and 24 caregivers are in progress to achieve the standards within the required timeframe. </w:t>
            </w:r>
          </w:p>
          <w:p w14:paraId="70040B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19 registered nurses (including the four unit coordinators and clinical manager); eight of whom are interRAI trained. All registered nurses have completed the required competencies, including wound competencies and syringe driver training. Registered nurses are supported with external training and education sessions on demand. </w:t>
            </w:r>
          </w:p>
          <w:p w14:paraId="664947C6" w14:textId="77777777" w:rsidR="00000000" w:rsidRPr="00BE00C7" w:rsidRDefault="00000000" w:rsidP="00BE00C7">
            <w:pPr>
              <w:pStyle w:val="OutcomeDescription"/>
              <w:spacing w:before="120" w:after="120"/>
              <w:rPr>
                <w:rFonts w:cs="Arial"/>
                <w:lang w:eastAsia="en-NZ"/>
              </w:rPr>
            </w:pPr>
          </w:p>
        </w:tc>
      </w:tr>
      <w:tr w:rsidR="00D65E12" w14:paraId="4900B352" w14:textId="77777777">
        <w:tc>
          <w:tcPr>
            <w:tcW w:w="0" w:type="auto"/>
          </w:tcPr>
          <w:p w14:paraId="3078ABC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061AE4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w:t>
            </w:r>
            <w:r w:rsidRPr="00BE00C7">
              <w:rPr>
                <w:rFonts w:cs="Arial"/>
                <w:lang w:eastAsia="en-NZ"/>
              </w:rPr>
              <w:lastRenderedPageBreak/>
              <w:t>support workers who are skilled and qualified to provide clinically and culturally safe, respectful, quality care and services.</w:t>
            </w:r>
          </w:p>
          <w:p w14:paraId="5E66D4B8" w14:textId="77777777" w:rsidR="00000000" w:rsidRPr="00BE00C7" w:rsidRDefault="00000000" w:rsidP="00BE00C7">
            <w:pPr>
              <w:pStyle w:val="OutcomeDescription"/>
              <w:spacing w:before="120" w:after="120"/>
              <w:rPr>
                <w:rFonts w:cs="Arial"/>
                <w:lang w:eastAsia="en-NZ"/>
              </w:rPr>
            </w:pPr>
          </w:p>
        </w:tc>
        <w:tc>
          <w:tcPr>
            <w:tcW w:w="0" w:type="auto"/>
          </w:tcPr>
          <w:p w14:paraId="29FB80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74A05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Seven staff files reviewed (three caregivers, one registered nurse, one laundry person, one kitchen assistant, and one clinical manager) evidenced implementation of the recruitment process, employment contracts, police checking, and completed orientation. The Ryman Core orientation/induction programme includes key components of the service and provides new staff with relevant information for safe work practice. It is tailored specifically to each position and monitored from the e-learning platform. Employment records included signed code of conduct and house rules. </w:t>
            </w:r>
          </w:p>
          <w:p w14:paraId="053842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r w:rsidRPr="00BE00C7">
              <w:rPr>
                <w:rFonts w:cs="Arial"/>
                <w:lang w:eastAsia="en-NZ"/>
              </w:rPr>
              <w:lastRenderedPageBreak/>
              <w:t xml:space="preserve">including (but not limited to) registered nurses, general practitioners, nurse practitioner, physiotherapists, pharmacists, dietitian and podiatrist. The staff files reviewed evidenced annual appraisals are completed as scheduled. </w:t>
            </w:r>
          </w:p>
          <w:p w14:paraId="5A5D5131" w14:textId="77777777" w:rsidR="00000000" w:rsidRPr="00BE00C7" w:rsidRDefault="00000000" w:rsidP="00BE00C7">
            <w:pPr>
              <w:pStyle w:val="OutcomeDescription"/>
              <w:spacing w:before="120" w:after="120"/>
              <w:rPr>
                <w:rFonts w:cs="Arial"/>
                <w:lang w:eastAsia="en-NZ"/>
              </w:rPr>
            </w:pPr>
          </w:p>
        </w:tc>
      </w:tr>
      <w:tr w:rsidR="00D65E12" w14:paraId="37FAB39F" w14:textId="77777777">
        <w:tc>
          <w:tcPr>
            <w:tcW w:w="0" w:type="auto"/>
          </w:tcPr>
          <w:p w14:paraId="3AEC278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0B659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E92ECC4" w14:textId="77777777" w:rsidR="00000000" w:rsidRPr="00BE00C7" w:rsidRDefault="00000000" w:rsidP="00BE00C7">
            <w:pPr>
              <w:pStyle w:val="OutcomeDescription"/>
              <w:spacing w:before="120" w:after="120"/>
              <w:rPr>
                <w:rFonts w:cs="Arial"/>
                <w:lang w:eastAsia="en-NZ"/>
              </w:rPr>
            </w:pPr>
          </w:p>
        </w:tc>
        <w:tc>
          <w:tcPr>
            <w:tcW w:w="0" w:type="auto"/>
          </w:tcPr>
          <w:p w14:paraId="2592006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276502" w14:textId="77777777" w:rsidR="00000000" w:rsidRPr="00BE00C7" w:rsidRDefault="00000000" w:rsidP="00BE00C7">
            <w:pPr>
              <w:pStyle w:val="OutcomeDescription"/>
              <w:spacing w:before="120" w:after="120"/>
              <w:rPr>
                <w:rFonts w:cs="Arial"/>
                <w:lang w:eastAsia="en-NZ"/>
              </w:rPr>
            </w:pPr>
            <w:r w:rsidRPr="00BE00C7">
              <w:rPr>
                <w:rFonts w:cs="Arial"/>
                <w:lang w:eastAsia="en-NZ"/>
              </w:rPr>
              <w:t>Seven files were sampled and identified that initial assessments and initial care plans were resident centred and were completed in a timely manner. The files reviewed included two rest home, three hospital (including one respite, and one accident corporation commission (ACC), and two in the dementia unit.</w:t>
            </w:r>
          </w:p>
          <w:p w14:paraId="1B5AF0E5"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InterRAI assessments were completed within 21 days of admission in the files where this is required. The resident on respite had appropriate risk assessments and an initial care plan completed within 24 hours of admission. Care plans are based on data collected during the initial nursing assessments, and information from pre-entry assessments. The service uses assessment tools that include consideration of residents’ lived experiences, cultural needs, values, and beliefs. Interventions were resident focussed and provide detail to guide staff in the management of each resident’s care, as observed on the day of audit. Nursing care is undertaken by appropriately trained and skilled staff, including the nursing team and care staff. Resident, family/whānau, and the general practitioner or nurse practitioner involvement is encouraged in the development of the plan of care. Resident care is evaluated on each shift and reported at handover. Long-term care plans are formally evaluated every six months in conjunction with the interRAI re-assessments and when there is a change in the resident’s condition. Evaluations are documented by the registered nurses. Evaluations include the degree of achievement towards meeting desired goals and outcomes.</w:t>
            </w:r>
          </w:p>
          <w:p w14:paraId="0AD83BB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practitioners and nurse practitioner visit weekly and are available as required and on call for the residents. The general practitioners and nurse practitioner have completed the residents’ medical admissions within the required timeframes and conduct medical reviews promptly. Completed medical records were sighted in all files sampled. The general practitioner interviewed confirmed that communication was conducted in a transparent manner, medical input was sought in a timely, logical manner, and medical orders were followed appropriately. Residents’ files sampled identified service integration with other members of the health team. The contracted podiatrist visits the service every six to eight weeks. The physiotherapist attends one </w:t>
            </w:r>
            <w:r w:rsidRPr="00BE00C7">
              <w:rPr>
                <w:rFonts w:cs="Arial"/>
                <w:lang w:eastAsia="en-NZ"/>
              </w:rPr>
              <w:lastRenderedPageBreak/>
              <w:t xml:space="preserve">day a week and completes mobility assessments for residents. </w:t>
            </w:r>
          </w:p>
          <w:p w14:paraId="247789A3" w14:textId="77777777" w:rsidR="00000000" w:rsidRPr="00BE00C7" w:rsidRDefault="00000000" w:rsidP="00BE00C7">
            <w:pPr>
              <w:pStyle w:val="OutcomeDescription"/>
              <w:spacing w:before="120" w:after="120"/>
              <w:rPr>
                <w:rFonts w:cs="Arial"/>
                <w:lang w:eastAsia="en-NZ"/>
              </w:rPr>
            </w:pPr>
            <w:r w:rsidRPr="00BE00C7">
              <w:rPr>
                <w:rFonts w:cs="Arial"/>
                <w:lang w:eastAsia="en-NZ"/>
              </w:rPr>
              <w:t>Any incident involving a resident reflected a clinical assessment and a timely follow up by registered nurses. Family/whānau were notified following incidents. Opportunities to minimise future risks were identified by the unit coordinators, in consultation with the registered nurses and care staff. The registered nurses reported that sufficient and appropriate information is shared between the staff at each handover.</w:t>
            </w:r>
          </w:p>
          <w:p w14:paraId="18E807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Progress notes were completed on every shift and more often if there were any changes in a resident’s condition. Wound management plans were implemented with regular evaluation of these, including photographs. The wound care nurse specialists were consulted when required. An adequate supply of wound care products was available. A review of the wound care plans evidenced that wounds were assessed in a timely manner and reviewed at appropriate intervals. Photos were taken when this was required. At the time of audit, there was one stage II pressure injury. The other wounds included skin tears and bruises. </w:t>
            </w:r>
          </w:p>
          <w:p w14:paraId="18824E01"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enduring power of attorney (EPOA) and family/whānau responded by initiating changes to the care plan. A range of equipment and resources were available, suited to the level of care provided and in accordance with the residents’ needs. Enduring power of attorneys, family/whānau and residents interviewed confirmed their involvement in the evaluation of progress and any resulting changes.</w:t>
            </w:r>
          </w:p>
          <w:p w14:paraId="59F72F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following monitoring charts were completed in assessing and monitoring residents: fluid balance charts; intentional rounding; weights; turn charts; bowel charts; neurological observations forms; and blood glucose monitoring.</w:t>
            </w:r>
          </w:p>
          <w:p w14:paraId="0D029AD6" w14:textId="77777777" w:rsidR="00000000" w:rsidRPr="00BE00C7" w:rsidRDefault="00000000" w:rsidP="00FB2E0B">
            <w:pPr>
              <w:pStyle w:val="OutcomeDescription"/>
              <w:spacing w:before="120" w:after="120"/>
              <w:rPr>
                <w:rFonts w:cs="Arial"/>
                <w:lang w:eastAsia="en-NZ"/>
              </w:rPr>
            </w:pPr>
          </w:p>
        </w:tc>
      </w:tr>
      <w:tr w:rsidR="00D65E12" w14:paraId="11B8859B" w14:textId="77777777">
        <w:tc>
          <w:tcPr>
            <w:tcW w:w="0" w:type="auto"/>
          </w:tcPr>
          <w:p w14:paraId="27C9B73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086E5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w:t>
            </w:r>
            <w:r w:rsidRPr="00BE00C7">
              <w:rPr>
                <w:rFonts w:cs="Arial"/>
                <w:lang w:eastAsia="en-NZ"/>
              </w:rPr>
              <w:lastRenderedPageBreak/>
              <w:t>that complies with current legislative requirements and safe practice guidelines.</w:t>
            </w:r>
          </w:p>
          <w:p w14:paraId="520F85F6" w14:textId="77777777" w:rsidR="00000000" w:rsidRPr="00BE00C7" w:rsidRDefault="00000000" w:rsidP="00BE00C7">
            <w:pPr>
              <w:pStyle w:val="OutcomeDescription"/>
              <w:spacing w:before="120" w:after="120"/>
              <w:rPr>
                <w:rFonts w:cs="Arial"/>
                <w:lang w:eastAsia="en-NZ"/>
              </w:rPr>
            </w:pPr>
          </w:p>
        </w:tc>
        <w:tc>
          <w:tcPr>
            <w:tcW w:w="0" w:type="auto"/>
          </w:tcPr>
          <w:p w14:paraId="389309B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E833C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 safe system for medicine management is in use. Registered health professionals operating within their role and scope of practice are responsible for the prescribing, dispensing, administration, review, and reconciliation of all medicines. Administration records were maintained. Medications are supplied to the facility from a contracted pharmacy. The general practitioner and nurse practitioner have completed </w:t>
            </w:r>
            <w:r w:rsidRPr="00BE00C7">
              <w:rPr>
                <w:rFonts w:cs="Arial"/>
                <w:lang w:eastAsia="en-NZ"/>
              </w:rPr>
              <w:lastRenderedPageBreak/>
              <w:t>three-monthly medication reviews, as sighted in medication records reviewed.</w:t>
            </w:r>
          </w:p>
          <w:p w14:paraId="16183184" w14:textId="77777777" w:rsidR="00000000" w:rsidRPr="00BE00C7" w:rsidRDefault="00000000" w:rsidP="00BE00C7">
            <w:pPr>
              <w:pStyle w:val="OutcomeDescription"/>
              <w:spacing w:before="120" w:after="120"/>
              <w:rPr>
                <w:rFonts w:cs="Arial"/>
                <w:lang w:eastAsia="en-NZ"/>
              </w:rPr>
            </w:pPr>
            <w:r w:rsidRPr="00BE00C7">
              <w:rPr>
                <w:rFonts w:cs="Arial"/>
                <w:lang w:eastAsia="en-NZ"/>
              </w:rPr>
              <w:t>A total of fourteen medication charts were reviewed. Allergies were indicated, and the photographs on the electronic medication management system were current. Indications for use were documented for pro re nata (PRN) medications, including over-the-counter medications and supplements on the medication charts. The effectiveness of PRN medications was consistently documented in the electronic medication management system and progress notes. Eye drops were dated on opening.</w:t>
            </w:r>
          </w:p>
          <w:p w14:paraId="39305A1D"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hospital or any external appointments. The nursing team checked medicines against the prescription, and these were updated in the electronic medication management system. Medication competencies were current, and these were completed in the last 12 months for all staff administering medicines. Medication incidents were completed in the event of a drug error and corrective actions were acted upon. There were no expired or unwanted medicines. Expired medicines were being returned to the pharmacy promptly. Monitoring of medicine fridges was being conducted daily and deviations from normal were reported and attended to promptly.</w:t>
            </w:r>
          </w:p>
          <w:p w14:paraId="0EFDD71D"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were observed to be administered safely and correctly. Medications were stored safely and securely in the trolley, locked treatment rooms and cupboards in all three medication rooms. There were no residents who were self-administering their medications. However, staff confirmed there is policy and procedure to guide staff, should a resident wish to do so. The medications were stored safely. There were no standing orders in use.</w:t>
            </w:r>
          </w:p>
          <w:p w14:paraId="3B323F70" w14:textId="77777777" w:rsidR="00000000" w:rsidRPr="00BE00C7" w:rsidRDefault="00000000" w:rsidP="00BE00C7">
            <w:pPr>
              <w:pStyle w:val="OutcomeDescription"/>
              <w:spacing w:before="120" w:after="120"/>
              <w:rPr>
                <w:rFonts w:cs="Arial"/>
                <w:lang w:eastAsia="en-NZ"/>
              </w:rPr>
            </w:pPr>
          </w:p>
        </w:tc>
      </w:tr>
      <w:tr w:rsidR="00D65E12" w14:paraId="7A1C0615" w14:textId="77777777">
        <w:tc>
          <w:tcPr>
            <w:tcW w:w="0" w:type="auto"/>
          </w:tcPr>
          <w:p w14:paraId="6EEA3D9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B4978C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are met to promote and maintain their health </w:t>
            </w:r>
            <w:r w:rsidRPr="00BE00C7">
              <w:rPr>
                <w:rFonts w:cs="Arial"/>
                <w:lang w:eastAsia="en-NZ"/>
              </w:rPr>
              <w:lastRenderedPageBreak/>
              <w:t>and wellbeing.</w:t>
            </w:r>
          </w:p>
          <w:p w14:paraId="3CAA9F97" w14:textId="77777777" w:rsidR="00000000" w:rsidRPr="00BE00C7" w:rsidRDefault="00000000" w:rsidP="00BE00C7">
            <w:pPr>
              <w:pStyle w:val="OutcomeDescription"/>
              <w:spacing w:before="120" w:after="120"/>
              <w:rPr>
                <w:rFonts w:cs="Arial"/>
                <w:lang w:eastAsia="en-NZ"/>
              </w:rPr>
            </w:pPr>
          </w:p>
        </w:tc>
        <w:tc>
          <w:tcPr>
            <w:tcW w:w="0" w:type="auto"/>
          </w:tcPr>
          <w:p w14:paraId="78B93A0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F3CDA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four-week seasonal menu is reviewed by a registered dietitian. Food preferences and cultural preferences are encompassed into the menu. The kitchen receives resident dietary information and is notified of any dietary changes for residents. Dislikes and special dietary requirements are accommodated, including food allergies. Residents and family/whānau interviewed confirmed the kitchen team accommodate residents’ requests. There is a verified food control plan to 9 May 2025. The residents and family/whānau gave mixed reviews regarding the standard of the meals served. Nutritious snacks were available 24/7.</w:t>
            </w:r>
          </w:p>
          <w:p w14:paraId="48262310" w14:textId="77777777" w:rsidR="00000000" w:rsidRPr="00BE00C7" w:rsidRDefault="00000000" w:rsidP="00BE00C7">
            <w:pPr>
              <w:pStyle w:val="OutcomeDescription"/>
              <w:spacing w:before="120" w:after="120"/>
              <w:rPr>
                <w:rFonts w:cs="Arial"/>
                <w:lang w:eastAsia="en-NZ"/>
              </w:rPr>
            </w:pPr>
          </w:p>
        </w:tc>
      </w:tr>
      <w:tr w:rsidR="00D65E12" w14:paraId="658DB5CD" w14:textId="77777777">
        <w:tc>
          <w:tcPr>
            <w:tcW w:w="0" w:type="auto"/>
          </w:tcPr>
          <w:p w14:paraId="20225BB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124B6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8790EA1" w14:textId="77777777" w:rsidR="00000000" w:rsidRPr="00BE00C7" w:rsidRDefault="00000000" w:rsidP="00BE00C7">
            <w:pPr>
              <w:pStyle w:val="OutcomeDescription"/>
              <w:spacing w:before="120" w:after="120"/>
              <w:rPr>
                <w:rFonts w:cs="Arial"/>
                <w:lang w:eastAsia="en-NZ"/>
              </w:rPr>
            </w:pPr>
          </w:p>
        </w:tc>
        <w:tc>
          <w:tcPr>
            <w:tcW w:w="0" w:type="auto"/>
          </w:tcPr>
          <w:p w14:paraId="37332C0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2DC8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documented process in the management of the early discharge/unexpected discharge plan and transfer from services. Discharges are overseen by the clinical team who manage the process until exit. This is conducted in consultation with the resident, family/whānau, and other external agencies. Risks are identified and managed as required. </w:t>
            </w:r>
          </w:p>
          <w:p w14:paraId="146B6E60" w14:textId="77777777" w:rsidR="00000000" w:rsidRPr="00BE00C7" w:rsidRDefault="00000000"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wound care nurse specialists, were sighted in the files reviewed. Residents and family/whānau are involved in all transfers or discharges to and from the service and there was sufficient evidence in the residents’ records to confirm this.</w:t>
            </w:r>
          </w:p>
          <w:p w14:paraId="78761843" w14:textId="77777777" w:rsidR="00000000" w:rsidRPr="00BE00C7" w:rsidRDefault="00000000" w:rsidP="00BE00C7">
            <w:pPr>
              <w:pStyle w:val="OutcomeDescription"/>
              <w:spacing w:before="120" w:after="120"/>
              <w:rPr>
                <w:rFonts w:cs="Arial"/>
                <w:lang w:eastAsia="en-NZ"/>
              </w:rPr>
            </w:pPr>
          </w:p>
        </w:tc>
      </w:tr>
      <w:tr w:rsidR="00D65E12" w14:paraId="7D097922" w14:textId="77777777">
        <w:tc>
          <w:tcPr>
            <w:tcW w:w="0" w:type="auto"/>
          </w:tcPr>
          <w:p w14:paraId="0884763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CB879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C18C7BD" w14:textId="77777777" w:rsidR="00000000" w:rsidRPr="00BE00C7" w:rsidRDefault="00000000" w:rsidP="00BE00C7">
            <w:pPr>
              <w:pStyle w:val="OutcomeDescription"/>
              <w:spacing w:before="120" w:after="120"/>
              <w:rPr>
                <w:rFonts w:cs="Arial"/>
                <w:lang w:eastAsia="en-NZ"/>
              </w:rPr>
            </w:pPr>
          </w:p>
        </w:tc>
        <w:tc>
          <w:tcPr>
            <w:tcW w:w="0" w:type="auto"/>
          </w:tcPr>
          <w:p w14:paraId="4DB35AA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A98C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Jean Sandel Retirement Village and comply with legislation relevant to the Health and Disability services being provided. The environment is inclusive of people’s cultures and supports cultural practices. </w:t>
            </w:r>
          </w:p>
          <w:p w14:paraId="2791A0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current building warrant of fitness expires 24 January 2025. There is an annual maintenance plan that includes electrical testing and tagging, equipment checks, call bell checks, calibration of medical equipment, and monthly testing of hot water temperatures. Essential contractors/tradespeople are available 24 hours a day as required. The maintenance lead provides after-hours support for maintenance issues as required. Hot water temperature recording reviewed had corrective actions undertaken when outside of expected ranges.</w:t>
            </w:r>
          </w:p>
          <w:p w14:paraId="18C5F30A" w14:textId="77777777" w:rsidR="00000000" w:rsidRPr="00BE00C7" w:rsidRDefault="00000000" w:rsidP="00BE00C7">
            <w:pPr>
              <w:pStyle w:val="OutcomeDescription"/>
              <w:spacing w:before="120" w:after="120"/>
              <w:rPr>
                <w:rFonts w:cs="Arial"/>
                <w:lang w:eastAsia="en-NZ"/>
              </w:rPr>
            </w:pPr>
          </w:p>
        </w:tc>
      </w:tr>
      <w:tr w:rsidR="00D65E12" w14:paraId="3CFB7307" w14:textId="77777777">
        <w:tc>
          <w:tcPr>
            <w:tcW w:w="0" w:type="auto"/>
          </w:tcPr>
          <w:p w14:paraId="6F78F78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EBCB8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lastRenderedPageBreak/>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8F94B74" w14:textId="77777777" w:rsidR="00000000" w:rsidRPr="00BE00C7" w:rsidRDefault="00000000" w:rsidP="00BE00C7">
            <w:pPr>
              <w:pStyle w:val="OutcomeDescription"/>
              <w:spacing w:before="120" w:after="120"/>
              <w:rPr>
                <w:rFonts w:cs="Arial"/>
                <w:lang w:eastAsia="en-NZ"/>
              </w:rPr>
            </w:pPr>
          </w:p>
        </w:tc>
        <w:tc>
          <w:tcPr>
            <w:tcW w:w="0" w:type="auto"/>
          </w:tcPr>
          <w:p w14:paraId="0ED09D8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37E5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is appropriate for the size and complexity of the service. The programme is linked to the quality improvement programme and approved by the governing body. The infection control policies were developed with input from infection control specialists, and these comply with relevant legislation and accepted best practice. The </w:t>
            </w:r>
            <w:r w:rsidRPr="00BE00C7">
              <w:rPr>
                <w:rFonts w:cs="Arial"/>
                <w:lang w:eastAsia="en-NZ"/>
              </w:rPr>
              <w:lastRenderedPageBreak/>
              <w:t>infection control programme is reviewed annually by the Infection Prevention and Antimicrobial Stewardship (IPAS) governance committee.</w:t>
            </w:r>
          </w:p>
          <w:p w14:paraId="1F621A8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manager is the infection control officer. Along with the expertise from the Ryman head office, the clinical manager advise staff on the management of infection control issues and the completion of audits. Staff interviews confirmed that infections are managed appropriately, reflecting adherence to established protocols.</w:t>
            </w:r>
          </w:p>
          <w:p w14:paraId="11A128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staff training records evidenced that staff mandatory infection control and prevention related training was up to date, with a high number of staff attending. Staff have received education in infection control at orientation and through ongoing annual online education sessions. Additional staff education around the prevention and management of infectious outbreaks is ongoing. The training includes reminders about hand hygiene and advice around ensuring residents remain in their room if they are unwell. Staff who were interviewed demonstrated a good understanding of infection control and prevention measures. </w:t>
            </w:r>
          </w:p>
          <w:p w14:paraId="6E8D4776" w14:textId="77777777" w:rsidR="00000000" w:rsidRPr="00BE00C7" w:rsidRDefault="00000000" w:rsidP="00BE00C7">
            <w:pPr>
              <w:pStyle w:val="OutcomeDescription"/>
              <w:spacing w:before="120" w:after="120"/>
              <w:rPr>
                <w:rFonts w:cs="Arial"/>
                <w:lang w:eastAsia="en-NZ"/>
              </w:rPr>
            </w:pPr>
          </w:p>
        </w:tc>
      </w:tr>
      <w:tr w:rsidR="00D65E12" w14:paraId="6E6705AB" w14:textId="77777777">
        <w:tc>
          <w:tcPr>
            <w:tcW w:w="0" w:type="auto"/>
          </w:tcPr>
          <w:p w14:paraId="1578A27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FFCAD2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B8BA4C9" w14:textId="77777777" w:rsidR="00000000" w:rsidRPr="00BE00C7" w:rsidRDefault="00000000" w:rsidP="00BE00C7">
            <w:pPr>
              <w:pStyle w:val="OutcomeDescription"/>
              <w:spacing w:before="120" w:after="120"/>
              <w:rPr>
                <w:rFonts w:cs="Arial"/>
                <w:lang w:eastAsia="en-NZ"/>
              </w:rPr>
            </w:pPr>
          </w:p>
        </w:tc>
        <w:tc>
          <w:tcPr>
            <w:tcW w:w="0" w:type="auto"/>
          </w:tcPr>
          <w:p w14:paraId="273D70E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2175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tailored to the facility's size and service complexity, with thorough monitoring and management of infections. Monthly data on various infections, including those affecting the urinary tract, skin, eyes, respiratory system, and wounds are meticulously collected, based on signs, symptoms, and infection definitions. This information is logged into an electronic infection register and detailed in a monthly infection summary, where infections, including specific organisms, are reviewed. Subsequently, action plans are formulated and executed, which is also analysed monthly and annually for trend identification. Additionally, the infection control data captures information on ethnicity. Any infections of concern are reported to the IPAS governance committee. The facility continues to have low rates of urinary tract infections, with various initiatives being implemented. </w:t>
            </w:r>
          </w:p>
          <w:p w14:paraId="4DB2486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experienced five Covid-19 related outbreaks (April 2023, February 2024, May 2024, July 2024 and September 2024) since previous audit. A document review evidence case logs, appropriate reporting and debrief meetings. Residents and family/whānau are updated regularly during outbreaks. Staff have received training in relation to infection prevention, including donning and doffing of personal protective equipment and hand </w:t>
            </w:r>
            <w:r w:rsidRPr="00BE00C7">
              <w:rPr>
                <w:rFonts w:cs="Arial"/>
                <w:lang w:eastAsia="en-NZ"/>
              </w:rPr>
              <w:lastRenderedPageBreak/>
              <w:t xml:space="preserve">hygiene. </w:t>
            </w:r>
          </w:p>
          <w:p w14:paraId="4B900044" w14:textId="77777777" w:rsidR="00000000" w:rsidRPr="00BE00C7" w:rsidRDefault="00000000" w:rsidP="00BE00C7">
            <w:pPr>
              <w:pStyle w:val="OutcomeDescription"/>
              <w:spacing w:before="120" w:after="120"/>
              <w:rPr>
                <w:rFonts w:cs="Arial"/>
                <w:lang w:eastAsia="en-NZ"/>
              </w:rPr>
            </w:pPr>
          </w:p>
        </w:tc>
      </w:tr>
      <w:tr w:rsidR="00D65E12" w14:paraId="30CC4E65" w14:textId="77777777">
        <w:tc>
          <w:tcPr>
            <w:tcW w:w="0" w:type="auto"/>
          </w:tcPr>
          <w:p w14:paraId="0151709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C58903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CA08B01" w14:textId="77777777" w:rsidR="00000000" w:rsidRPr="00BE00C7" w:rsidRDefault="00000000" w:rsidP="00BE00C7">
            <w:pPr>
              <w:pStyle w:val="OutcomeDescription"/>
              <w:spacing w:before="120" w:after="120"/>
              <w:rPr>
                <w:rFonts w:cs="Arial"/>
                <w:lang w:eastAsia="en-NZ"/>
              </w:rPr>
            </w:pPr>
          </w:p>
        </w:tc>
        <w:tc>
          <w:tcPr>
            <w:tcW w:w="0" w:type="auto"/>
          </w:tcPr>
          <w:p w14:paraId="16019D9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075B2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The regional restraint group is responsible for the Ryman restraint elimination strategy and for monitoring restraint use in the organisation. </w:t>
            </w:r>
          </w:p>
          <w:p w14:paraId="5040FB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If a resident who identifies as Māori requires restraint, cultural advice would be sought with whānau input to explore spiritual and cultural values prior to the decision to use restraint being made. The restraint coordinator is a registered nurse and confirmed that the service is committed to a restraint-free environment. The service has effective strategies in place to eliminate the use of restraint, these include training and the planning of care. </w:t>
            </w:r>
          </w:p>
          <w:p w14:paraId="67F596C8"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no restraint was in use or had been for an extended period. If restraint were to be considered, this would be as a last resort when all alternatives had been explored. Staff complete restraint minimisation training as part of their orientation and annual mandatory education schedule.</w:t>
            </w:r>
          </w:p>
          <w:p w14:paraId="53A66061" w14:textId="77777777" w:rsidR="00000000" w:rsidRPr="00BE00C7" w:rsidRDefault="00000000" w:rsidP="00BE00C7">
            <w:pPr>
              <w:pStyle w:val="OutcomeDescription"/>
              <w:spacing w:before="120" w:after="120"/>
              <w:rPr>
                <w:rFonts w:cs="Arial"/>
                <w:lang w:eastAsia="en-NZ"/>
              </w:rPr>
            </w:pPr>
          </w:p>
        </w:tc>
      </w:tr>
    </w:tbl>
    <w:p w14:paraId="28E83469"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6F2F7111" w14:textId="77777777" w:rsidR="00000000" w:rsidRDefault="00000000">
      <w:pPr>
        <w:pStyle w:val="Heading1"/>
        <w:rPr>
          <w:rFonts w:cs="Arial"/>
        </w:rPr>
      </w:pPr>
      <w:r>
        <w:rPr>
          <w:rFonts w:cs="Arial"/>
        </w:rPr>
        <w:lastRenderedPageBreak/>
        <w:t>Specific results for criterion where corrective actions are required</w:t>
      </w:r>
    </w:p>
    <w:p w14:paraId="0A11799D"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B7326D1"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BA51543"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65E12" w14:paraId="6AF029B6" w14:textId="77777777">
        <w:tc>
          <w:tcPr>
            <w:tcW w:w="0" w:type="auto"/>
          </w:tcPr>
          <w:p w14:paraId="372D966A"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A7D16B8"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BDD3E06" w14:textId="77777777" w:rsidR="00000000" w:rsidRDefault="00000000">
      <w:pPr>
        <w:pStyle w:val="Heading1"/>
        <w:rPr>
          <w:rFonts w:cs="Arial"/>
        </w:rPr>
      </w:pPr>
      <w:r>
        <w:rPr>
          <w:rFonts w:cs="Arial"/>
        </w:rPr>
        <w:lastRenderedPageBreak/>
        <w:t>Specific results for criterion where a continuous improvement has been recorded</w:t>
      </w:r>
    </w:p>
    <w:p w14:paraId="01A15A54"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612FC71"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16B502C"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65E12" w14:paraId="1947B4F7" w14:textId="77777777">
        <w:tc>
          <w:tcPr>
            <w:tcW w:w="0" w:type="auto"/>
          </w:tcPr>
          <w:p w14:paraId="4CEF7426"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EF6356E"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766CA4A9"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FB24" w14:textId="77777777" w:rsidR="00EB4BEB" w:rsidRDefault="00EB4BEB">
      <w:r>
        <w:separator/>
      </w:r>
    </w:p>
  </w:endnote>
  <w:endnote w:type="continuationSeparator" w:id="0">
    <w:p w14:paraId="24BB0032" w14:textId="77777777" w:rsidR="00EB4BEB" w:rsidRDefault="00EB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13DB" w14:textId="77777777" w:rsidR="00000000" w:rsidRDefault="00000000">
    <w:pPr>
      <w:pStyle w:val="Footer"/>
    </w:pPr>
  </w:p>
  <w:p w14:paraId="035EBDB6" w14:textId="77777777" w:rsidR="00000000" w:rsidRDefault="00000000"/>
  <w:p w14:paraId="64A09A0D"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46AF"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Jean Sandel Retirement Village Limited - Jean Sandel Retirement Village</w:t>
    </w:r>
    <w:bookmarkEnd w:id="59"/>
    <w:r>
      <w:rPr>
        <w:rFonts w:cs="Arial"/>
        <w:sz w:val="16"/>
        <w:szCs w:val="20"/>
      </w:rPr>
      <w:tab/>
      <w:t xml:space="preserve">Date of Audit: </w:t>
    </w:r>
    <w:bookmarkStart w:id="60" w:name="AuditStartDate1"/>
    <w:r>
      <w:rPr>
        <w:rFonts w:cs="Arial"/>
        <w:sz w:val="16"/>
        <w:szCs w:val="20"/>
      </w:rPr>
      <w:t>24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7A37174"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FB7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BE06" w14:textId="77777777" w:rsidR="00EB4BEB" w:rsidRDefault="00EB4BEB">
      <w:r>
        <w:separator/>
      </w:r>
    </w:p>
  </w:footnote>
  <w:footnote w:type="continuationSeparator" w:id="0">
    <w:p w14:paraId="5A5A2C7E" w14:textId="77777777" w:rsidR="00EB4BEB" w:rsidRDefault="00EB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1FA5" w14:textId="77777777" w:rsidR="00000000" w:rsidRDefault="00000000">
    <w:pPr>
      <w:pStyle w:val="Header"/>
    </w:pPr>
  </w:p>
  <w:p w14:paraId="0381F3DB"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557C" w14:textId="77777777" w:rsidR="00000000" w:rsidRDefault="00000000">
    <w:pPr>
      <w:pStyle w:val="Header"/>
    </w:pPr>
  </w:p>
  <w:p w14:paraId="3E043C2E"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37A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50241C4">
      <w:start w:val="1"/>
      <w:numFmt w:val="decimal"/>
      <w:lvlText w:val="%1."/>
      <w:lvlJc w:val="left"/>
      <w:pPr>
        <w:ind w:left="360" w:hanging="360"/>
      </w:pPr>
    </w:lvl>
    <w:lvl w:ilvl="1" w:tplc="5F0E2F8E" w:tentative="1">
      <w:start w:val="1"/>
      <w:numFmt w:val="lowerLetter"/>
      <w:lvlText w:val="%2."/>
      <w:lvlJc w:val="left"/>
      <w:pPr>
        <w:ind w:left="1080" w:hanging="360"/>
      </w:pPr>
    </w:lvl>
    <w:lvl w:ilvl="2" w:tplc="CB16A522" w:tentative="1">
      <w:start w:val="1"/>
      <w:numFmt w:val="lowerRoman"/>
      <w:lvlText w:val="%3."/>
      <w:lvlJc w:val="right"/>
      <w:pPr>
        <w:ind w:left="1800" w:hanging="180"/>
      </w:pPr>
    </w:lvl>
    <w:lvl w:ilvl="3" w:tplc="8FCC32EA" w:tentative="1">
      <w:start w:val="1"/>
      <w:numFmt w:val="decimal"/>
      <w:lvlText w:val="%4."/>
      <w:lvlJc w:val="left"/>
      <w:pPr>
        <w:ind w:left="2520" w:hanging="360"/>
      </w:pPr>
    </w:lvl>
    <w:lvl w:ilvl="4" w:tplc="C0725874" w:tentative="1">
      <w:start w:val="1"/>
      <w:numFmt w:val="lowerLetter"/>
      <w:lvlText w:val="%5."/>
      <w:lvlJc w:val="left"/>
      <w:pPr>
        <w:ind w:left="3240" w:hanging="360"/>
      </w:pPr>
    </w:lvl>
    <w:lvl w:ilvl="5" w:tplc="AEE62C40" w:tentative="1">
      <w:start w:val="1"/>
      <w:numFmt w:val="lowerRoman"/>
      <w:lvlText w:val="%6."/>
      <w:lvlJc w:val="right"/>
      <w:pPr>
        <w:ind w:left="3960" w:hanging="180"/>
      </w:pPr>
    </w:lvl>
    <w:lvl w:ilvl="6" w:tplc="1040BF72" w:tentative="1">
      <w:start w:val="1"/>
      <w:numFmt w:val="decimal"/>
      <w:lvlText w:val="%7."/>
      <w:lvlJc w:val="left"/>
      <w:pPr>
        <w:ind w:left="4680" w:hanging="360"/>
      </w:pPr>
    </w:lvl>
    <w:lvl w:ilvl="7" w:tplc="F67E05BA" w:tentative="1">
      <w:start w:val="1"/>
      <w:numFmt w:val="lowerLetter"/>
      <w:lvlText w:val="%8."/>
      <w:lvlJc w:val="left"/>
      <w:pPr>
        <w:ind w:left="5400" w:hanging="360"/>
      </w:pPr>
    </w:lvl>
    <w:lvl w:ilvl="8" w:tplc="E91EDAF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51EA5A0">
      <w:start w:val="1"/>
      <w:numFmt w:val="bullet"/>
      <w:lvlText w:val=""/>
      <w:lvlJc w:val="left"/>
      <w:pPr>
        <w:ind w:left="720" w:hanging="360"/>
      </w:pPr>
      <w:rPr>
        <w:rFonts w:ascii="Symbol" w:hAnsi="Symbol" w:hint="default"/>
      </w:rPr>
    </w:lvl>
    <w:lvl w:ilvl="1" w:tplc="8B466442" w:tentative="1">
      <w:start w:val="1"/>
      <w:numFmt w:val="bullet"/>
      <w:lvlText w:val="o"/>
      <w:lvlJc w:val="left"/>
      <w:pPr>
        <w:ind w:left="1440" w:hanging="360"/>
      </w:pPr>
      <w:rPr>
        <w:rFonts w:ascii="Courier New" w:hAnsi="Courier New" w:cs="Courier New" w:hint="default"/>
      </w:rPr>
    </w:lvl>
    <w:lvl w:ilvl="2" w:tplc="AB58CA10" w:tentative="1">
      <w:start w:val="1"/>
      <w:numFmt w:val="bullet"/>
      <w:lvlText w:val=""/>
      <w:lvlJc w:val="left"/>
      <w:pPr>
        <w:ind w:left="2160" w:hanging="360"/>
      </w:pPr>
      <w:rPr>
        <w:rFonts w:ascii="Wingdings" w:hAnsi="Wingdings" w:hint="default"/>
      </w:rPr>
    </w:lvl>
    <w:lvl w:ilvl="3" w:tplc="753E5152" w:tentative="1">
      <w:start w:val="1"/>
      <w:numFmt w:val="bullet"/>
      <w:lvlText w:val=""/>
      <w:lvlJc w:val="left"/>
      <w:pPr>
        <w:ind w:left="2880" w:hanging="360"/>
      </w:pPr>
      <w:rPr>
        <w:rFonts w:ascii="Symbol" w:hAnsi="Symbol" w:hint="default"/>
      </w:rPr>
    </w:lvl>
    <w:lvl w:ilvl="4" w:tplc="10C26956" w:tentative="1">
      <w:start w:val="1"/>
      <w:numFmt w:val="bullet"/>
      <w:lvlText w:val="o"/>
      <w:lvlJc w:val="left"/>
      <w:pPr>
        <w:ind w:left="3600" w:hanging="360"/>
      </w:pPr>
      <w:rPr>
        <w:rFonts w:ascii="Courier New" w:hAnsi="Courier New" w:cs="Courier New" w:hint="default"/>
      </w:rPr>
    </w:lvl>
    <w:lvl w:ilvl="5" w:tplc="8B2EF1B4" w:tentative="1">
      <w:start w:val="1"/>
      <w:numFmt w:val="bullet"/>
      <w:lvlText w:val=""/>
      <w:lvlJc w:val="left"/>
      <w:pPr>
        <w:ind w:left="4320" w:hanging="360"/>
      </w:pPr>
      <w:rPr>
        <w:rFonts w:ascii="Wingdings" w:hAnsi="Wingdings" w:hint="default"/>
      </w:rPr>
    </w:lvl>
    <w:lvl w:ilvl="6" w:tplc="2D66EB60" w:tentative="1">
      <w:start w:val="1"/>
      <w:numFmt w:val="bullet"/>
      <w:lvlText w:val=""/>
      <w:lvlJc w:val="left"/>
      <w:pPr>
        <w:ind w:left="5040" w:hanging="360"/>
      </w:pPr>
      <w:rPr>
        <w:rFonts w:ascii="Symbol" w:hAnsi="Symbol" w:hint="default"/>
      </w:rPr>
    </w:lvl>
    <w:lvl w:ilvl="7" w:tplc="85A0B910" w:tentative="1">
      <w:start w:val="1"/>
      <w:numFmt w:val="bullet"/>
      <w:lvlText w:val="o"/>
      <w:lvlJc w:val="left"/>
      <w:pPr>
        <w:ind w:left="5760" w:hanging="360"/>
      </w:pPr>
      <w:rPr>
        <w:rFonts w:ascii="Courier New" w:hAnsi="Courier New" w:cs="Courier New" w:hint="default"/>
      </w:rPr>
    </w:lvl>
    <w:lvl w:ilvl="8" w:tplc="2DCA148C" w:tentative="1">
      <w:start w:val="1"/>
      <w:numFmt w:val="bullet"/>
      <w:lvlText w:val=""/>
      <w:lvlJc w:val="left"/>
      <w:pPr>
        <w:ind w:left="6480" w:hanging="360"/>
      </w:pPr>
      <w:rPr>
        <w:rFonts w:ascii="Wingdings" w:hAnsi="Wingdings" w:hint="default"/>
      </w:rPr>
    </w:lvl>
  </w:abstractNum>
  <w:num w:numId="1" w16cid:durableId="1838812201">
    <w:abstractNumId w:val="1"/>
  </w:num>
  <w:num w:numId="2" w16cid:durableId="61336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12"/>
    <w:rsid w:val="00D65E12"/>
    <w:rsid w:val="00EB4BEB"/>
    <w:rsid w:val="00FB2E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D2FA"/>
  <w15:docId w15:val="{246B0234-C7C6-46FA-8C18-FAA6B49C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7861</Words>
  <Characters>44809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2024-12-19T19:27:00Z</dcterms:created>
  <dcterms:modified xsi:type="dcterms:W3CDTF">2024-12-19T19:27:00Z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