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D6DB5" w14:textId="77777777" w:rsidR="00000000" w:rsidRDefault="00000000">
      <w:pPr>
        <w:pStyle w:val="Heading1"/>
        <w:rPr>
          <w:rFonts w:cs="Arial"/>
        </w:rPr>
      </w:pPr>
      <w:bookmarkStart w:id="0" w:name="PRMS_RIName"/>
      <w:r>
        <w:rPr>
          <w:rFonts w:cs="Arial"/>
        </w:rPr>
        <w:t>Bainswood House Rest Home Limited - Bainswood House Rest Home</w:t>
      </w:r>
      <w:bookmarkEnd w:id="0"/>
    </w:p>
    <w:p w14:paraId="0AB69ECF" w14:textId="77777777" w:rsidR="00000000" w:rsidRDefault="00000000">
      <w:pPr>
        <w:pStyle w:val="Heading2"/>
        <w:spacing w:after="0"/>
        <w:rPr>
          <w:rFonts w:cs="Arial"/>
        </w:rPr>
      </w:pPr>
      <w:r>
        <w:rPr>
          <w:rFonts w:cs="Arial"/>
        </w:rPr>
        <w:t>Introduction</w:t>
      </w:r>
    </w:p>
    <w:p w14:paraId="1AF72DD0"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7A54A66"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B23E99F"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BC645EF"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075E579" w14:textId="77777777" w:rsidR="00000000" w:rsidRDefault="00000000">
      <w:pPr>
        <w:spacing w:before="240" w:after="240"/>
        <w:rPr>
          <w:rFonts w:cs="Arial"/>
          <w:lang w:eastAsia="en-NZ"/>
        </w:rPr>
      </w:pPr>
      <w:r>
        <w:rPr>
          <w:rFonts w:cs="Arial"/>
          <w:lang w:eastAsia="en-NZ"/>
        </w:rPr>
        <w:t>The specifics of this audit included:</w:t>
      </w:r>
    </w:p>
    <w:p w14:paraId="35F13257"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125163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Bainswood House Rest Home Limited</w:t>
      </w:r>
      <w:bookmarkEnd w:id="4"/>
    </w:p>
    <w:p w14:paraId="06D1F0F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Bainswood House Rest Home</w:t>
      </w:r>
      <w:bookmarkEnd w:id="5"/>
    </w:p>
    <w:p w14:paraId="3F15AA9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3D3E420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17 October 2024</w:t>
      </w:r>
      <w:bookmarkEnd w:id="7"/>
      <w:r w:rsidRPr="009418D4">
        <w:rPr>
          <w:rFonts w:cs="Arial"/>
        </w:rPr>
        <w:tab/>
        <w:t xml:space="preserve">End date: </w:t>
      </w:r>
      <w:bookmarkStart w:id="8" w:name="AuditEndDate"/>
      <w:r>
        <w:rPr>
          <w:rFonts w:cs="Arial"/>
        </w:rPr>
        <w:t>18 October 2024</w:t>
      </w:r>
      <w:bookmarkEnd w:id="8"/>
    </w:p>
    <w:p w14:paraId="1878D121"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The service notified HealthCERT of the intention to reconfigure bed numbers. This audit verified the conversion of a two-bedroom apartment into</w:t>
      </w:r>
    </w:p>
    <w:p w14:paraId="6DFBA1BF" w14:textId="77777777" w:rsidR="00E55453"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t>a one-bedroom apartment and one rest home room. This change resulted in an increase in the facilities rest home care beds from 40 beds to 41 beds.</w:t>
      </w:r>
    </w:p>
    <w:bookmarkEnd w:id="9"/>
    <w:p w14:paraId="69791685" w14:textId="77777777" w:rsidR="00E55453"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30</w:t>
      </w:r>
      <w:bookmarkEnd w:id="10"/>
    </w:p>
    <w:p w14:paraId="6561C927"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36EB907" w14:textId="77777777" w:rsidR="00000000" w:rsidRDefault="00000000">
      <w:pPr>
        <w:pStyle w:val="Heading1"/>
        <w:rPr>
          <w:rFonts w:cs="Arial"/>
        </w:rPr>
      </w:pPr>
      <w:r>
        <w:rPr>
          <w:rFonts w:cs="Arial"/>
        </w:rPr>
        <w:lastRenderedPageBreak/>
        <w:t>Executive summary of the audit</w:t>
      </w:r>
    </w:p>
    <w:p w14:paraId="79BD35E7" w14:textId="77777777" w:rsidR="00000000" w:rsidRDefault="00000000">
      <w:pPr>
        <w:pStyle w:val="Heading2"/>
        <w:rPr>
          <w:rFonts w:cs="Arial"/>
        </w:rPr>
      </w:pPr>
      <w:r>
        <w:rPr>
          <w:rFonts w:cs="Arial"/>
        </w:rPr>
        <w:t>Introduction</w:t>
      </w:r>
    </w:p>
    <w:p w14:paraId="6AC9E291"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E05B40F"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BD98622"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2FB824C"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5C25D14"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C7975FA"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AAFBAA6"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2983DC9"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58725E8"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55453" w14:paraId="41B6C51B" w14:textId="77777777">
        <w:trPr>
          <w:cantSplit/>
          <w:tblHeader/>
        </w:trPr>
        <w:tc>
          <w:tcPr>
            <w:tcW w:w="1260" w:type="dxa"/>
            <w:tcBorders>
              <w:bottom w:val="single" w:sz="4" w:space="0" w:color="000000"/>
            </w:tcBorders>
            <w:vAlign w:val="center"/>
          </w:tcPr>
          <w:p w14:paraId="7CC5FF9B"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2EBE4B4"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EB1AFEC" w14:textId="77777777" w:rsidR="00000000" w:rsidRDefault="00000000">
            <w:pPr>
              <w:spacing w:before="60" w:after="60"/>
              <w:rPr>
                <w:rFonts w:eastAsia="Calibri"/>
                <w:b/>
                <w:szCs w:val="24"/>
              </w:rPr>
            </w:pPr>
            <w:r>
              <w:rPr>
                <w:rFonts w:eastAsia="Calibri"/>
                <w:b/>
                <w:szCs w:val="24"/>
              </w:rPr>
              <w:t>Definition</w:t>
            </w:r>
          </w:p>
        </w:tc>
      </w:tr>
      <w:tr w:rsidR="00E55453" w14:paraId="52136BD9" w14:textId="77777777">
        <w:trPr>
          <w:cantSplit/>
          <w:trHeight w:val="964"/>
        </w:trPr>
        <w:tc>
          <w:tcPr>
            <w:tcW w:w="1260" w:type="dxa"/>
            <w:tcBorders>
              <w:bottom w:val="single" w:sz="4" w:space="0" w:color="000000"/>
            </w:tcBorders>
            <w:shd w:val="clear" w:color="0066FF" w:fill="0000FF"/>
            <w:vAlign w:val="center"/>
          </w:tcPr>
          <w:p w14:paraId="1BB46484"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280EF45"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76829AB"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E55453" w14:paraId="4B2A8300" w14:textId="77777777">
        <w:trPr>
          <w:cantSplit/>
          <w:trHeight w:val="964"/>
        </w:trPr>
        <w:tc>
          <w:tcPr>
            <w:tcW w:w="1260" w:type="dxa"/>
            <w:shd w:val="clear" w:color="33CC33" w:fill="00FF00"/>
            <w:vAlign w:val="center"/>
          </w:tcPr>
          <w:p w14:paraId="4E1D3ECB" w14:textId="77777777" w:rsidR="00000000" w:rsidRDefault="00000000">
            <w:pPr>
              <w:spacing w:before="60" w:after="60"/>
              <w:rPr>
                <w:rFonts w:eastAsia="Calibri"/>
                <w:szCs w:val="24"/>
              </w:rPr>
            </w:pPr>
          </w:p>
        </w:tc>
        <w:tc>
          <w:tcPr>
            <w:tcW w:w="7095" w:type="dxa"/>
            <w:shd w:val="clear" w:color="auto" w:fill="auto"/>
            <w:vAlign w:val="center"/>
          </w:tcPr>
          <w:p w14:paraId="52FEDF37"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6C62949"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E55453" w14:paraId="1049725D" w14:textId="77777777">
        <w:trPr>
          <w:cantSplit/>
          <w:trHeight w:val="964"/>
        </w:trPr>
        <w:tc>
          <w:tcPr>
            <w:tcW w:w="1260" w:type="dxa"/>
            <w:tcBorders>
              <w:bottom w:val="single" w:sz="4" w:space="0" w:color="000000"/>
            </w:tcBorders>
            <w:shd w:val="clear" w:color="auto" w:fill="FFFF00"/>
            <w:vAlign w:val="center"/>
          </w:tcPr>
          <w:p w14:paraId="38F07AA8" w14:textId="77777777" w:rsidR="00000000" w:rsidRDefault="00000000">
            <w:pPr>
              <w:spacing w:before="60" w:after="60"/>
              <w:rPr>
                <w:rFonts w:eastAsia="Calibri"/>
                <w:szCs w:val="24"/>
              </w:rPr>
            </w:pPr>
          </w:p>
        </w:tc>
        <w:tc>
          <w:tcPr>
            <w:tcW w:w="7095" w:type="dxa"/>
            <w:shd w:val="clear" w:color="auto" w:fill="auto"/>
            <w:vAlign w:val="center"/>
          </w:tcPr>
          <w:p w14:paraId="7C9E48D5"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F5D105C"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E55453" w14:paraId="7C0424E9" w14:textId="77777777">
        <w:trPr>
          <w:cantSplit/>
          <w:trHeight w:val="964"/>
        </w:trPr>
        <w:tc>
          <w:tcPr>
            <w:tcW w:w="1260" w:type="dxa"/>
            <w:tcBorders>
              <w:bottom w:val="single" w:sz="4" w:space="0" w:color="000000"/>
            </w:tcBorders>
            <w:shd w:val="clear" w:color="auto" w:fill="FFC800"/>
            <w:vAlign w:val="center"/>
          </w:tcPr>
          <w:p w14:paraId="6CB52490"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C488CCA"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64E118E"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E55453" w14:paraId="7F741E42" w14:textId="77777777">
        <w:trPr>
          <w:cantSplit/>
          <w:trHeight w:val="964"/>
        </w:trPr>
        <w:tc>
          <w:tcPr>
            <w:tcW w:w="1260" w:type="dxa"/>
            <w:shd w:val="clear" w:color="auto" w:fill="FF0000"/>
            <w:vAlign w:val="center"/>
          </w:tcPr>
          <w:p w14:paraId="460904EA" w14:textId="77777777" w:rsidR="00000000" w:rsidRDefault="00000000">
            <w:pPr>
              <w:spacing w:before="60" w:after="60"/>
              <w:rPr>
                <w:rFonts w:eastAsia="Calibri"/>
                <w:szCs w:val="24"/>
              </w:rPr>
            </w:pPr>
          </w:p>
        </w:tc>
        <w:tc>
          <w:tcPr>
            <w:tcW w:w="7095" w:type="dxa"/>
            <w:shd w:val="clear" w:color="auto" w:fill="auto"/>
            <w:vAlign w:val="center"/>
          </w:tcPr>
          <w:p w14:paraId="630E7207"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C395B66"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24B9D1C0" w14:textId="77777777" w:rsidR="00000000" w:rsidRDefault="00000000">
      <w:pPr>
        <w:pStyle w:val="Heading2"/>
        <w:spacing w:after="0"/>
        <w:rPr>
          <w:rFonts w:cs="Arial"/>
        </w:rPr>
      </w:pPr>
      <w:r>
        <w:rPr>
          <w:rFonts w:cs="Arial"/>
        </w:rPr>
        <w:t>General overview of the audit</w:t>
      </w:r>
    </w:p>
    <w:p w14:paraId="07B06B53" w14:textId="77777777" w:rsidR="00000000" w:rsidRDefault="00000000">
      <w:pPr>
        <w:spacing w:before="240" w:line="276" w:lineRule="auto"/>
        <w:rPr>
          <w:rFonts w:eastAsia="Calibri"/>
        </w:rPr>
      </w:pPr>
      <w:bookmarkStart w:id="13" w:name="GeneralOverview"/>
      <w:r w:rsidRPr="00A4268A">
        <w:rPr>
          <w:rFonts w:eastAsia="Calibri"/>
        </w:rPr>
        <w:t xml:space="preserve">Bainswood House is one of four facilities owned by Rangiora Lifecare Limited. The facility is governed by a Board of five directors and is managed by a care home manager, with an executive director providing oversight and support. The service provides rest home level care for up to 41 residents, with 30 residents on the day of audit. </w:t>
      </w:r>
    </w:p>
    <w:p w14:paraId="161207F3" w14:textId="77777777" w:rsidR="00E55453" w:rsidRPr="00A4268A" w:rsidRDefault="00000000">
      <w:pPr>
        <w:spacing w:before="240" w:line="276" w:lineRule="auto"/>
        <w:rPr>
          <w:rFonts w:eastAsia="Calibri"/>
        </w:rPr>
      </w:pPr>
      <w:r w:rsidRPr="00A4268A">
        <w:rPr>
          <w:rFonts w:eastAsia="Calibri"/>
        </w:rPr>
        <w:t>This unannounced surveillance audit was conducted against a sub-section of Ngā Paerewa Health and Disability Services Standard and the contracts with Health New Zealand Te Whatu Ora. The audit process included the review of policies and procedures; the review of residents and staff files; observations; and interviews with family/whānau, management, staff, and the nurse practitioner.</w:t>
      </w:r>
    </w:p>
    <w:p w14:paraId="4CC7C2FA" w14:textId="77777777" w:rsidR="00E55453" w:rsidRPr="00A4268A" w:rsidRDefault="00000000">
      <w:pPr>
        <w:spacing w:before="240" w:line="276" w:lineRule="auto"/>
        <w:rPr>
          <w:rFonts w:eastAsia="Calibri"/>
        </w:rPr>
      </w:pPr>
      <w:r w:rsidRPr="00A4268A">
        <w:rPr>
          <w:rFonts w:eastAsia="Calibri"/>
        </w:rPr>
        <w:t>The care home manager is supported by a clinical lead. Residents and family/whānau spoke positively about the service provided.</w:t>
      </w:r>
    </w:p>
    <w:p w14:paraId="268FD886" w14:textId="77777777" w:rsidR="00E55453" w:rsidRPr="00A4268A" w:rsidRDefault="00000000">
      <w:pPr>
        <w:spacing w:before="240" w:line="276" w:lineRule="auto"/>
        <w:rPr>
          <w:rFonts w:eastAsia="Calibri"/>
        </w:rPr>
      </w:pPr>
      <w:r w:rsidRPr="00A4268A">
        <w:rPr>
          <w:rFonts w:eastAsia="Calibri"/>
        </w:rPr>
        <w:t>The service continues with environmental upgrades, including painting, installation of sliding doors to some resident rooms, and landscaping. There is an established quality and risk programme which is implemented.</w:t>
      </w:r>
    </w:p>
    <w:p w14:paraId="77724F23" w14:textId="77777777" w:rsidR="00E55453" w:rsidRPr="00A4268A" w:rsidRDefault="00000000">
      <w:pPr>
        <w:spacing w:before="240" w:line="276" w:lineRule="auto"/>
        <w:rPr>
          <w:rFonts w:eastAsia="Calibri"/>
        </w:rPr>
      </w:pPr>
      <w:r w:rsidRPr="00A4268A">
        <w:rPr>
          <w:rFonts w:eastAsia="Calibri"/>
        </w:rPr>
        <w:t>There were no areas of improvement to follow up from the previous audit.</w:t>
      </w:r>
    </w:p>
    <w:p w14:paraId="7752F656" w14:textId="77777777" w:rsidR="00E55453" w:rsidRPr="00A4268A" w:rsidRDefault="00000000">
      <w:pPr>
        <w:spacing w:before="240" w:line="276" w:lineRule="auto"/>
        <w:rPr>
          <w:rFonts w:eastAsia="Calibri"/>
        </w:rPr>
      </w:pPr>
      <w:r w:rsidRPr="00A4268A">
        <w:rPr>
          <w:rFonts w:eastAsia="Calibri"/>
        </w:rPr>
        <w:t>This surveillance audit identified no improvements are required.</w:t>
      </w:r>
    </w:p>
    <w:bookmarkEnd w:id="13"/>
    <w:p w14:paraId="44C12E90" w14:textId="77777777" w:rsidR="00E55453" w:rsidRPr="00A4268A" w:rsidRDefault="00E55453">
      <w:pPr>
        <w:spacing w:before="240" w:line="276" w:lineRule="auto"/>
        <w:rPr>
          <w:rFonts w:eastAsia="Calibri"/>
        </w:rPr>
      </w:pPr>
    </w:p>
    <w:p w14:paraId="422424C0"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5453" w14:paraId="4E589240" w14:textId="77777777" w:rsidTr="00A4268A">
        <w:trPr>
          <w:cantSplit/>
        </w:trPr>
        <w:tc>
          <w:tcPr>
            <w:tcW w:w="10206" w:type="dxa"/>
            <w:vAlign w:val="center"/>
          </w:tcPr>
          <w:p w14:paraId="7FA2BCCD"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132099F"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7A7EA10"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FCB1E5D"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36EF917E" w14:textId="77777777" w:rsidR="00000000" w:rsidRDefault="00000000">
      <w:pPr>
        <w:spacing w:before="240" w:line="276" w:lineRule="auto"/>
        <w:rPr>
          <w:rFonts w:eastAsia="Calibri"/>
        </w:rPr>
      </w:pPr>
      <w:bookmarkStart w:id="16" w:name="ConsumerRights"/>
      <w:r w:rsidRPr="00A4268A">
        <w:rPr>
          <w:rFonts w:eastAsia="Calibri"/>
        </w:rPr>
        <w:t>Bainswood House provides an environment that supports resident rights and safe care. Staff demonstrated an understanding of residents' rights and obligations. There is a Māori health plan and a Pacific health plan in place. The service aims to provide high-quality and effective services and care for residents. Residents receive services in a manner that considers their dignity, privacy, and independence. The rights of the resident and/or their family/whānau to make a complaint is understood, respected, and upheld by the service. Complaints processes are implemented, and complaints and concerns are actively managed.</w:t>
      </w:r>
    </w:p>
    <w:bookmarkEnd w:id="16"/>
    <w:p w14:paraId="1FAD6C5C" w14:textId="77777777" w:rsidR="00E55453" w:rsidRPr="00A4268A" w:rsidRDefault="00E55453">
      <w:pPr>
        <w:spacing w:before="240" w:line="276" w:lineRule="auto"/>
        <w:rPr>
          <w:rFonts w:eastAsia="Calibri"/>
        </w:rPr>
      </w:pPr>
    </w:p>
    <w:p w14:paraId="5B22DA3D"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5453" w14:paraId="25682BAD" w14:textId="77777777" w:rsidTr="00A4268A">
        <w:trPr>
          <w:cantSplit/>
        </w:trPr>
        <w:tc>
          <w:tcPr>
            <w:tcW w:w="10206" w:type="dxa"/>
            <w:vAlign w:val="center"/>
          </w:tcPr>
          <w:p w14:paraId="631B47A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89998CE"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787F253"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2860574D" w14:textId="77777777" w:rsidR="00000000" w:rsidRDefault="00000000">
      <w:pPr>
        <w:spacing w:before="240" w:line="276" w:lineRule="auto"/>
        <w:rPr>
          <w:rFonts w:eastAsia="Calibri"/>
        </w:rPr>
      </w:pPr>
      <w:bookmarkStart w:id="19" w:name="OrganisationalManagement"/>
      <w:r w:rsidRPr="00A4268A">
        <w:rPr>
          <w:rFonts w:eastAsia="Calibri"/>
        </w:rPr>
        <w:t>The business plan 2022-2024 includes a purpose, mission statement and operational objectives. The service has effective quality and risk management systems in place that takes a risk-based approach, and these systems meet the needs of residents and their staff. Quality data is analysed to identify and manage trends. Internal audits, meetings, and collation of data were documented as taking place, with corrective actions as indicated. The service complies with statutory and regulatory reporting obligations. A health and safety system is in place. Health and safety processes are embedded in practice. Health and safety policies are implemented and monitored by the health and safety committee. There is a staffing and rostering policy documented. Human resources are managed in accordance with good employment practice. An orientation programme and regular staff education and training are in place. Staff are suitably skilled and experienced. Competencies are defined and monitored, and staff performance is reviewed.</w:t>
      </w:r>
    </w:p>
    <w:bookmarkEnd w:id="19"/>
    <w:p w14:paraId="1301FB71" w14:textId="77777777" w:rsidR="00E55453" w:rsidRPr="00A4268A" w:rsidRDefault="00E55453">
      <w:pPr>
        <w:spacing w:before="240" w:line="276" w:lineRule="auto"/>
        <w:rPr>
          <w:rFonts w:eastAsia="Calibri"/>
        </w:rPr>
      </w:pPr>
    </w:p>
    <w:p w14:paraId="4E17E90E"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5453" w14:paraId="34BBD8EE" w14:textId="77777777" w:rsidTr="00A4268A">
        <w:trPr>
          <w:cantSplit/>
        </w:trPr>
        <w:tc>
          <w:tcPr>
            <w:tcW w:w="10206" w:type="dxa"/>
            <w:vAlign w:val="center"/>
          </w:tcPr>
          <w:p w14:paraId="0654911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54F9C89"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A352AE9"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257DE35A"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clinical lead or registered nurse assess, plan and review residents' needs, outcomes, and goals with the resident and/or family/whānau input. Care plans demonstrate service integration. Resident files included medical notes by the contracted nurse practitioner and visiting allied health professionals. </w:t>
      </w:r>
    </w:p>
    <w:p w14:paraId="6987B2B5" w14:textId="77777777" w:rsidR="00E55453"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All staff responsible for administration of medication complete education and medication competencies. The electronic medicine charts reviewed met prescribing requirements and were reviewed at least three-monthly by the nurse practitioner. </w:t>
      </w:r>
    </w:p>
    <w:p w14:paraId="15DFC0BE" w14:textId="77777777" w:rsidR="00E55453" w:rsidRPr="00A4268A" w:rsidRDefault="00000000" w:rsidP="00621629">
      <w:pPr>
        <w:spacing w:before="240" w:line="276" w:lineRule="auto"/>
        <w:rPr>
          <w:rFonts w:eastAsia="Calibri"/>
        </w:rPr>
      </w:pPr>
      <w:r w:rsidRPr="00A4268A">
        <w:rPr>
          <w:rFonts w:eastAsia="Calibri"/>
        </w:rPr>
        <w:t xml:space="preserve">The kitchen staff cater to individual cultural and dietary requirements. The service has a current food control plan. </w:t>
      </w:r>
    </w:p>
    <w:p w14:paraId="43F1FD95" w14:textId="77777777" w:rsidR="00E55453" w:rsidRPr="00A4268A" w:rsidRDefault="00000000" w:rsidP="00621629">
      <w:pPr>
        <w:spacing w:before="240" w:line="276" w:lineRule="auto"/>
        <w:rPr>
          <w:rFonts w:eastAsia="Calibri"/>
        </w:rPr>
      </w:pPr>
      <w:r w:rsidRPr="00A4268A">
        <w:rPr>
          <w:rFonts w:eastAsia="Calibri"/>
        </w:rPr>
        <w:t>All residents’ transfers and referrals are coordinated with residents and families/whānau.</w:t>
      </w:r>
    </w:p>
    <w:bookmarkEnd w:id="22"/>
    <w:p w14:paraId="359A1EB0" w14:textId="77777777" w:rsidR="00E55453" w:rsidRPr="00A4268A" w:rsidRDefault="00E55453" w:rsidP="00621629">
      <w:pPr>
        <w:spacing w:before="240" w:line="276" w:lineRule="auto"/>
        <w:rPr>
          <w:rFonts w:eastAsia="Calibri"/>
        </w:rPr>
      </w:pPr>
    </w:p>
    <w:p w14:paraId="74980C71"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5453" w14:paraId="5B9643F6" w14:textId="77777777" w:rsidTr="00A4268A">
        <w:trPr>
          <w:cantSplit/>
        </w:trPr>
        <w:tc>
          <w:tcPr>
            <w:tcW w:w="10206" w:type="dxa"/>
            <w:vAlign w:val="center"/>
          </w:tcPr>
          <w:p w14:paraId="0822485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63DB355"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8157E2D"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EBA1660"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building warrant of fitness. Electrical equipment has been tested and tagged. All medical equipment has been serviced and calibrated.</w:t>
      </w:r>
    </w:p>
    <w:bookmarkEnd w:id="25"/>
    <w:p w14:paraId="33F92AD5" w14:textId="77777777" w:rsidR="00E55453" w:rsidRPr="00A4268A" w:rsidRDefault="00E55453">
      <w:pPr>
        <w:spacing w:before="240" w:line="276" w:lineRule="auto"/>
        <w:rPr>
          <w:rFonts w:eastAsia="Calibri"/>
        </w:rPr>
      </w:pPr>
    </w:p>
    <w:p w14:paraId="78ECEB91"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5453" w14:paraId="5B2EB626" w14:textId="77777777" w:rsidTr="00A4268A">
        <w:trPr>
          <w:cantSplit/>
        </w:trPr>
        <w:tc>
          <w:tcPr>
            <w:tcW w:w="10206" w:type="dxa"/>
            <w:vAlign w:val="center"/>
          </w:tcPr>
          <w:p w14:paraId="341610B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D8CEE43"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29D64BF"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2A0EA394"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A suite of infection prevention and control policies and procedures are documented and reviewed. Education is provided to staff at induction to the service and is included in the education planner. </w:t>
      </w:r>
    </w:p>
    <w:p w14:paraId="0EA61B18" w14:textId="77777777" w:rsidR="00E55453" w:rsidRPr="00A4268A" w:rsidRDefault="00000000">
      <w:pPr>
        <w:spacing w:before="240" w:line="276" w:lineRule="auto"/>
        <w:rPr>
          <w:rFonts w:eastAsia="Calibri"/>
        </w:rPr>
      </w:pPr>
      <w:r w:rsidRPr="00A4268A">
        <w:rPr>
          <w:rFonts w:eastAsia="Calibri"/>
        </w:rPr>
        <w:t xml:space="preserve">The type of surveillance undertaken is appropriate to the size and complexity of the organisation. Results of surveillance are collected and analysed for trends and the information used to identify opportunities for improvements. There have been three outbreaks since the previous audit. These were well managed and documented. </w:t>
      </w:r>
    </w:p>
    <w:bookmarkEnd w:id="28"/>
    <w:p w14:paraId="156A0F49" w14:textId="77777777" w:rsidR="00E55453" w:rsidRPr="00A4268A" w:rsidRDefault="00E55453">
      <w:pPr>
        <w:spacing w:before="240" w:line="276" w:lineRule="auto"/>
        <w:rPr>
          <w:rFonts w:eastAsia="Calibri"/>
        </w:rPr>
      </w:pPr>
    </w:p>
    <w:p w14:paraId="20D91367"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5453" w14:paraId="53084C2B" w14:textId="77777777" w:rsidTr="00A4268A">
        <w:trPr>
          <w:cantSplit/>
        </w:trPr>
        <w:tc>
          <w:tcPr>
            <w:tcW w:w="10206" w:type="dxa"/>
            <w:vAlign w:val="center"/>
          </w:tcPr>
          <w:p w14:paraId="42CA0C8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C4F0356"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E3FDCD9"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005EF793" w14:textId="77777777" w:rsidR="00000000" w:rsidRDefault="00000000">
      <w:pPr>
        <w:spacing w:before="240" w:line="276" w:lineRule="auto"/>
        <w:rPr>
          <w:rFonts w:eastAsia="Calibri"/>
        </w:rPr>
      </w:pPr>
      <w:bookmarkStart w:id="31" w:name="InfectionPreventionAndControl"/>
      <w:r w:rsidRPr="00A4268A">
        <w:rPr>
          <w:rFonts w:eastAsia="Calibri"/>
        </w:rPr>
        <w:t xml:space="preserve">The restraint coordinator is the clinical lead. The facility is restraint free. Maintaining a restraint-free environment is included as part of the education and training plan. </w:t>
      </w:r>
    </w:p>
    <w:bookmarkEnd w:id="31"/>
    <w:p w14:paraId="564C6FBC" w14:textId="77777777" w:rsidR="00E55453" w:rsidRPr="00A4268A" w:rsidRDefault="00E55453">
      <w:pPr>
        <w:spacing w:before="240" w:line="276" w:lineRule="auto"/>
        <w:rPr>
          <w:rFonts w:eastAsia="Calibri"/>
        </w:rPr>
      </w:pPr>
    </w:p>
    <w:p w14:paraId="4D675504" w14:textId="77777777" w:rsidR="00000000" w:rsidRDefault="00000000" w:rsidP="000E6E02">
      <w:pPr>
        <w:pStyle w:val="Heading2"/>
        <w:spacing w:before="0"/>
        <w:rPr>
          <w:rFonts w:cs="Arial"/>
        </w:rPr>
      </w:pPr>
      <w:r>
        <w:rPr>
          <w:rFonts w:cs="Arial"/>
        </w:rPr>
        <w:lastRenderedPageBreak/>
        <w:t>Summary of attainment</w:t>
      </w:r>
    </w:p>
    <w:p w14:paraId="10355AE4"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55453" w14:paraId="08BE83C6" w14:textId="77777777">
        <w:tc>
          <w:tcPr>
            <w:tcW w:w="1384" w:type="dxa"/>
            <w:vAlign w:val="center"/>
          </w:tcPr>
          <w:p w14:paraId="69EC878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2188124" w14:textId="77777777" w:rsidR="00000000" w:rsidRDefault="00000000">
            <w:pPr>
              <w:keepNext/>
              <w:spacing w:before="60" w:after="60"/>
              <w:jc w:val="center"/>
              <w:rPr>
                <w:rFonts w:cs="Arial"/>
                <w:b/>
                <w:sz w:val="20"/>
                <w:szCs w:val="20"/>
              </w:rPr>
            </w:pPr>
            <w:r>
              <w:rPr>
                <w:rFonts w:cs="Arial"/>
                <w:b/>
                <w:sz w:val="20"/>
                <w:szCs w:val="20"/>
              </w:rPr>
              <w:t>Continuous Improvement</w:t>
            </w:r>
          </w:p>
          <w:p w14:paraId="711F0AE8"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EF25566" w14:textId="77777777" w:rsidR="00000000" w:rsidRDefault="00000000">
            <w:pPr>
              <w:keepNext/>
              <w:spacing w:before="60" w:after="60"/>
              <w:jc w:val="center"/>
              <w:rPr>
                <w:rFonts w:cs="Arial"/>
                <w:b/>
                <w:sz w:val="20"/>
                <w:szCs w:val="20"/>
              </w:rPr>
            </w:pPr>
            <w:r>
              <w:rPr>
                <w:rFonts w:cs="Arial"/>
                <w:b/>
                <w:sz w:val="20"/>
                <w:szCs w:val="20"/>
              </w:rPr>
              <w:t>Fully Attained</w:t>
            </w:r>
          </w:p>
          <w:p w14:paraId="41C31248"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3A12108"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77D17B0"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5025E14"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6E00660"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B6153EF"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FDDE777"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F05B2F2"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8AECB46"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4B922B4"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D755159" w14:textId="77777777" w:rsidR="00000000" w:rsidRDefault="00000000">
            <w:pPr>
              <w:keepNext/>
              <w:spacing w:before="60" w:after="60"/>
              <w:jc w:val="center"/>
              <w:rPr>
                <w:rFonts w:cs="Arial"/>
                <w:b/>
                <w:sz w:val="20"/>
                <w:szCs w:val="20"/>
              </w:rPr>
            </w:pPr>
            <w:r>
              <w:rPr>
                <w:rFonts w:cs="Arial"/>
                <w:b/>
                <w:sz w:val="20"/>
                <w:szCs w:val="20"/>
              </w:rPr>
              <w:t>(PA Critical)</w:t>
            </w:r>
          </w:p>
        </w:tc>
      </w:tr>
      <w:tr w:rsidR="00E55453" w14:paraId="12576E00" w14:textId="77777777">
        <w:tc>
          <w:tcPr>
            <w:tcW w:w="1384" w:type="dxa"/>
            <w:vAlign w:val="center"/>
          </w:tcPr>
          <w:p w14:paraId="0FD1FE8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61D377D"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9E678B9"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09B22189"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1BD2D75"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185AD2F"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051A916"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7D06FA1"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55453" w14:paraId="28FA1BC5" w14:textId="77777777">
        <w:tc>
          <w:tcPr>
            <w:tcW w:w="1384" w:type="dxa"/>
            <w:vAlign w:val="center"/>
          </w:tcPr>
          <w:p w14:paraId="3F23A8E0"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6128007"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EC6608A"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3B72595D"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CDB0659"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98F5BB2"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BBDB3ED"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7AC5307"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E082185"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55453" w14:paraId="749B89DA" w14:textId="77777777">
        <w:tc>
          <w:tcPr>
            <w:tcW w:w="1384" w:type="dxa"/>
            <w:vAlign w:val="center"/>
          </w:tcPr>
          <w:p w14:paraId="38FAB3B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4CC9F57"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90980C2"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C9D5623" w14:textId="77777777" w:rsidR="00000000" w:rsidRDefault="00000000">
            <w:pPr>
              <w:keepNext/>
              <w:spacing w:before="60" w:after="60"/>
              <w:jc w:val="center"/>
              <w:rPr>
                <w:rFonts w:cs="Arial"/>
                <w:b/>
                <w:sz w:val="20"/>
                <w:szCs w:val="20"/>
              </w:rPr>
            </w:pPr>
            <w:r>
              <w:rPr>
                <w:rFonts w:cs="Arial"/>
                <w:b/>
                <w:sz w:val="20"/>
                <w:szCs w:val="20"/>
              </w:rPr>
              <w:t>Unattained Low Risk</w:t>
            </w:r>
          </w:p>
          <w:p w14:paraId="7AFE5760"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A6AF5D7" w14:textId="77777777" w:rsidR="00000000" w:rsidRDefault="00000000">
            <w:pPr>
              <w:keepNext/>
              <w:spacing w:before="60" w:after="60"/>
              <w:jc w:val="center"/>
              <w:rPr>
                <w:rFonts w:cs="Arial"/>
                <w:b/>
                <w:sz w:val="20"/>
                <w:szCs w:val="20"/>
              </w:rPr>
            </w:pPr>
            <w:r>
              <w:rPr>
                <w:rFonts w:cs="Arial"/>
                <w:b/>
                <w:sz w:val="20"/>
                <w:szCs w:val="20"/>
              </w:rPr>
              <w:t>Unattained Moderate Risk</w:t>
            </w:r>
          </w:p>
          <w:p w14:paraId="4465E53D"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4182E7A" w14:textId="77777777" w:rsidR="00000000" w:rsidRDefault="00000000">
            <w:pPr>
              <w:keepNext/>
              <w:spacing w:before="60" w:after="60"/>
              <w:jc w:val="center"/>
              <w:rPr>
                <w:rFonts w:cs="Arial"/>
                <w:b/>
                <w:sz w:val="20"/>
                <w:szCs w:val="20"/>
              </w:rPr>
            </w:pPr>
            <w:r>
              <w:rPr>
                <w:rFonts w:cs="Arial"/>
                <w:b/>
                <w:sz w:val="20"/>
                <w:szCs w:val="20"/>
              </w:rPr>
              <w:t>Unattained High Risk</w:t>
            </w:r>
          </w:p>
          <w:p w14:paraId="7EBBC593"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4978EA5" w14:textId="77777777" w:rsidR="00000000" w:rsidRDefault="00000000">
            <w:pPr>
              <w:keepNext/>
              <w:spacing w:before="60" w:after="60"/>
              <w:jc w:val="center"/>
              <w:rPr>
                <w:rFonts w:cs="Arial"/>
                <w:b/>
                <w:sz w:val="20"/>
                <w:szCs w:val="20"/>
              </w:rPr>
            </w:pPr>
            <w:r>
              <w:rPr>
                <w:rFonts w:cs="Arial"/>
                <w:b/>
                <w:sz w:val="20"/>
                <w:szCs w:val="20"/>
              </w:rPr>
              <w:t>Unattained Critical Risk</w:t>
            </w:r>
          </w:p>
          <w:p w14:paraId="4547F555" w14:textId="77777777" w:rsidR="00000000" w:rsidRDefault="00000000">
            <w:pPr>
              <w:keepNext/>
              <w:spacing w:before="60" w:after="60"/>
              <w:jc w:val="center"/>
              <w:rPr>
                <w:rFonts w:cs="Arial"/>
                <w:b/>
                <w:sz w:val="20"/>
                <w:szCs w:val="20"/>
              </w:rPr>
            </w:pPr>
            <w:r>
              <w:rPr>
                <w:rFonts w:cs="Arial"/>
                <w:b/>
                <w:sz w:val="20"/>
                <w:szCs w:val="20"/>
              </w:rPr>
              <w:t>(UA Critical)</w:t>
            </w:r>
          </w:p>
        </w:tc>
      </w:tr>
      <w:tr w:rsidR="00E55453" w14:paraId="3ADE1D86" w14:textId="77777777">
        <w:tc>
          <w:tcPr>
            <w:tcW w:w="1384" w:type="dxa"/>
            <w:vAlign w:val="center"/>
          </w:tcPr>
          <w:p w14:paraId="0E04777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C66FEA5"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643DC8D"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470FA8C"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D4880F0"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18733E2"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55453" w14:paraId="54E66F28" w14:textId="77777777">
        <w:tc>
          <w:tcPr>
            <w:tcW w:w="1384" w:type="dxa"/>
            <w:vAlign w:val="center"/>
          </w:tcPr>
          <w:p w14:paraId="761F6EE6"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EEE7553"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D17D017"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596BB26"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29694DE"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5D9F059"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7432FCB"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78D458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1B2250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A42C86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0"/>
        <w:gridCol w:w="1364"/>
        <w:gridCol w:w="7134"/>
      </w:tblGrid>
      <w:tr w:rsidR="00E55453" w14:paraId="7FF1E7A9" w14:textId="77777777">
        <w:tc>
          <w:tcPr>
            <w:tcW w:w="0" w:type="auto"/>
          </w:tcPr>
          <w:p w14:paraId="3F0F9307"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3884B6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EC2BDA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E55453" w14:paraId="63FBBA47" w14:textId="77777777">
        <w:tc>
          <w:tcPr>
            <w:tcW w:w="0" w:type="auto"/>
          </w:tcPr>
          <w:p w14:paraId="7E51293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AA80A44"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B9E84FA" w14:textId="77777777" w:rsidR="00000000" w:rsidRPr="00BE00C7" w:rsidRDefault="00000000" w:rsidP="00BE00C7">
            <w:pPr>
              <w:pStyle w:val="OutcomeDescription"/>
              <w:spacing w:before="120" w:after="120"/>
              <w:rPr>
                <w:rFonts w:cs="Arial"/>
                <w:lang w:eastAsia="en-NZ"/>
              </w:rPr>
            </w:pPr>
          </w:p>
        </w:tc>
        <w:tc>
          <w:tcPr>
            <w:tcW w:w="0" w:type="auto"/>
          </w:tcPr>
          <w:p w14:paraId="3B60667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473EE3"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that acknowledges Te Tiriti o Waitangi as a founding document for New Zealand. The service currently has no residents who identify as Māori. Bainswood House is committed to respecting the self-determination, cultural values, and beliefs of Māori residents and family/whānau and evidence is documented in the resident care plan. Cultural assessments are completed for all residents.</w:t>
            </w:r>
          </w:p>
          <w:p w14:paraId="544486FF" w14:textId="77777777" w:rsidR="00000000" w:rsidRPr="00BE00C7" w:rsidRDefault="00000000" w:rsidP="00BE00C7">
            <w:pPr>
              <w:pStyle w:val="OutcomeDescription"/>
              <w:spacing w:before="120" w:after="120"/>
              <w:rPr>
                <w:rFonts w:cs="Arial"/>
                <w:lang w:eastAsia="en-NZ"/>
              </w:rPr>
            </w:pPr>
          </w:p>
        </w:tc>
      </w:tr>
      <w:tr w:rsidR="00E55453" w14:paraId="0737099D" w14:textId="77777777">
        <w:tc>
          <w:tcPr>
            <w:tcW w:w="0" w:type="auto"/>
          </w:tcPr>
          <w:p w14:paraId="4B26273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1BC02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4C3B8A0" w14:textId="77777777" w:rsidR="00000000" w:rsidRPr="00BE00C7" w:rsidRDefault="00000000" w:rsidP="00BE00C7">
            <w:pPr>
              <w:pStyle w:val="OutcomeDescription"/>
              <w:spacing w:before="120" w:after="120"/>
              <w:rPr>
                <w:rFonts w:cs="Arial"/>
                <w:lang w:eastAsia="en-NZ"/>
              </w:rPr>
            </w:pPr>
          </w:p>
        </w:tc>
        <w:tc>
          <w:tcPr>
            <w:tcW w:w="0" w:type="auto"/>
          </w:tcPr>
          <w:p w14:paraId="138EC9A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7DA41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Health and Wellbeing Plan 2020-2025 is the basis of the Pacific health plan that is in place and being implemented. The aim is to uphold the principles of Pacific people by acknowledging respectful relationships, valuing families, and providing high quality health care. There were no residents identifying as Pasifika at the time of the audit. Bainswood House partners with Pacific employees to ensure connectivity within the region to increase knowledge, awareness and understanding of the needs of Pacific people. The service has a relationship with Pacific services through Health New Zealand, who are available for consultation where required. </w:t>
            </w:r>
          </w:p>
          <w:p w14:paraId="3B069962" w14:textId="77777777" w:rsidR="00000000" w:rsidRPr="00BE00C7" w:rsidRDefault="00000000" w:rsidP="00BE00C7">
            <w:pPr>
              <w:pStyle w:val="OutcomeDescription"/>
              <w:spacing w:before="120" w:after="120"/>
              <w:rPr>
                <w:rFonts w:cs="Arial"/>
                <w:lang w:eastAsia="en-NZ"/>
              </w:rPr>
            </w:pPr>
          </w:p>
        </w:tc>
      </w:tr>
      <w:tr w:rsidR="00E55453" w14:paraId="48CBB5B2" w14:textId="77777777">
        <w:tc>
          <w:tcPr>
            <w:tcW w:w="0" w:type="auto"/>
          </w:tcPr>
          <w:p w14:paraId="65788AA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C6CE2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84D0370" w14:textId="77777777" w:rsidR="00000000" w:rsidRPr="00BE00C7" w:rsidRDefault="00000000" w:rsidP="00BE00C7">
            <w:pPr>
              <w:pStyle w:val="OutcomeDescription"/>
              <w:spacing w:before="120" w:after="120"/>
              <w:rPr>
                <w:rFonts w:cs="Arial"/>
                <w:lang w:eastAsia="en-NZ"/>
              </w:rPr>
            </w:pPr>
          </w:p>
        </w:tc>
        <w:tc>
          <w:tcPr>
            <w:tcW w:w="0" w:type="auto"/>
          </w:tcPr>
          <w:p w14:paraId="1D89BF6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7F77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Details relating to The Health and Disability Code of Consumers Rights (the Code) are included in the information that is provided to new residents and their family/whānau. The care home manager, clinical lead or registered nurse (RN) discuss aspects of the Code with residents and their family/whānau on admission. The Code is displayed in multiple locations in English and te reo Māori. Four residents and three family/whānau interviewed reported that the service is upholding the residents’ rights. </w:t>
            </w:r>
          </w:p>
          <w:p w14:paraId="5D1D2657"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Interactions observed between staff and residents during the audit were respectful. The care home manager and eight staff (one clinical lead, one registered nurse, three caregivers, one kitchen manager, one maintenance person and one laundry person) explained how Bainswood House provides a person-centred approach to the delivery of their services.</w:t>
            </w:r>
          </w:p>
          <w:p w14:paraId="4254C30E" w14:textId="77777777" w:rsidR="00000000" w:rsidRPr="00BE00C7" w:rsidRDefault="00000000" w:rsidP="00BE00C7">
            <w:pPr>
              <w:pStyle w:val="OutcomeDescription"/>
              <w:spacing w:before="120" w:after="120"/>
              <w:rPr>
                <w:rFonts w:cs="Arial"/>
                <w:lang w:eastAsia="en-NZ"/>
              </w:rPr>
            </w:pPr>
          </w:p>
        </w:tc>
      </w:tr>
      <w:tr w:rsidR="00E55453" w14:paraId="46D0BF74" w14:textId="77777777">
        <w:tc>
          <w:tcPr>
            <w:tcW w:w="0" w:type="auto"/>
          </w:tcPr>
          <w:p w14:paraId="4A063DB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6C7962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7C3BE7C" w14:textId="77777777" w:rsidR="00000000" w:rsidRPr="00BE00C7" w:rsidRDefault="00000000" w:rsidP="00BE00C7">
            <w:pPr>
              <w:pStyle w:val="OutcomeDescription"/>
              <w:spacing w:before="120" w:after="120"/>
              <w:rPr>
                <w:rFonts w:cs="Arial"/>
                <w:lang w:eastAsia="en-NZ"/>
              </w:rPr>
            </w:pPr>
          </w:p>
        </w:tc>
        <w:tc>
          <w:tcPr>
            <w:tcW w:w="0" w:type="auto"/>
          </w:tcPr>
          <w:p w14:paraId="7B6F5EB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9120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Bainswood House`s policies prevent any form of institutional racism, discrimination, coercion, harassment, or any other exploitation. Bainswood House is inclusive of ethnicities, and cultural days are held to celebrate diversity. A staff code of conduct is discussed during the new employee’s induction to the service, with evidence of staff signing the code of conduct policy. This code of conduct policy addresses the elimination of discrimination, harassment, and bullying. Staff complete education on orientation biannually as per the training plan on how to identify abuse and neglect; last completed in November 2022. </w:t>
            </w:r>
          </w:p>
          <w:p w14:paraId="2C957A9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are educated on how to value the older person, showing them respect and dignity. The residents and family/whānau interviewed confirmed that the staff are very caring, supportive, and respectful. Police checks are completed as part of the employment process. The service implements a process to manage residents’ comfort funds. Professional boundaries are defined in job descriptions. Interviews with the care home manager, clinical lead and caregivers confirmed their understanding of professional boundaries, including the boundaries of their role and responsibilities. Professional boundaries are covered as part of orientation.</w:t>
            </w:r>
          </w:p>
          <w:p w14:paraId="7D8DDFD4" w14:textId="77777777" w:rsidR="00000000" w:rsidRPr="00BE00C7" w:rsidRDefault="00000000" w:rsidP="00BE00C7">
            <w:pPr>
              <w:pStyle w:val="OutcomeDescription"/>
              <w:spacing w:before="120" w:after="120"/>
              <w:rPr>
                <w:rFonts w:cs="Arial"/>
                <w:lang w:eastAsia="en-NZ"/>
              </w:rPr>
            </w:pPr>
          </w:p>
        </w:tc>
      </w:tr>
      <w:tr w:rsidR="00E55453" w14:paraId="52D95A4E" w14:textId="77777777">
        <w:tc>
          <w:tcPr>
            <w:tcW w:w="0" w:type="auto"/>
          </w:tcPr>
          <w:p w14:paraId="514D8D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73273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58110C0" w14:textId="77777777" w:rsidR="00000000" w:rsidRPr="00BE00C7" w:rsidRDefault="00000000" w:rsidP="00BE00C7">
            <w:pPr>
              <w:pStyle w:val="OutcomeDescription"/>
              <w:spacing w:before="120" w:after="120"/>
              <w:rPr>
                <w:rFonts w:cs="Arial"/>
                <w:lang w:eastAsia="en-NZ"/>
              </w:rPr>
            </w:pPr>
          </w:p>
        </w:tc>
        <w:tc>
          <w:tcPr>
            <w:tcW w:w="0" w:type="auto"/>
          </w:tcPr>
          <w:p w14:paraId="536C7EA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438B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files reviewed included signed general informed consent forms. Consent forms for Covid-19 and flu vaccinations were also on file where appropriate. Staff have received training from an Aged Concern advocate relating to the understanding of informed consent. Admission agreements had been signed and sighted for all the files seen. Copies of enduring power of attorneys (EPOAs) were on resident files where applicable. Where an EPOA has been activated, an activation letter was on file. Residents and family/whānau interviewed could describe what informed consent was and their rights around choice. </w:t>
            </w:r>
          </w:p>
          <w:p w14:paraId="2E4CC975" w14:textId="77777777" w:rsidR="00000000" w:rsidRPr="00BE00C7" w:rsidRDefault="00000000" w:rsidP="00BE00C7">
            <w:pPr>
              <w:pStyle w:val="OutcomeDescription"/>
              <w:spacing w:before="120" w:after="120"/>
              <w:rPr>
                <w:rFonts w:cs="Arial"/>
                <w:lang w:eastAsia="en-NZ"/>
              </w:rPr>
            </w:pPr>
          </w:p>
        </w:tc>
      </w:tr>
      <w:tr w:rsidR="00E55453" w14:paraId="46D114DA" w14:textId="77777777">
        <w:tc>
          <w:tcPr>
            <w:tcW w:w="0" w:type="auto"/>
          </w:tcPr>
          <w:p w14:paraId="776A432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29EAF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CD27D1C" w14:textId="77777777" w:rsidR="00000000" w:rsidRPr="00BE00C7" w:rsidRDefault="00000000" w:rsidP="00BE00C7">
            <w:pPr>
              <w:pStyle w:val="OutcomeDescription"/>
              <w:spacing w:before="120" w:after="120"/>
              <w:rPr>
                <w:rFonts w:cs="Arial"/>
                <w:lang w:eastAsia="en-NZ"/>
              </w:rPr>
            </w:pPr>
          </w:p>
        </w:tc>
        <w:tc>
          <w:tcPr>
            <w:tcW w:w="0" w:type="auto"/>
          </w:tcPr>
          <w:p w14:paraId="1216933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1A31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care home manager is the complaints manager and maintains a record of all complaints, both verbal and written, by using a complaint register. Four complaints have been received since the previous audit. Documentation including follow-up letters and resolution demonstrates that complaints are being managed in accordance with guidelines set by the Health and Disability Commission (HDC). Where improvements were required, these were documented; and corrective actions implemented. Staff are informed of complaints (and any subsequent corrective actions) in the quality improvement/management and general staff meetings (minutes sighted). Discussions with residents and family/whānau confirmed they are provided with information on complaints and complaint forms are available at the entrance to the facility. </w:t>
            </w:r>
          </w:p>
          <w:p w14:paraId="12EF55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have a variety of avenues they can choose from to make a complaint or express a concern. Resident meetings are held bimonthly and create a platform where concerns can be raised. During interviews with family/whānau, they confirmed the care home manager is available to listen to concerns and acts promptly on issues raised. Residents and family/whānau making a complaint can involve an independent support person in the process </w:t>
            </w:r>
            <w:r w:rsidRPr="00BE00C7">
              <w:rPr>
                <w:rFonts w:cs="Arial"/>
                <w:lang w:eastAsia="en-NZ"/>
              </w:rPr>
              <w:lastRenderedPageBreak/>
              <w:t>if they choose. Information about support resources for Māori is available to staff to assist Māori in the complaints process. Māori residents are supported to ensure an equitable complaints process. The care home manager acknowledged the understanding that for Māori, there is a preference for face-to-face communication. Staff completed training in relation to advocacy, complaints management and resident rights in November 2023.</w:t>
            </w:r>
          </w:p>
          <w:p w14:paraId="02A31E61" w14:textId="77777777" w:rsidR="00000000" w:rsidRPr="00BE00C7" w:rsidRDefault="00000000" w:rsidP="00BE00C7">
            <w:pPr>
              <w:pStyle w:val="OutcomeDescription"/>
              <w:spacing w:before="120" w:after="120"/>
              <w:rPr>
                <w:rFonts w:cs="Arial"/>
                <w:lang w:eastAsia="en-NZ"/>
              </w:rPr>
            </w:pPr>
          </w:p>
        </w:tc>
      </w:tr>
      <w:tr w:rsidR="00E55453" w14:paraId="1BE7EF37" w14:textId="77777777">
        <w:tc>
          <w:tcPr>
            <w:tcW w:w="0" w:type="auto"/>
          </w:tcPr>
          <w:p w14:paraId="5E19D01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1F507A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D8363F5" w14:textId="77777777" w:rsidR="00000000" w:rsidRPr="00BE00C7" w:rsidRDefault="00000000" w:rsidP="00BE00C7">
            <w:pPr>
              <w:pStyle w:val="OutcomeDescription"/>
              <w:spacing w:before="120" w:after="120"/>
              <w:rPr>
                <w:rFonts w:cs="Arial"/>
                <w:lang w:eastAsia="en-NZ"/>
              </w:rPr>
            </w:pPr>
          </w:p>
        </w:tc>
        <w:tc>
          <w:tcPr>
            <w:tcW w:w="0" w:type="auto"/>
          </w:tcPr>
          <w:p w14:paraId="649EA04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77510E" w14:textId="77777777" w:rsidR="00000000" w:rsidRPr="00BE00C7" w:rsidRDefault="00000000" w:rsidP="00BE00C7">
            <w:pPr>
              <w:pStyle w:val="OutcomeDescription"/>
              <w:spacing w:before="120" w:after="120"/>
              <w:rPr>
                <w:rFonts w:cs="Arial"/>
                <w:lang w:eastAsia="en-NZ"/>
              </w:rPr>
            </w:pPr>
            <w:r w:rsidRPr="00BE00C7">
              <w:rPr>
                <w:rFonts w:cs="Arial"/>
                <w:lang w:eastAsia="en-NZ"/>
              </w:rPr>
              <w:t>Bainswood House provides rest home level of care for up to 41 residents including 27 rest home beds and up to 14 serviced apartments certified for rest home level of care. On the day of the audit there were 30 residents in total: 25 residents in the rest home, including one resident on respite, and five rest home level residents in the serviced apartments. All residents are under the age-related residential care (ARRC) contract. Three other facilities in Rangiora, Bainswood on Victoria, Bainslea House and Holmwood are also owned by the Rangiora Lifecare Limited.</w:t>
            </w:r>
          </w:p>
          <w:p w14:paraId="606D65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This audit verified the conversion of a two-bedroom apartment into a one-bedroom apartment and one rest home room. This change resulted in an increase in the facilities rest home care beds, from 40 beds to 41 beds. Both rooms were verified as suitable for rest home level care. </w:t>
            </w:r>
          </w:p>
          <w:p w14:paraId="5FE32ECF" w14:textId="77777777" w:rsidR="00000000" w:rsidRPr="00BE00C7" w:rsidRDefault="00000000" w:rsidP="00BE00C7">
            <w:pPr>
              <w:pStyle w:val="OutcomeDescription"/>
              <w:spacing w:before="120" w:after="120"/>
              <w:rPr>
                <w:rFonts w:cs="Arial"/>
                <w:lang w:eastAsia="en-NZ"/>
              </w:rPr>
            </w:pPr>
            <w:r w:rsidRPr="00BE00C7">
              <w:rPr>
                <w:rFonts w:cs="Arial"/>
                <w:lang w:eastAsia="en-NZ"/>
              </w:rPr>
              <w:t>Bainswood House is privately owned with an executive director (also a Board member) and a care home manager (enrolled nurse) providing oversight of the service. The executive director is experienced in the provision of aged care services and was knowledgeable around legislative and contractual requirements. There is also a quality coordinator who works two days per month at each of the four Rangiora Lifecare Limited facilities. Collaboration with staff and family/whānau who identify as Māori reflect their input for the provision of equitable delivery of care. The care home manager attends weekly zoom meetings with the executive director and report at the meetings with an overview of adverse events, health and safety, staffing, infection control, and all aspects of the quality and risk management plan. Critical and significant events are reported monthly to the company director. The care home manager and clinical lead (registered nurse) provide clinical oversight for the service.</w:t>
            </w:r>
          </w:p>
          <w:p w14:paraId="2987B0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2022 to (December) 2024 business plan in place which aligns with the purpose, mission statement and values of the business. The care home manager and executive director analyse internal processes, business planning </w:t>
            </w:r>
            <w:r w:rsidRPr="00BE00C7">
              <w:rPr>
                <w:rFonts w:cs="Arial"/>
                <w:lang w:eastAsia="en-NZ"/>
              </w:rPr>
              <w:lastRenderedPageBreak/>
              <w:t>and service development to reduce barriers, improve outcomes and achieve equity for Māori. Business goals are reviewed at Board meetings.</w:t>
            </w:r>
          </w:p>
          <w:p w14:paraId="558C62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home manager has been in the role since July 2022 and was previously in the nurse manager role since 2011. The care home manager is supported by clinical lead (registered nurse) who has been at the Bainswood House for 15 months, and a part-time RN who has been in the role for three months. The care home manager and the clinical lead have completed eight hours of professional development related to managing a rest home. </w:t>
            </w:r>
          </w:p>
          <w:p w14:paraId="05B8C19A" w14:textId="77777777" w:rsidR="00000000" w:rsidRPr="00BE00C7" w:rsidRDefault="00000000" w:rsidP="00BE00C7">
            <w:pPr>
              <w:pStyle w:val="OutcomeDescription"/>
              <w:spacing w:before="120" w:after="120"/>
              <w:rPr>
                <w:rFonts w:cs="Arial"/>
                <w:lang w:eastAsia="en-NZ"/>
              </w:rPr>
            </w:pPr>
          </w:p>
        </w:tc>
      </w:tr>
      <w:tr w:rsidR="00E55453" w14:paraId="2036CC4C" w14:textId="77777777">
        <w:tc>
          <w:tcPr>
            <w:tcW w:w="0" w:type="auto"/>
          </w:tcPr>
          <w:p w14:paraId="2BD0C2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2BA31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C1A2EE9" w14:textId="77777777" w:rsidR="00000000" w:rsidRPr="00BE00C7" w:rsidRDefault="00000000" w:rsidP="00BE00C7">
            <w:pPr>
              <w:pStyle w:val="OutcomeDescription"/>
              <w:spacing w:before="120" w:after="120"/>
              <w:rPr>
                <w:rFonts w:cs="Arial"/>
                <w:lang w:eastAsia="en-NZ"/>
              </w:rPr>
            </w:pPr>
          </w:p>
        </w:tc>
        <w:tc>
          <w:tcPr>
            <w:tcW w:w="0" w:type="auto"/>
          </w:tcPr>
          <w:p w14:paraId="5386640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B776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Bainswood House has an established quality and risk management programme in place. The care home manager is supported by an external quality coordinator, who is responsible for the completion of internal audits and liaising with the care home manager regarding subsequent corrective actions. The quality and risk management systems include performance monitoring through internal audits and through the collection of clinical indicator data. Clinical indicator data (eg, falls, skin tears, infections and bruising) is collected, analysed at unit level and benchmarked against industry standards/other aged care organisations. Quality improvement/management and general staff meetings provide an avenue for discussions in relation to (but not limited to) quality data; health and safety; infection control/pandemic strategies; complaints; compliments; staffing; and education. </w:t>
            </w:r>
          </w:p>
          <w:p w14:paraId="4A4AA5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Meetings have been completed as per schedule and the minutes sighted provide evidence of corrective actions having been implemented and signed off. Resident/family satisfaction surveys are conducted annually. The 2024 satisfaction survey results reflect high levels of family satisfaction related to resident care; staff friendliness; environment cleanliness; grounds; activities programme; food service; laundry; respect; and dignity.  The median satisfaction score is 92%. Any areas for improvement are discussed and reviewed at the quality improvement/management meetings. </w:t>
            </w:r>
          </w:p>
          <w:p w14:paraId="2CB57F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being implemented, with the service having a health and safety representative. Hazard identification forms and an up-to-date hazard and risk register were sighted. In the event of a staff accident or incident, a debrief process is documented on the accident/incident form. Health and safety training begins at orientation and continues annually. Ten accident/incident forms reviewed for August/September 2024 </w:t>
            </w:r>
            <w:r w:rsidRPr="00BE00C7">
              <w:rPr>
                <w:rFonts w:cs="Arial"/>
                <w:lang w:eastAsia="en-NZ"/>
              </w:rPr>
              <w:lastRenderedPageBreak/>
              <w:t xml:space="preserve">(unwitnessed/witnessed falls, skin tears and bruising) indicated that the forms are completed in full and are signed off by the care home manager or clinical lead. Incident and accident data is collated monthly and reviewed by the clinical lead and the quality coordinator. Any events of concern are discussed, risks are identified, and improvements are made. Results are discussed in the quality improvement/management and general staff meetings. </w:t>
            </w:r>
          </w:p>
          <w:p w14:paraId="49EDFD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care home manager and clinical lead evidenced their awareness of the requirement to notify relevant authorities in relation to essential notifications. A Section 31 notification was sighted for the change in management. There have been no events since the last audit that have required a Section 31 or severity assessment code (SAC) notification. There have been three outbreaks since the last audit which were appropriately notified. </w:t>
            </w:r>
          </w:p>
          <w:p w14:paraId="4A224827" w14:textId="77777777" w:rsidR="00000000" w:rsidRPr="00BE00C7" w:rsidRDefault="00000000" w:rsidP="00BE00C7">
            <w:pPr>
              <w:pStyle w:val="OutcomeDescription"/>
              <w:spacing w:before="120" w:after="120"/>
              <w:rPr>
                <w:rFonts w:cs="Arial"/>
                <w:lang w:eastAsia="en-NZ"/>
              </w:rPr>
            </w:pPr>
          </w:p>
        </w:tc>
      </w:tr>
      <w:tr w:rsidR="00E55453" w14:paraId="685E8FDE" w14:textId="77777777">
        <w:tc>
          <w:tcPr>
            <w:tcW w:w="0" w:type="auto"/>
          </w:tcPr>
          <w:p w14:paraId="7148481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D0180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DA9B8AF" w14:textId="77777777" w:rsidR="00000000" w:rsidRPr="00BE00C7" w:rsidRDefault="00000000" w:rsidP="00BE00C7">
            <w:pPr>
              <w:pStyle w:val="OutcomeDescription"/>
              <w:spacing w:before="120" w:after="120"/>
              <w:rPr>
                <w:rFonts w:cs="Arial"/>
                <w:lang w:eastAsia="en-NZ"/>
              </w:rPr>
            </w:pPr>
          </w:p>
        </w:tc>
        <w:tc>
          <w:tcPr>
            <w:tcW w:w="0" w:type="auto"/>
          </w:tcPr>
          <w:p w14:paraId="331EE39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0F20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roster provides appropriate coverage for the effective delivery of care and support. The facility adjusts staffing levels to meet the changing needs of residents. The care home manager and clinical lead both work full time from Monday to Friday. A part-time RN is employed for eight days a fortnight, including alternate weekends. The clinical lead and the RN share clinical on call 24/7 for any clinical matters. The registered nurses at a sister facility in close proximity are also available to assist after hours and could attend in a clinical emergency. The Nurse Practitioner (NP) also provides after-hours support. The care home manager is on call 24/7 for any operational related issues. There are a sufficient number of caregivers employed to cover all the shifts. Short notice absences are back filled with Bainswood House’s own staff. Caregivers interviewed stated the workload is manageable and reported that during the outbreaks they were supported with a flexible roster. Residents interviewed confirmed their care requirements are attended to in a timely manner. </w:t>
            </w:r>
          </w:p>
          <w:p w14:paraId="3663A0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education and training plan has been completed for 2023 and is being implemented 2024 year to date. The education and training schedule lists compulsory training, which includes cultural awareness training. External training opportunities for care staff include training through Health New Zealand, Hospice, Age Concern and New Zealand Age Care Association. </w:t>
            </w:r>
          </w:p>
          <w:p w14:paraId="27100F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w:t>
            </w:r>
            <w:r w:rsidRPr="00BE00C7">
              <w:rPr>
                <w:rFonts w:cs="Arial"/>
                <w:lang w:eastAsia="en-NZ"/>
              </w:rPr>
              <w:lastRenderedPageBreak/>
              <w:t>Qualification Authority (NZQA) qualification. Thirteen of 16 caregivers have achieved a level 3 NZQA qualification or higher. The orientation programme ensure core competencies and compulsory knowledge/topics are addressed. All staff are required to complete competency assessments as part of their orientation. All caregivers are required to complete annual competencies for restraint; handwashing; medication management/administration; cultural competency; correct use of personal protective equipment; and moving and handling. A record of completion is maintained. The clinical lead is interRAI trained and both RNs are encouraged to also attend external training, webinars and zoom training where available.</w:t>
            </w:r>
          </w:p>
          <w:p w14:paraId="2E32A7DD" w14:textId="77777777" w:rsidR="00000000" w:rsidRPr="00BE00C7" w:rsidRDefault="00000000" w:rsidP="00BE00C7">
            <w:pPr>
              <w:pStyle w:val="OutcomeDescription"/>
              <w:spacing w:before="120" w:after="120"/>
              <w:rPr>
                <w:rFonts w:cs="Arial"/>
                <w:lang w:eastAsia="en-NZ"/>
              </w:rPr>
            </w:pPr>
          </w:p>
        </w:tc>
      </w:tr>
      <w:tr w:rsidR="00E55453" w14:paraId="12A849FE" w14:textId="77777777">
        <w:tc>
          <w:tcPr>
            <w:tcW w:w="0" w:type="auto"/>
          </w:tcPr>
          <w:p w14:paraId="0EC215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6C0F3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33AE71D" w14:textId="77777777" w:rsidR="00000000" w:rsidRPr="00BE00C7" w:rsidRDefault="00000000" w:rsidP="00BE00C7">
            <w:pPr>
              <w:pStyle w:val="OutcomeDescription"/>
              <w:spacing w:before="120" w:after="120"/>
              <w:rPr>
                <w:rFonts w:cs="Arial"/>
                <w:lang w:eastAsia="en-NZ"/>
              </w:rPr>
            </w:pPr>
          </w:p>
        </w:tc>
        <w:tc>
          <w:tcPr>
            <w:tcW w:w="0" w:type="auto"/>
          </w:tcPr>
          <w:p w14:paraId="35C125F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DB4E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Five staff files reviewed evidenced implementation of the recruitment process, employment contracts, reference checks, police checks, and completed orientation. The orientation programme is role specific to ensure staff are equipped to provide clinical and cultural safe care. </w:t>
            </w:r>
          </w:p>
          <w:p w14:paraId="716BCE6A"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(eg, RNs, NPs, pharmacy, physiotherapy, and dietitian). All staff who have been employed for over one year have an annual appraisal completed.</w:t>
            </w:r>
          </w:p>
          <w:p w14:paraId="4FDAA993" w14:textId="77777777" w:rsidR="00000000" w:rsidRPr="00BE00C7" w:rsidRDefault="00000000" w:rsidP="00BE00C7">
            <w:pPr>
              <w:pStyle w:val="OutcomeDescription"/>
              <w:spacing w:before="120" w:after="120"/>
              <w:rPr>
                <w:rFonts w:cs="Arial"/>
                <w:lang w:eastAsia="en-NZ"/>
              </w:rPr>
            </w:pPr>
          </w:p>
        </w:tc>
      </w:tr>
      <w:tr w:rsidR="00E55453" w14:paraId="5781A41B" w14:textId="77777777">
        <w:tc>
          <w:tcPr>
            <w:tcW w:w="0" w:type="auto"/>
          </w:tcPr>
          <w:p w14:paraId="5D2B43B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5FD228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C58B4F4" w14:textId="77777777" w:rsidR="00000000" w:rsidRPr="00BE00C7" w:rsidRDefault="00000000" w:rsidP="00BE00C7">
            <w:pPr>
              <w:pStyle w:val="OutcomeDescription"/>
              <w:spacing w:before="120" w:after="120"/>
              <w:rPr>
                <w:rFonts w:cs="Arial"/>
                <w:lang w:eastAsia="en-NZ"/>
              </w:rPr>
            </w:pPr>
          </w:p>
        </w:tc>
        <w:tc>
          <w:tcPr>
            <w:tcW w:w="0" w:type="auto"/>
          </w:tcPr>
          <w:p w14:paraId="1222A9C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6D795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The clinical lead and registered nurse (RN) are responsible for all residents’ assessments, care planning and evaluation of care. Care plans are based on data collected during the initial nursing assessments, which include dietary needs, pressure injury, falls risk, social history, and information from pre-entry assessments. All residents had an interRAI assessment completed. </w:t>
            </w:r>
          </w:p>
          <w:p w14:paraId="2797CC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Initial assessments and long-term care plans were completed for residents, detailing needs, and preferences within 24 hours of admission. The individualised long-term care plans (LTCPs) are developed with information gathered during the initial assessments and the interRAI assessment. All LTCP </w:t>
            </w:r>
            <w:r w:rsidRPr="00BE00C7">
              <w:rPr>
                <w:rFonts w:cs="Arial"/>
                <w:lang w:eastAsia="en-NZ"/>
              </w:rPr>
              <w:lastRenderedPageBreak/>
              <w:t xml:space="preserve">and interRAI assessments sampled had been completed within three weeks of the residents’ admission to the facility. Documented interventions and early warning signs meet the residents’ assessed needs and are sufficiently detailed to provide guidance to care staff in the delivery of care. The activity assessments include a cultural assessment which gathers information about cultural needs, values, and beliefs. Information from these assessments is used to develop the resident’s individual activity care plan. </w:t>
            </w:r>
          </w:p>
          <w:p w14:paraId="057AD8A7" w14:textId="77777777" w:rsidR="00000000" w:rsidRPr="00BE00C7" w:rsidRDefault="00000000" w:rsidP="00BE00C7">
            <w:pPr>
              <w:pStyle w:val="OutcomeDescription"/>
              <w:spacing w:before="120" w:after="120"/>
              <w:rPr>
                <w:rFonts w:cs="Arial"/>
                <w:lang w:eastAsia="en-NZ"/>
              </w:rPr>
            </w:pPr>
            <w:r w:rsidRPr="00BE00C7">
              <w:rPr>
                <w:rFonts w:cs="Arial"/>
                <w:lang w:eastAsia="en-NZ"/>
              </w:rPr>
              <w:t>Short-term care plans are developed for acute problems, for example infections, wounds, and weight loss. Resident care is evaluated on each shift and reported at handover and in the electronic progress notes. If any change is noted, it is reported to the clinical lead and/or RN. Long-term care plans are formally evaluated every six months in conjunction with the interRAI re-assessments and when there is a change in the resident’s condition. Evaluations are documented by an RN and include the degree of achievement towards meeting desired goals and outcomes. Residents interviewed confirmed assessments are completed according to their needs and in the privacy of their bedrooms.</w:t>
            </w:r>
          </w:p>
          <w:p w14:paraId="54D623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family/whānau involvement in care planning and documented ongoing communication of health status updates. Family interviews and resident records evidenced that family/whānau are informed where there is a change in health status. The service has policies and procedures in place to support all residents to access services and information. The service supports and advocates for residents with disabilities to access relevant disability services. </w:t>
            </w:r>
          </w:p>
          <w:p w14:paraId="361560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nurse practitioner (NP) within the required timeframe following admission. Residents have ongoing reviews by the NP within required timeframes and when their health status changes. There are NP visits on a weekly basis and as required. Medical documentation and records reviewed were current. The NP interviewed stated that there was good communication with the service and that they were informed of concerns in a timely manner. The NP is available on call 24/7. Staff are aware they can contact the ambulance service for assistance in acute and emergency situations. A local physiotherapy service is available if required. There is access to a continence specialist as required. A podiatrist visits regularly and a dietitian, speech language therapist, hospice, wound care nurse specialist, and medical specialists are available as required through Health New Zealand. </w:t>
            </w:r>
          </w:p>
          <w:p w14:paraId="6D2C569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caregivers confirmed adequate supplies of wound care products were available at the facility. A review of the wound care plans evidenced that wounds were assessed in a timely manner and reviewed at appropriate intervals. Photos were taken where this was required. Where wounds required additional specialist input, this was initiated, and a wound nurse specialist was consulted. At the time of the audit, there were five active wounds, including skin tears, lesions, and surgical wounds. </w:t>
            </w:r>
          </w:p>
          <w:p w14:paraId="590216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electronic records. Monthly observations, such as weight and blood pressure, were completed and are up to date. Neurological observations are recorded following un-witnessed falls as per policy. A range of electronic monitoring charts are available for the care staff to utilise. These include (but are not limited to) monthly blood pressure and weight monitoring, bowel records and toileting regimen. Staff interviews confirmed they are familiar with the needs of all residents in the facility and that they have access to the supplies and products they require to meet those needs. Staff receive a handover at the beginning of their shift. </w:t>
            </w:r>
          </w:p>
          <w:p w14:paraId="1D9E286D" w14:textId="77777777" w:rsidR="00000000" w:rsidRPr="00BE00C7" w:rsidRDefault="00000000" w:rsidP="003F486D">
            <w:pPr>
              <w:pStyle w:val="OutcomeDescription"/>
              <w:spacing w:before="120" w:after="120"/>
              <w:rPr>
                <w:rFonts w:cs="Arial"/>
                <w:lang w:eastAsia="en-NZ"/>
              </w:rPr>
            </w:pPr>
          </w:p>
        </w:tc>
      </w:tr>
      <w:tr w:rsidR="00E55453" w14:paraId="50D7DBA5" w14:textId="77777777">
        <w:tc>
          <w:tcPr>
            <w:tcW w:w="0" w:type="auto"/>
          </w:tcPr>
          <w:p w14:paraId="238176B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8B48C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16C7C7A" w14:textId="77777777" w:rsidR="00000000" w:rsidRPr="00BE00C7" w:rsidRDefault="00000000" w:rsidP="00BE00C7">
            <w:pPr>
              <w:pStyle w:val="OutcomeDescription"/>
              <w:spacing w:before="120" w:after="120"/>
              <w:rPr>
                <w:rFonts w:cs="Arial"/>
                <w:lang w:eastAsia="en-NZ"/>
              </w:rPr>
            </w:pPr>
          </w:p>
        </w:tc>
        <w:tc>
          <w:tcPr>
            <w:tcW w:w="0" w:type="auto"/>
          </w:tcPr>
          <w:p w14:paraId="39F013E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3999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All staff who administer medications have been assessed for competency on an annual basis. Education around safe medication administration has been provided as part of the competency process. Syringe driver assistance is available when required through Nurse Maude. Syringe drivers are seldom used at Bainswood House and registered staff are not required to have current competencies. </w:t>
            </w:r>
          </w:p>
          <w:p w14:paraId="1ECF55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clinical lead, RN and medication competent caregivers interviewed could describe their role regarding medication administration. The service currently uses blister packs for regular medication and pro re nata (PRN) drugs and short course medications. All medications are checked on delivery against the medication chart and any discrepancies are fed back to the supplying pharmacy. </w:t>
            </w:r>
          </w:p>
          <w:p w14:paraId="131B4F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appropriately stored in the medication room. The medication fridge and medication room temperatures are monitored daily and were within expected ranges. All stored medications are checked weekly. Eyedrops are dated on opening. </w:t>
            </w:r>
          </w:p>
          <w:p w14:paraId="19CB53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Ten electronic medication charts were reviewed. The medication charts reviewed identified that the NP had reviewed all resident medication charts three-monthly, and each drug chart has photo identification and allergy status identified. Indications for use were noted for pro re nata (PRN) medications. The effectiveness of PRN medications was consistently documented in the electronic medication management system and progress notes. There were four residents self-administering all or part of their medications. All had been appropriately assessed for competence and had safe storage within their rooms. No standing orders are used. </w:t>
            </w:r>
          </w:p>
          <w:p w14:paraId="284742BC" w14:textId="77777777" w:rsidR="00000000" w:rsidRPr="00BE00C7" w:rsidRDefault="00000000" w:rsidP="00BE00C7">
            <w:pPr>
              <w:pStyle w:val="OutcomeDescription"/>
              <w:spacing w:before="120" w:after="120"/>
              <w:rPr>
                <w:rFonts w:cs="Arial"/>
                <w:lang w:eastAsia="en-NZ"/>
              </w:rPr>
            </w:pPr>
          </w:p>
        </w:tc>
      </w:tr>
      <w:tr w:rsidR="00E55453" w14:paraId="76723AE4" w14:textId="77777777">
        <w:tc>
          <w:tcPr>
            <w:tcW w:w="0" w:type="auto"/>
          </w:tcPr>
          <w:p w14:paraId="04122F5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48B00E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52D018A" w14:textId="77777777" w:rsidR="00000000" w:rsidRPr="00BE00C7" w:rsidRDefault="00000000" w:rsidP="00BE00C7">
            <w:pPr>
              <w:pStyle w:val="OutcomeDescription"/>
              <w:spacing w:before="120" w:after="120"/>
              <w:rPr>
                <w:rFonts w:cs="Arial"/>
                <w:lang w:eastAsia="en-NZ"/>
              </w:rPr>
            </w:pPr>
          </w:p>
        </w:tc>
        <w:tc>
          <w:tcPr>
            <w:tcW w:w="0" w:type="auto"/>
          </w:tcPr>
          <w:p w14:paraId="4AA0CB9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AE81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receives resident dietary forms and is notified of any dietary changes for residents. Dislikes and special dietary requirements are accommodated, including food allergies. The cook interviewed stated they consult directly with residents to gain feedback of the food service, and they accommodate individual residents’ requests.</w:t>
            </w:r>
          </w:p>
          <w:p w14:paraId="62BCF0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verified food control plan, expiring 14 May 2025. The residents and family/whānau interviewed were complimentary regarding the standard of food provided.</w:t>
            </w:r>
          </w:p>
          <w:p w14:paraId="056107BB" w14:textId="77777777" w:rsidR="00000000" w:rsidRPr="00BE00C7" w:rsidRDefault="00000000" w:rsidP="00BE00C7">
            <w:pPr>
              <w:pStyle w:val="OutcomeDescription"/>
              <w:spacing w:before="120" w:after="120"/>
              <w:rPr>
                <w:rFonts w:cs="Arial"/>
                <w:lang w:eastAsia="en-NZ"/>
              </w:rPr>
            </w:pPr>
          </w:p>
        </w:tc>
      </w:tr>
      <w:tr w:rsidR="00E55453" w14:paraId="658BAAB1" w14:textId="77777777">
        <w:tc>
          <w:tcPr>
            <w:tcW w:w="0" w:type="auto"/>
          </w:tcPr>
          <w:p w14:paraId="174A32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47640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78CAFC6" w14:textId="77777777" w:rsidR="00000000" w:rsidRPr="00BE00C7" w:rsidRDefault="00000000" w:rsidP="00BE00C7">
            <w:pPr>
              <w:pStyle w:val="OutcomeDescription"/>
              <w:spacing w:before="120" w:after="120"/>
              <w:rPr>
                <w:rFonts w:cs="Arial"/>
                <w:lang w:eastAsia="en-NZ"/>
              </w:rPr>
            </w:pPr>
          </w:p>
        </w:tc>
        <w:tc>
          <w:tcPr>
            <w:tcW w:w="0" w:type="auto"/>
          </w:tcPr>
          <w:p w14:paraId="0B3FF97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5185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documented policies and procedures to ensure discharging or transferring of residents includes a documented transition, transfer, or discharge plan, to include current needs and risk mitigation. Planned discharges or transfers were coordinated in collaboration with the resident (where appropriate), family/whānau and other service providers to ensure continuity of care. </w:t>
            </w:r>
          </w:p>
          <w:p w14:paraId="42738A41" w14:textId="77777777" w:rsidR="00000000" w:rsidRPr="00BE00C7" w:rsidRDefault="00000000" w:rsidP="00BE00C7">
            <w:pPr>
              <w:pStyle w:val="OutcomeDescription"/>
              <w:spacing w:before="120" w:after="120"/>
              <w:rPr>
                <w:rFonts w:cs="Arial"/>
                <w:lang w:eastAsia="en-NZ"/>
              </w:rPr>
            </w:pPr>
          </w:p>
        </w:tc>
      </w:tr>
      <w:tr w:rsidR="00E55453" w14:paraId="5AE32E03" w14:textId="77777777">
        <w:tc>
          <w:tcPr>
            <w:tcW w:w="0" w:type="auto"/>
          </w:tcPr>
          <w:p w14:paraId="3A20224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7DD050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BACC2EC" w14:textId="77777777" w:rsidR="00000000" w:rsidRPr="00BE00C7" w:rsidRDefault="00000000" w:rsidP="00BE00C7">
            <w:pPr>
              <w:pStyle w:val="OutcomeDescription"/>
              <w:spacing w:before="120" w:after="120"/>
              <w:rPr>
                <w:rFonts w:cs="Arial"/>
                <w:lang w:eastAsia="en-NZ"/>
              </w:rPr>
            </w:pPr>
          </w:p>
        </w:tc>
        <w:tc>
          <w:tcPr>
            <w:tcW w:w="0" w:type="auto"/>
          </w:tcPr>
          <w:p w14:paraId="6DBEA6C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1138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and comply with legislation relevant to the health and disability services being provided. The environment is inclusive of people’s cultures and supports cultural practices. The current building warrant of fitness expires 1 June 2025. There is an annual maintenance plan that includes electrical testing and tagging, equipment checks, call bell checks, calibration of medical equipment, and monthly testing of hot water temperatures. The maintenance schedule is implemented as required. The service notified HealthCERT of the intention to reconfigure bed numbers. This audit verified the conversion of a two-bedroom apartment into a one-bedroom apartment and one rest home room. Both rooms were verified as suitable for rest home level care. </w:t>
            </w:r>
          </w:p>
          <w:p w14:paraId="1DB8F030" w14:textId="77777777" w:rsidR="00000000" w:rsidRPr="00BE00C7" w:rsidRDefault="00000000" w:rsidP="00BE00C7">
            <w:pPr>
              <w:pStyle w:val="OutcomeDescription"/>
              <w:spacing w:before="120" w:after="120"/>
              <w:rPr>
                <w:rFonts w:cs="Arial"/>
                <w:lang w:eastAsia="en-NZ"/>
              </w:rPr>
            </w:pPr>
          </w:p>
        </w:tc>
      </w:tr>
      <w:tr w:rsidR="00E55453" w14:paraId="2D6B11F0" w14:textId="77777777">
        <w:tc>
          <w:tcPr>
            <w:tcW w:w="0" w:type="auto"/>
          </w:tcPr>
          <w:p w14:paraId="58691B5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34B4B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AAE681A" w14:textId="77777777" w:rsidR="00000000" w:rsidRPr="00BE00C7" w:rsidRDefault="00000000" w:rsidP="00BE00C7">
            <w:pPr>
              <w:pStyle w:val="OutcomeDescription"/>
              <w:spacing w:before="120" w:after="120"/>
              <w:rPr>
                <w:rFonts w:cs="Arial"/>
                <w:lang w:eastAsia="en-NZ"/>
              </w:rPr>
            </w:pPr>
          </w:p>
        </w:tc>
        <w:tc>
          <w:tcPr>
            <w:tcW w:w="0" w:type="auto"/>
          </w:tcPr>
          <w:p w14:paraId="5FDC5C5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CFB7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programme is appropriate for the size and complexity of the service. The infection prevention and control and antimicrobial stewardship (AMS) programmes are reviewed annually and is linked to the quality and business plan. The online infection control manual outlines a comprehensive range of policies, standards and guidelines and includes defining roles, responsibilities and oversight, training, and education of staff. Policies and procedures are reviewed by an external consultant, in consultation with the infection control coordinator (clinical lead). Policies are available to staff. </w:t>
            </w:r>
          </w:p>
          <w:p w14:paraId="72B7A6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demonstrated knowledge on the requirements of standard precautions. The infection prevention control coordinator oversees infection control and the antimicrobial stewardship programme across Bainswood House and is responsible for coordinating/providing education and training to staff. The orientation package includes specific training around hand hygiene and standard precautions. Annual infection control training is included in the mandatory in-services that are held for all staff and training videos are also available electronically. Staff have completed infection control related education in the last 12 months. The infection prevention control coordinator has completed external training. </w:t>
            </w:r>
          </w:p>
          <w:p w14:paraId="0A8863D8" w14:textId="77777777" w:rsidR="00000000" w:rsidRPr="00BE00C7" w:rsidRDefault="00000000" w:rsidP="00BE00C7">
            <w:pPr>
              <w:pStyle w:val="OutcomeDescription"/>
              <w:spacing w:before="120" w:after="120"/>
              <w:rPr>
                <w:rFonts w:cs="Arial"/>
                <w:lang w:eastAsia="en-NZ"/>
              </w:rPr>
            </w:pPr>
          </w:p>
        </w:tc>
      </w:tr>
      <w:tr w:rsidR="00E55453" w14:paraId="0FD911D5" w14:textId="77777777">
        <w:tc>
          <w:tcPr>
            <w:tcW w:w="0" w:type="auto"/>
          </w:tcPr>
          <w:p w14:paraId="7F9BEE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5.4: Surveillance of health care-associated </w:t>
            </w:r>
            <w:r w:rsidRPr="00BE00C7">
              <w:rPr>
                <w:rFonts w:cs="Arial"/>
                <w:lang w:eastAsia="en-NZ"/>
              </w:rPr>
              <w:lastRenderedPageBreak/>
              <w:t>infection (HAI)</w:t>
            </w:r>
          </w:p>
          <w:p w14:paraId="1C08DF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B7D10BC" w14:textId="77777777" w:rsidR="00000000" w:rsidRPr="00BE00C7" w:rsidRDefault="00000000" w:rsidP="00BE00C7">
            <w:pPr>
              <w:pStyle w:val="OutcomeDescription"/>
              <w:spacing w:before="120" w:after="120"/>
              <w:rPr>
                <w:rFonts w:cs="Arial"/>
                <w:lang w:eastAsia="en-NZ"/>
              </w:rPr>
            </w:pPr>
          </w:p>
        </w:tc>
        <w:tc>
          <w:tcPr>
            <w:tcW w:w="0" w:type="auto"/>
          </w:tcPr>
          <w:p w14:paraId="27F7CE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8B6BB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control coordinator uses the information obtained through surveillance to determine infection control activities, resources, and </w:t>
            </w:r>
            <w:r w:rsidRPr="00BE00C7">
              <w:rPr>
                <w:rFonts w:cs="Arial"/>
                <w:lang w:eastAsia="en-NZ"/>
              </w:rPr>
              <w:lastRenderedPageBreak/>
              <w:t>education needs within the service.</w:t>
            </w:r>
          </w:p>
          <w:p w14:paraId="454BEA9E"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infection data is collected for all infections based on standard definitions, signs, symptoms, and reporting criteria. Infection control data is entered into the infection register on the electronic risk management system and includes ethnicity data. The data is monitored and evaluated monthly and annually. Any trends identified are analysed, and corrective actions are established. There is benchmarking of infection rates that occurs monthly. Trends, benchmarking, along with actions and outcomes, are discussed at the combined quality improvement/management and general staff meetings. Meeting minutes are available for staff to review and is included in the report that is presented to the executive director.</w:t>
            </w:r>
          </w:p>
          <w:p w14:paraId="0C747D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two Covid-19 outbreaks (March 2024 and April 2024) and one respiratory tract outbreak in October 2024 since the previous audit. The outbreaks were well managed with appropriate resident care implemented, documentation completed as per required policies, and working alongside the Health New Zealand infection control specialist. </w:t>
            </w:r>
          </w:p>
          <w:p w14:paraId="6BFB8F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plenty of personal protective equipment and appropriate communication channels to residents, family/whānau and staff.</w:t>
            </w:r>
          </w:p>
          <w:p w14:paraId="2CB3FC0C" w14:textId="77777777" w:rsidR="00000000" w:rsidRPr="00BE00C7" w:rsidRDefault="00000000" w:rsidP="00BE00C7">
            <w:pPr>
              <w:pStyle w:val="OutcomeDescription"/>
              <w:spacing w:before="120" w:after="120"/>
              <w:rPr>
                <w:rFonts w:cs="Arial"/>
                <w:lang w:eastAsia="en-NZ"/>
              </w:rPr>
            </w:pPr>
          </w:p>
        </w:tc>
      </w:tr>
      <w:tr w:rsidR="00E55453" w14:paraId="0885497E" w14:textId="77777777">
        <w:tc>
          <w:tcPr>
            <w:tcW w:w="0" w:type="auto"/>
          </w:tcPr>
          <w:p w14:paraId="158DD81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7DA6ED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7E4B701" w14:textId="77777777" w:rsidR="00000000" w:rsidRPr="00BE00C7" w:rsidRDefault="00000000" w:rsidP="00BE00C7">
            <w:pPr>
              <w:pStyle w:val="OutcomeDescription"/>
              <w:spacing w:before="120" w:after="120"/>
              <w:rPr>
                <w:rFonts w:cs="Arial"/>
                <w:lang w:eastAsia="en-NZ"/>
              </w:rPr>
            </w:pPr>
          </w:p>
        </w:tc>
        <w:tc>
          <w:tcPr>
            <w:tcW w:w="0" w:type="auto"/>
          </w:tcPr>
          <w:p w14:paraId="6C4D5FE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65FA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executive director and Board receive restraint data monthly (if any) and is committed to support the leadership team to maintain a restraint-free environment at Bainswood House. There were no residents using restraint at Bainswood House. The restraint policy confirms that restraint consideration and application must be done in partnership with families/whānau, and the choice of device must be the least restrictive possible. The restraint coordinator interviewed described the focus on restraint elimination. </w:t>
            </w:r>
          </w:p>
          <w:p w14:paraId="364D1C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elimination is included as part of the mandatory training plan, orientation programme and discussed at staff meetings. Staff have received training in challenging behaviour. All staff are required to read the restraint policy annually and sign to confirm their understanding. </w:t>
            </w:r>
          </w:p>
          <w:p w14:paraId="4750F9A0" w14:textId="77777777" w:rsidR="00000000" w:rsidRPr="00BE00C7" w:rsidRDefault="00000000" w:rsidP="00BE00C7">
            <w:pPr>
              <w:pStyle w:val="OutcomeDescription"/>
              <w:spacing w:before="120" w:after="120"/>
              <w:rPr>
                <w:rFonts w:cs="Arial"/>
                <w:lang w:eastAsia="en-NZ"/>
              </w:rPr>
            </w:pPr>
          </w:p>
        </w:tc>
      </w:tr>
    </w:tbl>
    <w:p w14:paraId="7C611C7E"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48F170B" w14:textId="77777777" w:rsidR="00000000" w:rsidRDefault="00000000">
      <w:pPr>
        <w:pStyle w:val="Heading1"/>
        <w:rPr>
          <w:rFonts w:cs="Arial"/>
        </w:rPr>
      </w:pPr>
      <w:r>
        <w:rPr>
          <w:rFonts w:cs="Arial"/>
        </w:rPr>
        <w:lastRenderedPageBreak/>
        <w:t>Specific results for criterion where corrective actions are required</w:t>
      </w:r>
    </w:p>
    <w:p w14:paraId="7073D1D7"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64624EF"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C03BA2A"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55453" w14:paraId="22DDF110" w14:textId="77777777">
        <w:tc>
          <w:tcPr>
            <w:tcW w:w="0" w:type="auto"/>
          </w:tcPr>
          <w:p w14:paraId="6609D930"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775B87F"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3A33B721" w14:textId="77777777" w:rsidR="00000000" w:rsidRDefault="00000000">
      <w:pPr>
        <w:pStyle w:val="Heading1"/>
        <w:rPr>
          <w:rFonts w:cs="Arial"/>
        </w:rPr>
      </w:pPr>
      <w:r>
        <w:rPr>
          <w:rFonts w:cs="Arial"/>
        </w:rPr>
        <w:lastRenderedPageBreak/>
        <w:t>Specific results for criterion where a continuous improvement has been recorded</w:t>
      </w:r>
    </w:p>
    <w:p w14:paraId="6D054267"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DD16C50"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63545DA"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55453" w14:paraId="4CDA14C4" w14:textId="77777777">
        <w:tc>
          <w:tcPr>
            <w:tcW w:w="0" w:type="auto"/>
          </w:tcPr>
          <w:p w14:paraId="24C5A1BA"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55B85E2"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32C1169"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1BE6A" w14:textId="77777777" w:rsidR="00924DC9" w:rsidRDefault="00924DC9">
      <w:r>
        <w:separator/>
      </w:r>
    </w:p>
  </w:endnote>
  <w:endnote w:type="continuationSeparator" w:id="0">
    <w:p w14:paraId="614568EE" w14:textId="77777777" w:rsidR="00924DC9" w:rsidRDefault="00924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B94E" w14:textId="77777777" w:rsidR="00000000" w:rsidRDefault="00000000">
    <w:pPr>
      <w:pStyle w:val="Footer"/>
    </w:pPr>
  </w:p>
  <w:p w14:paraId="25FDC0D3" w14:textId="77777777" w:rsidR="00000000" w:rsidRDefault="00000000"/>
  <w:p w14:paraId="12DB302D"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303F1"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Bainswood House Rest Home Limited - Bainswood House Rest Home</w:t>
    </w:r>
    <w:bookmarkEnd w:id="59"/>
    <w:r>
      <w:rPr>
        <w:rFonts w:cs="Arial"/>
        <w:sz w:val="16"/>
        <w:szCs w:val="20"/>
      </w:rPr>
      <w:tab/>
      <w:t xml:space="preserve">Date of Audit: </w:t>
    </w:r>
    <w:bookmarkStart w:id="60" w:name="AuditStartDate1"/>
    <w:r>
      <w:rPr>
        <w:rFonts w:cs="Arial"/>
        <w:sz w:val="16"/>
        <w:szCs w:val="20"/>
      </w:rPr>
      <w:t>17 October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25AFFB5"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2DE4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767BF" w14:textId="77777777" w:rsidR="00924DC9" w:rsidRDefault="00924DC9">
      <w:r>
        <w:separator/>
      </w:r>
    </w:p>
  </w:footnote>
  <w:footnote w:type="continuationSeparator" w:id="0">
    <w:p w14:paraId="75AB03DC" w14:textId="77777777" w:rsidR="00924DC9" w:rsidRDefault="00924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152DD" w14:textId="77777777" w:rsidR="00000000" w:rsidRDefault="00000000">
    <w:pPr>
      <w:pStyle w:val="Header"/>
    </w:pPr>
  </w:p>
  <w:p w14:paraId="2624A4C1"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072DD" w14:textId="77777777" w:rsidR="00000000" w:rsidRDefault="00000000">
    <w:pPr>
      <w:pStyle w:val="Header"/>
    </w:pPr>
  </w:p>
  <w:p w14:paraId="401336BE"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59AD3"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D5522DDA">
      <w:start w:val="1"/>
      <w:numFmt w:val="decimal"/>
      <w:lvlText w:val="%1."/>
      <w:lvlJc w:val="left"/>
      <w:pPr>
        <w:ind w:left="360" w:hanging="360"/>
      </w:pPr>
    </w:lvl>
    <w:lvl w:ilvl="1" w:tplc="941697A6" w:tentative="1">
      <w:start w:val="1"/>
      <w:numFmt w:val="lowerLetter"/>
      <w:lvlText w:val="%2."/>
      <w:lvlJc w:val="left"/>
      <w:pPr>
        <w:ind w:left="1080" w:hanging="360"/>
      </w:pPr>
    </w:lvl>
    <w:lvl w:ilvl="2" w:tplc="2DF0B33E" w:tentative="1">
      <w:start w:val="1"/>
      <w:numFmt w:val="lowerRoman"/>
      <w:lvlText w:val="%3."/>
      <w:lvlJc w:val="right"/>
      <w:pPr>
        <w:ind w:left="1800" w:hanging="180"/>
      </w:pPr>
    </w:lvl>
    <w:lvl w:ilvl="3" w:tplc="E4D0C69C" w:tentative="1">
      <w:start w:val="1"/>
      <w:numFmt w:val="decimal"/>
      <w:lvlText w:val="%4."/>
      <w:lvlJc w:val="left"/>
      <w:pPr>
        <w:ind w:left="2520" w:hanging="360"/>
      </w:pPr>
    </w:lvl>
    <w:lvl w:ilvl="4" w:tplc="D5B6225C" w:tentative="1">
      <w:start w:val="1"/>
      <w:numFmt w:val="lowerLetter"/>
      <w:lvlText w:val="%5."/>
      <w:lvlJc w:val="left"/>
      <w:pPr>
        <w:ind w:left="3240" w:hanging="360"/>
      </w:pPr>
    </w:lvl>
    <w:lvl w:ilvl="5" w:tplc="92C04A52" w:tentative="1">
      <w:start w:val="1"/>
      <w:numFmt w:val="lowerRoman"/>
      <w:lvlText w:val="%6."/>
      <w:lvlJc w:val="right"/>
      <w:pPr>
        <w:ind w:left="3960" w:hanging="180"/>
      </w:pPr>
    </w:lvl>
    <w:lvl w:ilvl="6" w:tplc="94480F8A" w:tentative="1">
      <w:start w:val="1"/>
      <w:numFmt w:val="decimal"/>
      <w:lvlText w:val="%7."/>
      <w:lvlJc w:val="left"/>
      <w:pPr>
        <w:ind w:left="4680" w:hanging="360"/>
      </w:pPr>
    </w:lvl>
    <w:lvl w:ilvl="7" w:tplc="7D8E2E68" w:tentative="1">
      <w:start w:val="1"/>
      <w:numFmt w:val="lowerLetter"/>
      <w:lvlText w:val="%8."/>
      <w:lvlJc w:val="left"/>
      <w:pPr>
        <w:ind w:left="5400" w:hanging="360"/>
      </w:pPr>
    </w:lvl>
    <w:lvl w:ilvl="8" w:tplc="CE04E9B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A7ECBEE">
      <w:start w:val="1"/>
      <w:numFmt w:val="bullet"/>
      <w:lvlText w:val=""/>
      <w:lvlJc w:val="left"/>
      <w:pPr>
        <w:ind w:left="720" w:hanging="360"/>
      </w:pPr>
      <w:rPr>
        <w:rFonts w:ascii="Symbol" w:hAnsi="Symbol" w:hint="default"/>
      </w:rPr>
    </w:lvl>
    <w:lvl w:ilvl="1" w:tplc="0CF6A3FC" w:tentative="1">
      <w:start w:val="1"/>
      <w:numFmt w:val="bullet"/>
      <w:lvlText w:val="o"/>
      <w:lvlJc w:val="left"/>
      <w:pPr>
        <w:ind w:left="1440" w:hanging="360"/>
      </w:pPr>
      <w:rPr>
        <w:rFonts w:ascii="Courier New" w:hAnsi="Courier New" w:cs="Courier New" w:hint="default"/>
      </w:rPr>
    </w:lvl>
    <w:lvl w:ilvl="2" w:tplc="9F6C86B8" w:tentative="1">
      <w:start w:val="1"/>
      <w:numFmt w:val="bullet"/>
      <w:lvlText w:val=""/>
      <w:lvlJc w:val="left"/>
      <w:pPr>
        <w:ind w:left="2160" w:hanging="360"/>
      </w:pPr>
      <w:rPr>
        <w:rFonts w:ascii="Wingdings" w:hAnsi="Wingdings" w:hint="default"/>
      </w:rPr>
    </w:lvl>
    <w:lvl w:ilvl="3" w:tplc="E8407A32" w:tentative="1">
      <w:start w:val="1"/>
      <w:numFmt w:val="bullet"/>
      <w:lvlText w:val=""/>
      <w:lvlJc w:val="left"/>
      <w:pPr>
        <w:ind w:left="2880" w:hanging="360"/>
      </w:pPr>
      <w:rPr>
        <w:rFonts w:ascii="Symbol" w:hAnsi="Symbol" w:hint="default"/>
      </w:rPr>
    </w:lvl>
    <w:lvl w:ilvl="4" w:tplc="482E7B06" w:tentative="1">
      <w:start w:val="1"/>
      <w:numFmt w:val="bullet"/>
      <w:lvlText w:val="o"/>
      <w:lvlJc w:val="left"/>
      <w:pPr>
        <w:ind w:left="3600" w:hanging="360"/>
      </w:pPr>
      <w:rPr>
        <w:rFonts w:ascii="Courier New" w:hAnsi="Courier New" w:cs="Courier New" w:hint="default"/>
      </w:rPr>
    </w:lvl>
    <w:lvl w:ilvl="5" w:tplc="34D40B66" w:tentative="1">
      <w:start w:val="1"/>
      <w:numFmt w:val="bullet"/>
      <w:lvlText w:val=""/>
      <w:lvlJc w:val="left"/>
      <w:pPr>
        <w:ind w:left="4320" w:hanging="360"/>
      </w:pPr>
      <w:rPr>
        <w:rFonts w:ascii="Wingdings" w:hAnsi="Wingdings" w:hint="default"/>
      </w:rPr>
    </w:lvl>
    <w:lvl w:ilvl="6" w:tplc="9E5E2AD4" w:tentative="1">
      <w:start w:val="1"/>
      <w:numFmt w:val="bullet"/>
      <w:lvlText w:val=""/>
      <w:lvlJc w:val="left"/>
      <w:pPr>
        <w:ind w:left="5040" w:hanging="360"/>
      </w:pPr>
      <w:rPr>
        <w:rFonts w:ascii="Symbol" w:hAnsi="Symbol" w:hint="default"/>
      </w:rPr>
    </w:lvl>
    <w:lvl w:ilvl="7" w:tplc="59A0EB9E" w:tentative="1">
      <w:start w:val="1"/>
      <w:numFmt w:val="bullet"/>
      <w:lvlText w:val="o"/>
      <w:lvlJc w:val="left"/>
      <w:pPr>
        <w:ind w:left="5760" w:hanging="360"/>
      </w:pPr>
      <w:rPr>
        <w:rFonts w:ascii="Courier New" w:hAnsi="Courier New" w:cs="Courier New" w:hint="default"/>
      </w:rPr>
    </w:lvl>
    <w:lvl w:ilvl="8" w:tplc="C1461C96" w:tentative="1">
      <w:start w:val="1"/>
      <w:numFmt w:val="bullet"/>
      <w:lvlText w:val=""/>
      <w:lvlJc w:val="left"/>
      <w:pPr>
        <w:ind w:left="6480" w:hanging="360"/>
      </w:pPr>
      <w:rPr>
        <w:rFonts w:ascii="Wingdings" w:hAnsi="Wingdings" w:hint="default"/>
      </w:rPr>
    </w:lvl>
  </w:abstractNum>
  <w:num w:numId="1" w16cid:durableId="1275021002">
    <w:abstractNumId w:val="1"/>
  </w:num>
  <w:num w:numId="2" w16cid:durableId="1343626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53"/>
    <w:rsid w:val="003F486D"/>
    <w:rsid w:val="00924DC9"/>
    <w:rsid w:val="00E5545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FE71B"/>
  <w15:docId w15:val="{E806FC8F-C295-4FEC-BC05-642D741A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7166</Words>
  <Characters>40851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2024-12-08T21:15:00Z</dcterms:created>
  <dcterms:modified xsi:type="dcterms:W3CDTF">2024-12-08T21:15:00Z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