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BB18" w14:textId="77777777" w:rsidR="008A54F0" w:rsidRDefault="008A54F0">
      <w:pPr>
        <w:pStyle w:val="Heading1"/>
        <w:rPr>
          <w:rFonts w:cs="Arial"/>
        </w:rPr>
      </w:pPr>
      <w:bookmarkStart w:id="0" w:name="PRMS_RIName"/>
      <w:r>
        <w:rPr>
          <w:rFonts w:cs="Arial"/>
        </w:rPr>
        <w:t>Steele Park Limited - Steele Park Home</w:t>
      </w:r>
      <w:bookmarkEnd w:id="0"/>
    </w:p>
    <w:p w14:paraId="16063833" w14:textId="77777777" w:rsidR="008A54F0" w:rsidRDefault="008A54F0">
      <w:pPr>
        <w:pStyle w:val="Heading2"/>
        <w:spacing w:after="0"/>
        <w:rPr>
          <w:rFonts w:cs="Arial"/>
        </w:rPr>
      </w:pPr>
      <w:r>
        <w:rPr>
          <w:rFonts w:cs="Arial"/>
        </w:rPr>
        <w:t>Introduction</w:t>
      </w:r>
    </w:p>
    <w:p w14:paraId="07A6C403" w14:textId="77777777" w:rsidR="008A54F0" w:rsidRDefault="008A54F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3BA6582" w14:textId="77777777" w:rsidR="008A54F0" w:rsidRDefault="008A54F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0D4EB77" w14:textId="77777777" w:rsidR="008A54F0" w:rsidRDefault="008A54F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35A19C2" w14:textId="77777777" w:rsidR="008A54F0" w:rsidRDefault="008A54F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29B0609" w14:textId="77777777" w:rsidR="008A54F0" w:rsidRDefault="008A54F0">
      <w:pPr>
        <w:spacing w:before="240" w:after="240"/>
        <w:rPr>
          <w:rFonts w:cs="Arial"/>
          <w:lang w:eastAsia="en-NZ"/>
        </w:rPr>
      </w:pPr>
      <w:r>
        <w:rPr>
          <w:rFonts w:cs="Arial"/>
          <w:lang w:eastAsia="en-NZ"/>
        </w:rPr>
        <w:t>The specifics of this audit included:</w:t>
      </w:r>
    </w:p>
    <w:p w14:paraId="404369F3" w14:textId="77777777" w:rsidR="008A54F0" w:rsidRPr="009D18F5" w:rsidRDefault="008A54F0" w:rsidP="009D18F5">
      <w:pPr>
        <w:pBdr>
          <w:top w:val="single" w:sz="4" w:space="1" w:color="auto"/>
          <w:left w:val="single" w:sz="4" w:space="4" w:color="auto"/>
          <w:bottom w:val="single" w:sz="4" w:space="1" w:color="auto"/>
          <w:right w:val="single" w:sz="4" w:space="4" w:color="auto"/>
        </w:pBdr>
        <w:rPr>
          <w:rFonts w:cs="Arial"/>
        </w:rPr>
      </w:pPr>
    </w:p>
    <w:p w14:paraId="754471A8" w14:textId="77777777" w:rsidR="008A54F0" w:rsidRPr="009418D4" w:rsidRDefault="008A54F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Steele Park Limited</w:t>
      </w:r>
      <w:bookmarkEnd w:id="4"/>
    </w:p>
    <w:p w14:paraId="5DC926D3" w14:textId="77777777" w:rsidR="008A54F0" w:rsidRPr="009418D4" w:rsidRDefault="008A54F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Steele </w:t>
      </w:r>
      <w:r>
        <w:rPr>
          <w:rFonts w:cs="Arial"/>
        </w:rPr>
        <w:t>Park Home</w:t>
      </w:r>
      <w:bookmarkEnd w:id="5"/>
    </w:p>
    <w:p w14:paraId="08E362F8" w14:textId="77777777" w:rsidR="008A54F0" w:rsidRPr="009418D4" w:rsidRDefault="008A54F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658704E" w14:textId="77777777" w:rsidR="008A54F0" w:rsidRPr="009418D4" w:rsidRDefault="008A54F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November 2024</w:t>
      </w:r>
      <w:bookmarkEnd w:id="7"/>
      <w:r w:rsidRPr="009418D4">
        <w:rPr>
          <w:rFonts w:cs="Arial"/>
        </w:rPr>
        <w:tab/>
        <w:t xml:space="preserve">End date: </w:t>
      </w:r>
      <w:bookmarkStart w:id="8" w:name="AuditEndDate"/>
      <w:r>
        <w:rPr>
          <w:rFonts w:cs="Arial"/>
        </w:rPr>
        <w:t>7 November 2024</w:t>
      </w:r>
      <w:bookmarkEnd w:id="8"/>
    </w:p>
    <w:p w14:paraId="59D91A41" w14:textId="77777777" w:rsidR="008A54F0" w:rsidRPr="009418D4" w:rsidRDefault="008A54F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8D1191C" w14:textId="77777777" w:rsidR="000C5BC7" w:rsidRPr="009418D4" w:rsidRDefault="008A54F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08BD3DC9" w14:textId="77777777" w:rsidR="008A54F0" w:rsidRDefault="008A54F0" w:rsidP="009D18F5">
      <w:pPr>
        <w:pBdr>
          <w:top w:val="single" w:sz="4" w:space="1" w:color="auto"/>
          <w:left w:val="single" w:sz="4" w:space="4" w:color="auto"/>
          <w:bottom w:val="single" w:sz="4" w:space="1" w:color="auto"/>
          <w:right w:val="single" w:sz="4" w:space="4" w:color="auto"/>
        </w:pBdr>
        <w:rPr>
          <w:rFonts w:cs="Arial"/>
          <w:lang w:eastAsia="en-NZ"/>
        </w:rPr>
      </w:pPr>
    </w:p>
    <w:p w14:paraId="5EF8102D" w14:textId="77777777" w:rsidR="008A54F0" w:rsidRDefault="008A54F0">
      <w:pPr>
        <w:pStyle w:val="Heading1"/>
        <w:rPr>
          <w:rFonts w:cs="Arial"/>
        </w:rPr>
      </w:pPr>
      <w:r>
        <w:rPr>
          <w:rFonts w:cs="Arial"/>
        </w:rPr>
        <w:lastRenderedPageBreak/>
        <w:t>Executive summary of the audit</w:t>
      </w:r>
    </w:p>
    <w:p w14:paraId="6D91651D" w14:textId="77777777" w:rsidR="008A54F0" w:rsidRDefault="008A54F0">
      <w:pPr>
        <w:pStyle w:val="Heading2"/>
        <w:rPr>
          <w:rFonts w:cs="Arial"/>
        </w:rPr>
      </w:pPr>
      <w:r>
        <w:rPr>
          <w:rFonts w:cs="Arial"/>
        </w:rPr>
        <w:t>Introduction</w:t>
      </w:r>
    </w:p>
    <w:p w14:paraId="7DE0F069" w14:textId="77777777" w:rsidR="008A54F0" w:rsidRDefault="008A54F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973D51F" w14:textId="77777777" w:rsidR="008A54F0" w:rsidRDefault="008A54F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C3CC2C" w14:textId="77777777" w:rsidR="008A54F0" w:rsidRDefault="008A54F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7C7985" w14:textId="77777777" w:rsidR="008A54F0" w:rsidRDefault="008A54F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6F4EAC5E" w14:textId="77777777" w:rsidR="008A54F0" w:rsidRDefault="008A54F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837962C" w14:textId="77777777" w:rsidR="008A54F0" w:rsidRDefault="008A54F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788F1EC" w14:textId="77777777" w:rsidR="008A54F0" w:rsidRDefault="008A54F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B5BFB3" w14:textId="77777777" w:rsidR="008A54F0" w:rsidRDefault="008A54F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688357B" w14:textId="77777777" w:rsidR="008A54F0" w:rsidRDefault="008A54F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C5BC7" w14:paraId="213E3861" w14:textId="77777777">
        <w:trPr>
          <w:cantSplit/>
          <w:tblHeader/>
        </w:trPr>
        <w:tc>
          <w:tcPr>
            <w:tcW w:w="1260" w:type="dxa"/>
            <w:tcBorders>
              <w:bottom w:val="single" w:sz="4" w:space="0" w:color="000000"/>
            </w:tcBorders>
            <w:vAlign w:val="center"/>
          </w:tcPr>
          <w:p w14:paraId="2278887A" w14:textId="77777777" w:rsidR="008A54F0" w:rsidRDefault="008A54F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5186D2A" w14:textId="77777777" w:rsidR="008A54F0" w:rsidRDefault="008A54F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520AA9E" w14:textId="77777777" w:rsidR="008A54F0" w:rsidRDefault="008A54F0">
            <w:pPr>
              <w:spacing w:before="60" w:after="60"/>
              <w:rPr>
                <w:rFonts w:eastAsia="Calibri"/>
                <w:b/>
                <w:szCs w:val="24"/>
              </w:rPr>
            </w:pPr>
            <w:r>
              <w:rPr>
                <w:rFonts w:eastAsia="Calibri"/>
                <w:b/>
                <w:szCs w:val="24"/>
              </w:rPr>
              <w:t>Definition</w:t>
            </w:r>
          </w:p>
        </w:tc>
      </w:tr>
      <w:tr w:rsidR="000C5BC7" w14:paraId="7E685A79" w14:textId="77777777">
        <w:trPr>
          <w:cantSplit/>
          <w:trHeight w:val="964"/>
        </w:trPr>
        <w:tc>
          <w:tcPr>
            <w:tcW w:w="1260" w:type="dxa"/>
            <w:tcBorders>
              <w:bottom w:val="single" w:sz="4" w:space="0" w:color="000000"/>
            </w:tcBorders>
            <w:shd w:val="clear" w:color="0066FF" w:fill="0000FF"/>
            <w:vAlign w:val="center"/>
          </w:tcPr>
          <w:p w14:paraId="6B05B7EE" w14:textId="77777777" w:rsidR="008A54F0" w:rsidRDefault="008A54F0">
            <w:pPr>
              <w:spacing w:before="60" w:after="60"/>
              <w:rPr>
                <w:rFonts w:eastAsia="Calibri"/>
                <w:szCs w:val="24"/>
              </w:rPr>
            </w:pPr>
          </w:p>
        </w:tc>
        <w:tc>
          <w:tcPr>
            <w:tcW w:w="7095" w:type="dxa"/>
            <w:tcBorders>
              <w:bottom w:val="single" w:sz="4" w:space="0" w:color="000000"/>
            </w:tcBorders>
            <w:shd w:val="clear" w:color="auto" w:fill="auto"/>
            <w:vAlign w:val="center"/>
          </w:tcPr>
          <w:p w14:paraId="556E055E" w14:textId="77777777" w:rsidR="008A54F0" w:rsidRDefault="008A54F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8D0D42A" w14:textId="77777777" w:rsidR="008A54F0" w:rsidRDefault="008A54F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C5BC7" w14:paraId="48705D93" w14:textId="77777777">
        <w:trPr>
          <w:cantSplit/>
          <w:trHeight w:val="964"/>
        </w:trPr>
        <w:tc>
          <w:tcPr>
            <w:tcW w:w="1260" w:type="dxa"/>
            <w:shd w:val="clear" w:color="33CC33" w:fill="00FF00"/>
            <w:vAlign w:val="center"/>
          </w:tcPr>
          <w:p w14:paraId="0463C0AF" w14:textId="77777777" w:rsidR="008A54F0" w:rsidRDefault="008A54F0">
            <w:pPr>
              <w:spacing w:before="60" w:after="60"/>
              <w:rPr>
                <w:rFonts w:eastAsia="Calibri"/>
                <w:szCs w:val="24"/>
              </w:rPr>
            </w:pPr>
          </w:p>
        </w:tc>
        <w:tc>
          <w:tcPr>
            <w:tcW w:w="7095" w:type="dxa"/>
            <w:shd w:val="clear" w:color="auto" w:fill="auto"/>
            <w:vAlign w:val="center"/>
          </w:tcPr>
          <w:p w14:paraId="01E39C45" w14:textId="77777777" w:rsidR="008A54F0" w:rsidRDefault="008A54F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3EEBA5E" w14:textId="77777777" w:rsidR="008A54F0" w:rsidRDefault="008A54F0">
            <w:pPr>
              <w:spacing w:before="60" w:after="60"/>
              <w:ind w:left="50"/>
              <w:rPr>
                <w:rFonts w:eastAsia="Calibri"/>
                <w:szCs w:val="24"/>
              </w:rPr>
            </w:pPr>
            <w:r w:rsidRPr="00FB778F">
              <w:rPr>
                <w:rFonts w:eastAsia="Calibri"/>
                <w:szCs w:val="24"/>
              </w:rPr>
              <w:t>Subsections applicable to this service fully attained</w:t>
            </w:r>
          </w:p>
        </w:tc>
      </w:tr>
      <w:tr w:rsidR="000C5BC7" w14:paraId="5DC68A2A" w14:textId="77777777">
        <w:trPr>
          <w:cantSplit/>
          <w:trHeight w:val="964"/>
        </w:trPr>
        <w:tc>
          <w:tcPr>
            <w:tcW w:w="1260" w:type="dxa"/>
            <w:tcBorders>
              <w:bottom w:val="single" w:sz="4" w:space="0" w:color="000000"/>
            </w:tcBorders>
            <w:shd w:val="clear" w:color="auto" w:fill="FFFF00"/>
            <w:vAlign w:val="center"/>
          </w:tcPr>
          <w:p w14:paraId="19C2AE71" w14:textId="77777777" w:rsidR="008A54F0" w:rsidRDefault="008A54F0">
            <w:pPr>
              <w:spacing w:before="60" w:after="60"/>
              <w:rPr>
                <w:rFonts w:eastAsia="Calibri"/>
                <w:szCs w:val="24"/>
              </w:rPr>
            </w:pPr>
          </w:p>
        </w:tc>
        <w:tc>
          <w:tcPr>
            <w:tcW w:w="7095" w:type="dxa"/>
            <w:shd w:val="clear" w:color="auto" w:fill="auto"/>
            <w:vAlign w:val="center"/>
          </w:tcPr>
          <w:p w14:paraId="5CAAD6F4" w14:textId="77777777" w:rsidR="008A54F0" w:rsidRDefault="008A54F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105276F" w14:textId="77777777" w:rsidR="008A54F0" w:rsidRDefault="008A54F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C5BC7" w14:paraId="01DF1A44" w14:textId="77777777">
        <w:trPr>
          <w:cantSplit/>
          <w:trHeight w:val="964"/>
        </w:trPr>
        <w:tc>
          <w:tcPr>
            <w:tcW w:w="1260" w:type="dxa"/>
            <w:tcBorders>
              <w:bottom w:val="single" w:sz="4" w:space="0" w:color="000000"/>
            </w:tcBorders>
            <w:shd w:val="clear" w:color="auto" w:fill="FFC800"/>
            <w:vAlign w:val="center"/>
          </w:tcPr>
          <w:p w14:paraId="24AF59FB" w14:textId="77777777" w:rsidR="008A54F0" w:rsidRDefault="008A54F0">
            <w:pPr>
              <w:spacing w:before="60" w:after="60"/>
              <w:rPr>
                <w:rFonts w:eastAsia="Calibri"/>
                <w:szCs w:val="24"/>
              </w:rPr>
            </w:pPr>
          </w:p>
        </w:tc>
        <w:tc>
          <w:tcPr>
            <w:tcW w:w="7095" w:type="dxa"/>
            <w:tcBorders>
              <w:bottom w:val="single" w:sz="4" w:space="0" w:color="000000"/>
            </w:tcBorders>
            <w:shd w:val="clear" w:color="auto" w:fill="auto"/>
            <w:vAlign w:val="center"/>
          </w:tcPr>
          <w:p w14:paraId="761BBB29" w14:textId="77777777" w:rsidR="008A54F0" w:rsidRDefault="008A54F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0E810F4" w14:textId="77777777" w:rsidR="008A54F0" w:rsidRDefault="008A54F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C5BC7" w14:paraId="6E4341D1" w14:textId="77777777">
        <w:trPr>
          <w:cantSplit/>
          <w:trHeight w:val="964"/>
        </w:trPr>
        <w:tc>
          <w:tcPr>
            <w:tcW w:w="1260" w:type="dxa"/>
            <w:shd w:val="clear" w:color="auto" w:fill="FF0000"/>
            <w:vAlign w:val="center"/>
          </w:tcPr>
          <w:p w14:paraId="66FF49F7" w14:textId="77777777" w:rsidR="008A54F0" w:rsidRDefault="008A54F0">
            <w:pPr>
              <w:spacing w:before="60" w:after="60"/>
              <w:rPr>
                <w:rFonts w:eastAsia="Calibri"/>
                <w:szCs w:val="24"/>
              </w:rPr>
            </w:pPr>
          </w:p>
        </w:tc>
        <w:tc>
          <w:tcPr>
            <w:tcW w:w="7095" w:type="dxa"/>
            <w:shd w:val="clear" w:color="auto" w:fill="auto"/>
            <w:vAlign w:val="center"/>
          </w:tcPr>
          <w:p w14:paraId="6AC56977" w14:textId="77777777" w:rsidR="008A54F0" w:rsidRDefault="008A54F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26BD7D1" w14:textId="77777777" w:rsidR="008A54F0" w:rsidRDefault="008A54F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540E76A" w14:textId="77777777" w:rsidR="008A54F0" w:rsidRDefault="008A54F0">
      <w:pPr>
        <w:pStyle w:val="Heading2"/>
        <w:spacing w:after="0"/>
        <w:rPr>
          <w:rFonts w:cs="Arial"/>
        </w:rPr>
      </w:pPr>
      <w:r>
        <w:rPr>
          <w:rFonts w:cs="Arial"/>
        </w:rPr>
        <w:t>General overview of the audit</w:t>
      </w:r>
    </w:p>
    <w:p w14:paraId="45FA83FB" w14:textId="77777777" w:rsidR="008A54F0" w:rsidRDefault="008A54F0">
      <w:pPr>
        <w:spacing w:before="240" w:line="276" w:lineRule="auto"/>
        <w:rPr>
          <w:rFonts w:eastAsia="Calibri"/>
        </w:rPr>
      </w:pPr>
      <w:bookmarkStart w:id="13" w:name="GeneralOverview"/>
      <w:r w:rsidRPr="00A4268A">
        <w:rPr>
          <w:rFonts w:eastAsia="Calibri"/>
        </w:rPr>
        <w:t xml:space="preserve">Steele Park Home provides rest home and hospital aged care services for a maximum of 42 residents. There have been no significant changes to the service or its facilities since the previous certification audit in 2023. </w:t>
      </w:r>
    </w:p>
    <w:p w14:paraId="36A6100C" w14:textId="77777777" w:rsidR="000C5BC7" w:rsidRPr="00A4268A" w:rsidRDefault="008A54F0">
      <w:pPr>
        <w:spacing w:before="240" w:line="276" w:lineRule="auto"/>
        <w:rPr>
          <w:rFonts w:eastAsia="Calibri"/>
        </w:rPr>
      </w:pPr>
      <w:r w:rsidRPr="00A4268A">
        <w:rPr>
          <w:rFonts w:eastAsia="Calibri"/>
        </w:rPr>
        <w:t>This surveillance audit process included consideration of policies and procedures, review of residents’ and staff files, observations and interviews with residents, whānau/family members, the owner/operator, managers, staff and a general practitioner. All interviewees expressed satisfaction with the care provided.</w:t>
      </w:r>
    </w:p>
    <w:p w14:paraId="1BC26A5D" w14:textId="77777777" w:rsidR="000C5BC7" w:rsidRPr="00A4268A" w:rsidRDefault="008A54F0">
      <w:pPr>
        <w:spacing w:before="240" w:line="276" w:lineRule="auto"/>
        <w:rPr>
          <w:rFonts w:eastAsia="Calibri"/>
        </w:rPr>
      </w:pPr>
      <w:r w:rsidRPr="00A4268A">
        <w:rPr>
          <w:rFonts w:eastAsia="Calibri"/>
        </w:rPr>
        <w:t>An improvement related to documenting progress toward achieving care goals was identified as a result of this audit.</w:t>
      </w:r>
    </w:p>
    <w:bookmarkEnd w:id="13"/>
    <w:p w14:paraId="0C7728A3" w14:textId="77777777" w:rsidR="000C5BC7" w:rsidRPr="00A4268A" w:rsidRDefault="000C5BC7">
      <w:pPr>
        <w:spacing w:before="240" w:line="276" w:lineRule="auto"/>
        <w:rPr>
          <w:rFonts w:eastAsia="Calibri"/>
        </w:rPr>
      </w:pPr>
    </w:p>
    <w:p w14:paraId="525EA731" w14:textId="77777777" w:rsidR="008A54F0" w:rsidRDefault="008A54F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5BC7" w14:paraId="1430E2D1" w14:textId="77777777" w:rsidTr="00A4268A">
        <w:trPr>
          <w:cantSplit/>
        </w:trPr>
        <w:tc>
          <w:tcPr>
            <w:tcW w:w="10206" w:type="dxa"/>
            <w:vAlign w:val="center"/>
          </w:tcPr>
          <w:p w14:paraId="1440E290" w14:textId="77777777" w:rsidR="008A54F0" w:rsidRPr="00FB778F" w:rsidRDefault="008A54F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8406709" w14:textId="77777777" w:rsidR="008A54F0" w:rsidRPr="00621629" w:rsidRDefault="008A54F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BD8B00" w14:textId="77777777" w:rsidR="008A54F0" w:rsidRPr="00621629" w:rsidRDefault="008A54F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8A6AD2" w14:textId="77777777" w:rsidR="008A54F0" w:rsidRPr="00621629" w:rsidRDefault="008A54F0" w:rsidP="008F3634">
            <w:pPr>
              <w:spacing w:before="60" w:after="60" w:line="276" w:lineRule="auto"/>
              <w:rPr>
                <w:rFonts w:eastAsia="Calibri"/>
              </w:rPr>
            </w:pPr>
            <w:bookmarkStart w:id="15" w:name="IndicatorDescription1_1"/>
            <w:bookmarkEnd w:id="15"/>
            <w:r>
              <w:t>Subsections applicable to this service fully attained.</w:t>
            </w:r>
          </w:p>
        </w:tc>
      </w:tr>
    </w:tbl>
    <w:p w14:paraId="327A2E63" w14:textId="77777777" w:rsidR="008A54F0" w:rsidRDefault="008A54F0">
      <w:pPr>
        <w:spacing w:before="240" w:line="276" w:lineRule="auto"/>
        <w:rPr>
          <w:rFonts w:eastAsia="Calibri"/>
        </w:rPr>
      </w:pPr>
      <w:bookmarkStart w:id="16" w:name="ConsumerRights"/>
      <w:r w:rsidRPr="00A4268A">
        <w:rPr>
          <w:rFonts w:eastAsia="Calibri"/>
        </w:rPr>
        <w:t xml:space="preserve">The provider works collaboratively to support and encourage a Māori world view of health in service delivery. Māori are provided with equitable and effective services based on Te Tiriti o Waitangi and the principles of mana motuhake. </w:t>
      </w:r>
    </w:p>
    <w:p w14:paraId="14526A3A" w14:textId="77777777" w:rsidR="000C5BC7" w:rsidRPr="00A4268A" w:rsidRDefault="008A54F0">
      <w:pPr>
        <w:spacing w:before="240" w:line="276" w:lineRule="auto"/>
        <w:rPr>
          <w:rFonts w:eastAsia="Calibri"/>
        </w:rPr>
      </w:pPr>
      <w:r w:rsidRPr="00A4268A">
        <w:rPr>
          <w:rFonts w:eastAsia="Calibri"/>
        </w:rPr>
        <w:lastRenderedPageBreak/>
        <w:t xml:space="preserve">There are systems in place to support Pacific peoples in culturally safe ways that recognise their worldviews. </w:t>
      </w:r>
    </w:p>
    <w:p w14:paraId="38C1F9E1" w14:textId="77777777" w:rsidR="000C5BC7" w:rsidRPr="00A4268A" w:rsidRDefault="008A54F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049BF92B" w14:textId="77777777" w:rsidR="000C5BC7" w:rsidRPr="00A4268A" w:rsidRDefault="008A54F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6EB2A496" w14:textId="77777777" w:rsidR="000C5BC7" w:rsidRPr="00A4268A" w:rsidRDefault="008A54F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5660F0A6" w14:textId="77777777" w:rsidR="000C5BC7" w:rsidRPr="00A4268A" w:rsidRDefault="000C5BC7">
      <w:pPr>
        <w:spacing w:before="240" w:line="276" w:lineRule="auto"/>
        <w:rPr>
          <w:rFonts w:eastAsia="Calibri"/>
        </w:rPr>
      </w:pPr>
    </w:p>
    <w:p w14:paraId="5FFCE858" w14:textId="77777777" w:rsidR="008A54F0" w:rsidRDefault="008A54F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5BC7" w14:paraId="7010290C" w14:textId="77777777" w:rsidTr="00A4268A">
        <w:trPr>
          <w:cantSplit/>
        </w:trPr>
        <w:tc>
          <w:tcPr>
            <w:tcW w:w="10206" w:type="dxa"/>
            <w:vAlign w:val="center"/>
          </w:tcPr>
          <w:p w14:paraId="046A6239" w14:textId="77777777" w:rsidR="008A54F0" w:rsidRPr="00621629" w:rsidRDefault="008A54F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046C78E" w14:textId="77777777" w:rsidR="008A54F0" w:rsidRPr="00621629" w:rsidRDefault="008A54F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6623175" w14:textId="77777777" w:rsidR="008A54F0" w:rsidRPr="00621629" w:rsidRDefault="008A54F0" w:rsidP="00621629">
            <w:pPr>
              <w:spacing w:before="60" w:after="60" w:line="276" w:lineRule="auto"/>
              <w:rPr>
                <w:rFonts w:eastAsia="Calibri"/>
              </w:rPr>
            </w:pPr>
            <w:bookmarkStart w:id="18" w:name="IndicatorDescription1_2"/>
            <w:bookmarkEnd w:id="18"/>
            <w:r>
              <w:t xml:space="preserve">Subsections applicable to this service fully </w:t>
            </w:r>
            <w:r>
              <w:t>attained.</w:t>
            </w:r>
          </w:p>
        </w:tc>
      </w:tr>
    </w:tbl>
    <w:p w14:paraId="3703ADE4" w14:textId="77777777" w:rsidR="008A54F0" w:rsidRDefault="008A54F0">
      <w:pPr>
        <w:spacing w:before="240" w:line="276" w:lineRule="auto"/>
        <w:rPr>
          <w:rFonts w:eastAsia="Calibri"/>
        </w:rPr>
      </w:pPr>
      <w:bookmarkStart w:id="19" w:name="OrganisationalManagement"/>
      <w:r w:rsidRPr="00A4268A">
        <w:rPr>
          <w:rFonts w:eastAsia="Calibri"/>
        </w:rPr>
        <w:t>The owner/operator and their executive team assumes accountability for delivering a high-quality service. This includes ensuring compliance with legislative and contractual requirements, supporting quality and risk management systems, and reducing barriers to improve outcomes for Māori.</w:t>
      </w:r>
    </w:p>
    <w:p w14:paraId="2332D979" w14:textId="77777777" w:rsidR="000C5BC7" w:rsidRPr="00A4268A" w:rsidRDefault="008A54F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70CDC208" w14:textId="77777777" w:rsidR="000C5BC7" w:rsidRPr="00A4268A" w:rsidRDefault="008A54F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2099AD43" w14:textId="77777777" w:rsidR="000C5BC7" w:rsidRPr="00A4268A" w:rsidRDefault="008A54F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are identified and mitigated. </w:t>
      </w:r>
    </w:p>
    <w:p w14:paraId="42989CA9" w14:textId="77777777" w:rsidR="000C5BC7" w:rsidRPr="00A4268A" w:rsidRDefault="008A54F0">
      <w:pPr>
        <w:spacing w:before="240" w:line="276" w:lineRule="auto"/>
        <w:rPr>
          <w:rFonts w:eastAsia="Calibri"/>
        </w:rPr>
      </w:pPr>
      <w:r w:rsidRPr="00A4268A">
        <w:rPr>
          <w:rFonts w:eastAsia="Calibri"/>
        </w:rPr>
        <w:lastRenderedPageBreak/>
        <w:t xml:space="preserve">The National Adverse Events Reporting Policy is followed, with corrective actions supporting systems learnings. The service complies with statutory and regulatory reporting obligations. </w:t>
      </w:r>
    </w:p>
    <w:p w14:paraId="73BED782" w14:textId="77777777" w:rsidR="000C5BC7" w:rsidRPr="00A4268A" w:rsidRDefault="008A54F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7B5E8771" w14:textId="77777777" w:rsidR="000C5BC7" w:rsidRPr="00A4268A" w:rsidRDefault="008A54F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747EE592" w14:textId="77777777" w:rsidR="000C5BC7" w:rsidRPr="00A4268A" w:rsidRDefault="000C5BC7">
      <w:pPr>
        <w:spacing w:before="240" w:line="276" w:lineRule="auto"/>
        <w:rPr>
          <w:rFonts w:eastAsia="Calibri"/>
        </w:rPr>
      </w:pPr>
    </w:p>
    <w:p w14:paraId="433A050E" w14:textId="77777777" w:rsidR="008A54F0" w:rsidRDefault="008A54F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5BC7" w14:paraId="0B8C64A7" w14:textId="77777777" w:rsidTr="00A4268A">
        <w:trPr>
          <w:cantSplit/>
        </w:trPr>
        <w:tc>
          <w:tcPr>
            <w:tcW w:w="10206" w:type="dxa"/>
            <w:vAlign w:val="center"/>
          </w:tcPr>
          <w:p w14:paraId="23E0BD09" w14:textId="77777777" w:rsidR="008A54F0" w:rsidRPr="00621629" w:rsidRDefault="008A54F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FC0B8AA" w14:textId="77777777" w:rsidR="008A54F0" w:rsidRPr="00621629" w:rsidRDefault="008A54F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794D04" w14:textId="77777777" w:rsidR="008A54F0" w:rsidRPr="00621629" w:rsidRDefault="008A54F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3FE181C" w14:textId="77777777" w:rsidR="008A54F0" w:rsidRPr="005E14A4" w:rsidRDefault="008A54F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65EFC1E9" w14:textId="77777777" w:rsidR="000C5BC7" w:rsidRPr="00A4268A" w:rsidRDefault="008A54F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9EEFC62" w14:textId="77777777" w:rsidR="000C5BC7" w:rsidRPr="00A4268A" w:rsidRDefault="008A54F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2055154B" w14:textId="77777777" w:rsidR="000C5BC7" w:rsidRPr="00A4268A" w:rsidRDefault="008A54F0" w:rsidP="00621629">
      <w:pPr>
        <w:spacing w:before="240" w:line="276" w:lineRule="auto"/>
        <w:rPr>
          <w:rFonts w:eastAsia="Calibri"/>
        </w:rPr>
      </w:pPr>
      <w:r w:rsidRPr="00A4268A">
        <w:rPr>
          <w:rFonts w:eastAsia="Calibri"/>
        </w:rPr>
        <w:t>Residents were referred or transferred to other health services as required.</w:t>
      </w:r>
    </w:p>
    <w:bookmarkEnd w:id="22"/>
    <w:p w14:paraId="7B1EA1FA" w14:textId="77777777" w:rsidR="000C5BC7" w:rsidRPr="00A4268A" w:rsidRDefault="000C5BC7" w:rsidP="00621629">
      <w:pPr>
        <w:spacing w:before="240" w:line="276" w:lineRule="auto"/>
        <w:rPr>
          <w:rFonts w:eastAsia="Calibri"/>
        </w:rPr>
      </w:pPr>
    </w:p>
    <w:p w14:paraId="6138FBD0" w14:textId="77777777" w:rsidR="008A54F0" w:rsidRDefault="008A54F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5BC7" w14:paraId="3265C02D" w14:textId="77777777" w:rsidTr="00A4268A">
        <w:trPr>
          <w:cantSplit/>
        </w:trPr>
        <w:tc>
          <w:tcPr>
            <w:tcW w:w="10206" w:type="dxa"/>
            <w:vAlign w:val="center"/>
          </w:tcPr>
          <w:p w14:paraId="62214E7A" w14:textId="77777777" w:rsidR="008A54F0" w:rsidRPr="00621629" w:rsidRDefault="008A54F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CC7816" w14:textId="77777777" w:rsidR="008A54F0" w:rsidRPr="00621629" w:rsidRDefault="008A54F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27AEB2" w14:textId="77777777" w:rsidR="008A54F0" w:rsidRPr="00621629" w:rsidRDefault="008A54F0" w:rsidP="00621629">
            <w:pPr>
              <w:spacing w:before="60" w:after="60" w:line="276" w:lineRule="auto"/>
              <w:rPr>
                <w:rFonts w:eastAsia="Calibri"/>
              </w:rPr>
            </w:pPr>
            <w:bookmarkStart w:id="24" w:name="IndicatorDescription1_4"/>
            <w:bookmarkEnd w:id="24"/>
            <w:r>
              <w:t>Subsections applicable to this service fully attained.</w:t>
            </w:r>
          </w:p>
        </w:tc>
      </w:tr>
    </w:tbl>
    <w:p w14:paraId="048A4C34" w14:textId="77777777" w:rsidR="008A54F0" w:rsidRDefault="008A54F0">
      <w:pPr>
        <w:spacing w:before="240" w:line="276" w:lineRule="auto"/>
        <w:rPr>
          <w:rFonts w:eastAsia="Calibri"/>
        </w:rPr>
      </w:pPr>
      <w:bookmarkStart w:id="25" w:name="SafeAndAppropriateEnvironment"/>
      <w:r w:rsidRPr="00A4268A">
        <w:rPr>
          <w:rFonts w:eastAsia="Calibri"/>
        </w:rPr>
        <w:t xml:space="preserve">The facility, plant and equipment meet the needs of residents and are culturally inclusive. A current building warrant of fitness and planned maintenance programme ensure safety. Electrical equipment is tested as </w:t>
      </w:r>
      <w:r w:rsidRPr="00A4268A">
        <w:rPr>
          <w:rFonts w:eastAsia="Calibri"/>
        </w:rPr>
        <w:t>required.</w:t>
      </w:r>
    </w:p>
    <w:bookmarkEnd w:id="25"/>
    <w:p w14:paraId="489A0FCD" w14:textId="77777777" w:rsidR="000C5BC7" w:rsidRPr="00A4268A" w:rsidRDefault="000C5BC7">
      <w:pPr>
        <w:spacing w:before="240" w:line="276" w:lineRule="auto"/>
        <w:rPr>
          <w:rFonts w:eastAsia="Calibri"/>
        </w:rPr>
      </w:pPr>
    </w:p>
    <w:p w14:paraId="595D0C0E" w14:textId="77777777" w:rsidR="008A54F0" w:rsidRDefault="008A54F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5BC7" w14:paraId="28F48C5F" w14:textId="77777777" w:rsidTr="00A4268A">
        <w:trPr>
          <w:cantSplit/>
        </w:trPr>
        <w:tc>
          <w:tcPr>
            <w:tcW w:w="10206" w:type="dxa"/>
            <w:vAlign w:val="center"/>
          </w:tcPr>
          <w:p w14:paraId="61A45418" w14:textId="77777777" w:rsidR="008A54F0" w:rsidRPr="00621629" w:rsidRDefault="008A54F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3B02D8" w14:textId="77777777" w:rsidR="008A54F0" w:rsidRPr="00621629" w:rsidRDefault="008A54F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AE9086A" w14:textId="77777777" w:rsidR="008A54F0" w:rsidRPr="00621629" w:rsidRDefault="008A54F0" w:rsidP="00621629">
            <w:pPr>
              <w:spacing w:before="60" w:after="60" w:line="276" w:lineRule="auto"/>
              <w:rPr>
                <w:rFonts w:eastAsia="Calibri"/>
              </w:rPr>
            </w:pPr>
            <w:bookmarkStart w:id="27" w:name="IndicatorDescription2"/>
            <w:bookmarkEnd w:id="27"/>
            <w:r>
              <w:t>Subsections applicable to this service fully attained.</w:t>
            </w:r>
          </w:p>
        </w:tc>
      </w:tr>
    </w:tbl>
    <w:p w14:paraId="48B9E563" w14:textId="77777777" w:rsidR="008A54F0" w:rsidRDefault="008A54F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1EA1EEBE" w14:textId="77777777" w:rsidR="000C5BC7" w:rsidRPr="00A4268A" w:rsidRDefault="008A54F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4550B874" w14:textId="77777777" w:rsidR="000C5BC7" w:rsidRPr="00A4268A" w:rsidRDefault="008A54F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44C11448" w14:textId="77777777" w:rsidR="000C5BC7" w:rsidRPr="00A4268A" w:rsidRDefault="000C5BC7">
      <w:pPr>
        <w:spacing w:before="240" w:line="276" w:lineRule="auto"/>
        <w:rPr>
          <w:rFonts w:eastAsia="Calibri"/>
        </w:rPr>
      </w:pPr>
    </w:p>
    <w:p w14:paraId="3E33D557" w14:textId="77777777" w:rsidR="008A54F0" w:rsidRDefault="008A54F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C5BC7" w14:paraId="3FFAD400" w14:textId="77777777" w:rsidTr="00A4268A">
        <w:trPr>
          <w:cantSplit/>
        </w:trPr>
        <w:tc>
          <w:tcPr>
            <w:tcW w:w="10206" w:type="dxa"/>
            <w:vAlign w:val="center"/>
          </w:tcPr>
          <w:p w14:paraId="658C3382" w14:textId="77777777" w:rsidR="008A54F0" w:rsidRPr="00621629" w:rsidRDefault="008A54F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A0F850" w14:textId="77777777" w:rsidR="008A54F0" w:rsidRPr="00621629" w:rsidRDefault="008A54F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062F918" w14:textId="77777777" w:rsidR="008A54F0" w:rsidRPr="00621629" w:rsidRDefault="008A54F0" w:rsidP="00621629">
            <w:pPr>
              <w:spacing w:before="60" w:after="60" w:line="276" w:lineRule="auto"/>
              <w:rPr>
                <w:rFonts w:eastAsia="Calibri"/>
              </w:rPr>
            </w:pPr>
            <w:bookmarkStart w:id="30" w:name="IndicatorDescription3"/>
            <w:bookmarkEnd w:id="30"/>
            <w:r>
              <w:t>Subsections applicable to this service fully attained.</w:t>
            </w:r>
          </w:p>
        </w:tc>
      </w:tr>
    </w:tbl>
    <w:p w14:paraId="14A3EC61" w14:textId="77777777" w:rsidR="008A54F0" w:rsidRDefault="008A54F0">
      <w:pPr>
        <w:spacing w:before="240" w:line="276" w:lineRule="auto"/>
        <w:rPr>
          <w:rFonts w:eastAsia="Calibri"/>
        </w:rPr>
      </w:pPr>
      <w:bookmarkStart w:id="31" w:name="InfectionPreventionAndControl"/>
      <w:r w:rsidRPr="00A4268A">
        <w:rPr>
          <w:rFonts w:eastAsia="Calibri"/>
        </w:rPr>
        <w:t xml:space="preserve">Steele Park Home was maintaining a restraint-free environment, which is supported by the owner/operator and is clearly described in policies and procedures. There were no residents using restraints at the time of audit. </w:t>
      </w:r>
    </w:p>
    <w:p w14:paraId="6FAFF9AF" w14:textId="77777777" w:rsidR="000C5BC7" w:rsidRPr="00A4268A" w:rsidRDefault="008A54F0">
      <w:pPr>
        <w:spacing w:before="240" w:line="276" w:lineRule="auto"/>
        <w:rPr>
          <w:rFonts w:eastAsia="Calibri"/>
        </w:rPr>
      </w:pPr>
      <w:r w:rsidRPr="00A4268A">
        <w:rPr>
          <w:rFonts w:eastAsia="Calibri"/>
        </w:rPr>
        <w:t>Staff have been trained in providing the least restrictive practice, de-escalation techniques, alternative interventions, and demonstrated effective practice.</w:t>
      </w:r>
    </w:p>
    <w:bookmarkEnd w:id="31"/>
    <w:p w14:paraId="4D0AB478" w14:textId="77777777" w:rsidR="000C5BC7" w:rsidRPr="00A4268A" w:rsidRDefault="000C5BC7">
      <w:pPr>
        <w:spacing w:before="240" w:line="276" w:lineRule="auto"/>
        <w:rPr>
          <w:rFonts w:eastAsia="Calibri"/>
        </w:rPr>
      </w:pPr>
    </w:p>
    <w:p w14:paraId="2EBA5036" w14:textId="77777777" w:rsidR="008A54F0" w:rsidRDefault="008A54F0" w:rsidP="000E6E02">
      <w:pPr>
        <w:pStyle w:val="Heading2"/>
        <w:spacing w:before="0"/>
        <w:rPr>
          <w:rFonts w:cs="Arial"/>
        </w:rPr>
      </w:pPr>
      <w:r>
        <w:rPr>
          <w:rFonts w:cs="Arial"/>
        </w:rPr>
        <w:lastRenderedPageBreak/>
        <w:t>Summary of attainment</w:t>
      </w:r>
    </w:p>
    <w:p w14:paraId="3CA401AE" w14:textId="77777777" w:rsidR="008A54F0" w:rsidRDefault="008A54F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C5BC7" w14:paraId="53A70994" w14:textId="77777777">
        <w:tc>
          <w:tcPr>
            <w:tcW w:w="1384" w:type="dxa"/>
            <w:vAlign w:val="center"/>
          </w:tcPr>
          <w:p w14:paraId="7AE156C9" w14:textId="77777777" w:rsidR="008A54F0" w:rsidRDefault="008A54F0">
            <w:pPr>
              <w:keepNext/>
              <w:spacing w:before="60" w:after="60"/>
              <w:rPr>
                <w:rFonts w:cs="Arial"/>
                <w:b/>
                <w:sz w:val="20"/>
                <w:szCs w:val="20"/>
              </w:rPr>
            </w:pPr>
            <w:r>
              <w:rPr>
                <w:rFonts w:cs="Arial"/>
                <w:b/>
                <w:sz w:val="20"/>
                <w:szCs w:val="20"/>
              </w:rPr>
              <w:t>Attainment Rating</w:t>
            </w:r>
          </w:p>
        </w:tc>
        <w:tc>
          <w:tcPr>
            <w:tcW w:w="1701" w:type="dxa"/>
            <w:vAlign w:val="center"/>
          </w:tcPr>
          <w:p w14:paraId="31CB5069" w14:textId="77777777" w:rsidR="008A54F0" w:rsidRDefault="008A54F0">
            <w:pPr>
              <w:keepNext/>
              <w:spacing w:before="60" w:after="60"/>
              <w:jc w:val="center"/>
              <w:rPr>
                <w:rFonts w:cs="Arial"/>
                <w:b/>
                <w:sz w:val="20"/>
                <w:szCs w:val="20"/>
              </w:rPr>
            </w:pPr>
            <w:r>
              <w:rPr>
                <w:rFonts w:cs="Arial"/>
                <w:b/>
                <w:sz w:val="20"/>
                <w:szCs w:val="20"/>
              </w:rPr>
              <w:t>Continuous Improvement</w:t>
            </w:r>
          </w:p>
          <w:p w14:paraId="5FD89B7E" w14:textId="77777777" w:rsidR="008A54F0" w:rsidRDefault="008A54F0">
            <w:pPr>
              <w:keepNext/>
              <w:spacing w:before="60" w:after="60"/>
              <w:jc w:val="center"/>
              <w:rPr>
                <w:rFonts w:cs="Arial"/>
                <w:b/>
                <w:sz w:val="20"/>
                <w:szCs w:val="20"/>
              </w:rPr>
            </w:pPr>
            <w:r>
              <w:rPr>
                <w:rFonts w:cs="Arial"/>
                <w:b/>
                <w:sz w:val="20"/>
                <w:szCs w:val="20"/>
              </w:rPr>
              <w:t>(CI)</w:t>
            </w:r>
          </w:p>
        </w:tc>
        <w:tc>
          <w:tcPr>
            <w:tcW w:w="1843" w:type="dxa"/>
            <w:vAlign w:val="center"/>
          </w:tcPr>
          <w:p w14:paraId="13D21854" w14:textId="77777777" w:rsidR="008A54F0" w:rsidRDefault="008A54F0">
            <w:pPr>
              <w:keepNext/>
              <w:spacing w:before="60" w:after="60"/>
              <w:jc w:val="center"/>
              <w:rPr>
                <w:rFonts w:cs="Arial"/>
                <w:b/>
                <w:sz w:val="20"/>
                <w:szCs w:val="20"/>
              </w:rPr>
            </w:pPr>
            <w:r>
              <w:rPr>
                <w:rFonts w:cs="Arial"/>
                <w:b/>
                <w:sz w:val="20"/>
                <w:szCs w:val="20"/>
              </w:rPr>
              <w:t>Fully Attained</w:t>
            </w:r>
          </w:p>
          <w:p w14:paraId="7DFC0309" w14:textId="77777777" w:rsidR="008A54F0" w:rsidRDefault="008A54F0">
            <w:pPr>
              <w:keepNext/>
              <w:spacing w:before="60" w:after="60"/>
              <w:jc w:val="center"/>
              <w:rPr>
                <w:rFonts w:cs="Arial"/>
                <w:b/>
                <w:sz w:val="20"/>
                <w:szCs w:val="20"/>
              </w:rPr>
            </w:pPr>
            <w:r>
              <w:rPr>
                <w:rFonts w:cs="Arial"/>
                <w:b/>
                <w:sz w:val="20"/>
                <w:szCs w:val="20"/>
              </w:rPr>
              <w:t>(FA)</w:t>
            </w:r>
          </w:p>
        </w:tc>
        <w:tc>
          <w:tcPr>
            <w:tcW w:w="1843" w:type="dxa"/>
            <w:vAlign w:val="center"/>
          </w:tcPr>
          <w:p w14:paraId="480D7D22" w14:textId="77777777" w:rsidR="008A54F0" w:rsidRDefault="008A54F0">
            <w:pPr>
              <w:keepNext/>
              <w:spacing w:before="60" w:after="60"/>
              <w:jc w:val="center"/>
              <w:rPr>
                <w:rFonts w:cs="Arial"/>
                <w:b/>
                <w:sz w:val="20"/>
                <w:szCs w:val="20"/>
              </w:rPr>
            </w:pPr>
            <w:r>
              <w:rPr>
                <w:rFonts w:cs="Arial"/>
                <w:b/>
                <w:sz w:val="20"/>
                <w:szCs w:val="20"/>
              </w:rPr>
              <w:t>Partially Attained Negligible Risk</w:t>
            </w:r>
          </w:p>
          <w:p w14:paraId="48866DC6" w14:textId="77777777" w:rsidR="008A54F0" w:rsidRDefault="008A54F0">
            <w:pPr>
              <w:keepNext/>
              <w:spacing w:before="60" w:after="60"/>
              <w:jc w:val="center"/>
              <w:rPr>
                <w:rFonts w:cs="Arial"/>
                <w:b/>
                <w:sz w:val="20"/>
                <w:szCs w:val="20"/>
              </w:rPr>
            </w:pPr>
            <w:r>
              <w:rPr>
                <w:rFonts w:cs="Arial"/>
                <w:b/>
                <w:sz w:val="20"/>
                <w:szCs w:val="20"/>
              </w:rPr>
              <w:t>(PA Negligible)</w:t>
            </w:r>
          </w:p>
        </w:tc>
        <w:tc>
          <w:tcPr>
            <w:tcW w:w="1842" w:type="dxa"/>
            <w:vAlign w:val="center"/>
          </w:tcPr>
          <w:p w14:paraId="682E1866" w14:textId="77777777" w:rsidR="008A54F0" w:rsidRDefault="008A54F0">
            <w:pPr>
              <w:keepNext/>
              <w:spacing w:before="60" w:after="60"/>
              <w:jc w:val="center"/>
              <w:rPr>
                <w:rFonts w:cs="Arial"/>
                <w:b/>
                <w:sz w:val="20"/>
                <w:szCs w:val="20"/>
              </w:rPr>
            </w:pPr>
            <w:r>
              <w:rPr>
                <w:rFonts w:cs="Arial"/>
                <w:b/>
                <w:sz w:val="20"/>
                <w:szCs w:val="20"/>
              </w:rPr>
              <w:t>Partially Attained Low Risk</w:t>
            </w:r>
          </w:p>
          <w:p w14:paraId="4B6AE83B" w14:textId="77777777" w:rsidR="008A54F0" w:rsidRDefault="008A54F0">
            <w:pPr>
              <w:keepNext/>
              <w:spacing w:before="60" w:after="60"/>
              <w:jc w:val="center"/>
              <w:rPr>
                <w:rFonts w:cs="Arial"/>
                <w:b/>
                <w:sz w:val="20"/>
                <w:szCs w:val="20"/>
              </w:rPr>
            </w:pPr>
            <w:r>
              <w:rPr>
                <w:rFonts w:cs="Arial"/>
                <w:b/>
                <w:sz w:val="20"/>
                <w:szCs w:val="20"/>
              </w:rPr>
              <w:t>(PA Low)</w:t>
            </w:r>
          </w:p>
        </w:tc>
        <w:tc>
          <w:tcPr>
            <w:tcW w:w="1843" w:type="dxa"/>
            <w:vAlign w:val="center"/>
          </w:tcPr>
          <w:p w14:paraId="5F5BFDD7" w14:textId="77777777" w:rsidR="008A54F0" w:rsidRDefault="008A54F0">
            <w:pPr>
              <w:keepNext/>
              <w:spacing w:before="60" w:after="60"/>
              <w:jc w:val="center"/>
              <w:rPr>
                <w:rFonts w:cs="Arial"/>
                <w:b/>
                <w:sz w:val="20"/>
                <w:szCs w:val="20"/>
              </w:rPr>
            </w:pPr>
            <w:r>
              <w:rPr>
                <w:rFonts w:cs="Arial"/>
                <w:b/>
                <w:sz w:val="20"/>
                <w:szCs w:val="20"/>
              </w:rPr>
              <w:t>Partially Attained Moderate Risk</w:t>
            </w:r>
          </w:p>
          <w:p w14:paraId="67261C36" w14:textId="77777777" w:rsidR="008A54F0" w:rsidRDefault="008A54F0">
            <w:pPr>
              <w:keepNext/>
              <w:spacing w:before="60" w:after="60"/>
              <w:jc w:val="center"/>
              <w:rPr>
                <w:rFonts w:cs="Arial"/>
                <w:b/>
                <w:sz w:val="20"/>
                <w:szCs w:val="20"/>
              </w:rPr>
            </w:pPr>
            <w:r>
              <w:rPr>
                <w:rFonts w:cs="Arial"/>
                <w:b/>
                <w:sz w:val="20"/>
                <w:szCs w:val="20"/>
              </w:rPr>
              <w:t>(PA Moderate)</w:t>
            </w:r>
          </w:p>
        </w:tc>
        <w:tc>
          <w:tcPr>
            <w:tcW w:w="1843" w:type="dxa"/>
            <w:vAlign w:val="center"/>
          </w:tcPr>
          <w:p w14:paraId="3C152E2A" w14:textId="77777777" w:rsidR="008A54F0" w:rsidRDefault="008A54F0">
            <w:pPr>
              <w:keepNext/>
              <w:spacing w:before="60" w:after="60"/>
              <w:jc w:val="center"/>
              <w:rPr>
                <w:rFonts w:cs="Arial"/>
                <w:b/>
                <w:sz w:val="20"/>
                <w:szCs w:val="20"/>
              </w:rPr>
            </w:pPr>
            <w:r>
              <w:rPr>
                <w:rFonts w:cs="Arial"/>
                <w:b/>
                <w:sz w:val="20"/>
                <w:szCs w:val="20"/>
              </w:rPr>
              <w:t>Partially Attained High Risk</w:t>
            </w:r>
          </w:p>
          <w:p w14:paraId="1398E657" w14:textId="77777777" w:rsidR="008A54F0" w:rsidRDefault="008A54F0">
            <w:pPr>
              <w:keepNext/>
              <w:spacing w:before="60" w:after="60"/>
              <w:jc w:val="center"/>
              <w:rPr>
                <w:rFonts w:cs="Arial"/>
                <w:b/>
                <w:sz w:val="20"/>
                <w:szCs w:val="20"/>
              </w:rPr>
            </w:pPr>
            <w:r>
              <w:rPr>
                <w:rFonts w:cs="Arial"/>
                <w:b/>
                <w:sz w:val="20"/>
                <w:szCs w:val="20"/>
              </w:rPr>
              <w:t>(PA High)</w:t>
            </w:r>
          </w:p>
        </w:tc>
        <w:tc>
          <w:tcPr>
            <w:tcW w:w="1843" w:type="dxa"/>
            <w:vAlign w:val="center"/>
          </w:tcPr>
          <w:p w14:paraId="6BC94C5A" w14:textId="77777777" w:rsidR="008A54F0" w:rsidRDefault="008A54F0">
            <w:pPr>
              <w:keepNext/>
              <w:spacing w:before="60" w:after="60"/>
              <w:jc w:val="center"/>
              <w:rPr>
                <w:rFonts w:cs="Arial"/>
                <w:b/>
                <w:sz w:val="20"/>
                <w:szCs w:val="20"/>
              </w:rPr>
            </w:pPr>
            <w:r>
              <w:rPr>
                <w:rFonts w:cs="Arial"/>
                <w:b/>
                <w:sz w:val="20"/>
                <w:szCs w:val="20"/>
              </w:rPr>
              <w:t>Partially Attained Critical Risk</w:t>
            </w:r>
          </w:p>
          <w:p w14:paraId="2483141B" w14:textId="77777777" w:rsidR="008A54F0" w:rsidRDefault="008A54F0">
            <w:pPr>
              <w:keepNext/>
              <w:spacing w:before="60" w:after="60"/>
              <w:jc w:val="center"/>
              <w:rPr>
                <w:rFonts w:cs="Arial"/>
                <w:b/>
                <w:sz w:val="20"/>
                <w:szCs w:val="20"/>
              </w:rPr>
            </w:pPr>
            <w:r>
              <w:rPr>
                <w:rFonts w:cs="Arial"/>
                <w:b/>
                <w:sz w:val="20"/>
                <w:szCs w:val="20"/>
              </w:rPr>
              <w:t>(PA Critical)</w:t>
            </w:r>
          </w:p>
        </w:tc>
      </w:tr>
      <w:tr w:rsidR="000C5BC7" w14:paraId="3EE6C925" w14:textId="77777777">
        <w:tc>
          <w:tcPr>
            <w:tcW w:w="1384" w:type="dxa"/>
            <w:vAlign w:val="center"/>
          </w:tcPr>
          <w:p w14:paraId="4A274E54" w14:textId="77777777" w:rsidR="008A54F0" w:rsidRDefault="008A54F0">
            <w:pPr>
              <w:keepNext/>
              <w:spacing w:before="60" w:after="60"/>
              <w:rPr>
                <w:rFonts w:cs="Arial"/>
                <w:b/>
                <w:sz w:val="20"/>
                <w:szCs w:val="20"/>
              </w:rPr>
            </w:pPr>
            <w:r>
              <w:rPr>
                <w:rFonts w:cs="Arial"/>
                <w:b/>
                <w:sz w:val="20"/>
                <w:szCs w:val="20"/>
              </w:rPr>
              <w:t>Subsection</w:t>
            </w:r>
          </w:p>
        </w:tc>
        <w:tc>
          <w:tcPr>
            <w:tcW w:w="1701" w:type="dxa"/>
            <w:vAlign w:val="center"/>
          </w:tcPr>
          <w:p w14:paraId="60F4C501" w14:textId="77777777" w:rsidR="008A54F0" w:rsidRDefault="008A54F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36A50F" w14:textId="77777777" w:rsidR="008A54F0" w:rsidRDefault="008A54F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067074B" w14:textId="77777777" w:rsidR="008A54F0" w:rsidRDefault="008A54F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B8F8FB9" w14:textId="77777777" w:rsidR="008A54F0" w:rsidRDefault="008A54F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D89B759" w14:textId="77777777" w:rsidR="008A54F0" w:rsidRDefault="008A54F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74BB703" w14:textId="77777777" w:rsidR="008A54F0" w:rsidRDefault="008A54F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EB8B438" w14:textId="77777777" w:rsidR="008A54F0" w:rsidRDefault="008A54F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C5BC7" w14:paraId="5620AAA3" w14:textId="77777777">
        <w:tc>
          <w:tcPr>
            <w:tcW w:w="1384" w:type="dxa"/>
            <w:vAlign w:val="center"/>
          </w:tcPr>
          <w:p w14:paraId="36BF7393" w14:textId="77777777" w:rsidR="008A54F0" w:rsidRDefault="008A54F0">
            <w:pPr>
              <w:keepNext/>
              <w:spacing w:before="60" w:after="60"/>
              <w:rPr>
                <w:rFonts w:cs="Arial"/>
                <w:b/>
                <w:sz w:val="20"/>
                <w:szCs w:val="20"/>
              </w:rPr>
            </w:pPr>
            <w:r>
              <w:rPr>
                <w:rFonts w:cs="Arial"/>
                <w:b/>
                <w:sz w:val="20"/>
                <w:szCs w:val="20"/>
              </w:rPr>
              <w:t>Criteria</w:t>
            </w:r>
          </w:p>
        </w:tc>
        <w:tc>
          <w:tcPr>
            <w:tcW w:w="1701" w:type="dxa"/>
            <w:vAlign w:val="center"/>
          </w:tcPr>
          <w:p w14:paraId="69C18DCA" w14:textId="77777777" w:rsidR="008A54F0" w:rsidRDefault="008A54F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6971D9" w14:textId="77777777" w:rsidR="008A54F0" w:rsidRDefault="008A54F0"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05416827" w14:textId="77777777" w:rsidR="008A54F0" w:rsidRDefault="008A54F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455D3C" w14:textId="77777777" w:rsidR="008A54F0" w:rsidRDefault="008A54F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516A20F" w14:textId="77777777" w:rsidR="008A54F0" w:rsidRDefault="008A54F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053FC6E" w14:textId="77777777" w:rsidR="008A54F0" w:rsidRDefault="008A54F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107DFC6" w14:textId="77777777" w:rsidR="008A54F0" w:rsidRDefault="008A54F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3F04DC" w14:textId="77777777" w:rsidR="008A54F0" w:rsidRDefault="008A54F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C5BC7" w14:paraId="6E003DE7" w14:textId="77777777">
        <w:tc>
          <w:tcPr>
            <w:tcW w:w="1384" w:type="dxa"/>
            <w:vAlign w:val="center"/>
          </w:tcPr>
          <w:p w14:paraId="12AA3701" w14:textId="77777777" w:rsidR="008A54F0" w:rsidRDefault="008A54F0">
            <w:pPr>
              <w:keepNext/>
              <w:spacing w:before="60" w:after="60"/>
              <w:rPr>
                <w:rFonts w:cs="Arial"/>
                <w:b/>
                <w:sz w:val="20"/>
                <w:szCs w:val="20"/>
              </w:rPr>
            </w:pPr>
            <w:r>
              <w:rPr>
                <w:rFonts w:cs="Arial"/>
                <w:b/>
                <w:sz w:val="20"/>
                <w:szCs w:val="20"/>
              </w:rPr>
              <w:t>Attainment Rating</w:t>
            </w:r>
          </w:p>
        </w:tc>
        <w:tc>
          <w:tcPr>
            <w:tcW w:w="1701" w:type="dxa"/>
            <w:vAlign w:val="center"/>
          </w:tcPr>
          <w:p w14:paraId="270CD4FE" w14:textId="77777777" w:rsidR="008A54F0" w:rsidRDefault="008A54F0">
            <w:pPr>
              <w:keepNext/>
              <w:spacing w:before="60" w:after="60"/>
              <w:jc w:val="center"/>
              <w:rPr>
                <w:rFonts w:cs="Arial"/>
                <w:b/>
                <w:sz w:val="20"/>
                <w:szCs w:val="20"/>
              </w:rPr>
            </w:pPr>
            <w:r>
              <w:rPr>
                <w:rFonts w:cs="Arial"/>
                <w:b/>
                <w:sz w:val="20"/>
                <w:szCs w:val="20"/>
              </w:rPr>
              <w:t>Unattained Negligible Risk</w:t>
            </w:r>
          </w:p>
          <w:p w14:paraId="3253CD85" w14:textId="77777777" w:rsidR="008A54F0" w:rsidRDefault="008A54F0">
            <w:pPr>
              <w:keepNext/>
              <w:spacing w:before="60" w:after="60"/>
              <w:jc w:val="center"/>
              <w:rPr>
                <w:rFonts w:cs="Arial"/>
                <w:b/>
                <w:sz w:val="20"/>
                <w:szCs w:val="20"/>
              </w:rPr>
            </w:pPr>
            <w:r>
              <w:rPr>
                <w:rFonts w:cs="Arial"/>
                <w:b/>
                <w:sz w:val="20"/>
                <w:szCs w:val="20"/>
              </w:rPr>
              <w:t>(UA Negligible)</w:t>
            </w:r>
          </w:p>
        </w:tc>
        <w:tc>
          <w:tcPr>
            <w:tcW w:w="1843" w:type="dxa"/>
            <w:vAlign w:val="center"/>
          </w:tcPr>
          <w:p w14:paraId="54003876" w14:textId="77777777" w:rsidR="008A54F0" w:rsidRDefault="008A54F0">
            <w:pPr>
              <w:keepNext/>
              <w:spacing w:before="60" w:after="60"/>
              <w:jc w:val="center"/>
              <w:rPr>
                <w:rFonts w:cs="Arial"/>
                <w:b/>
                <w:sz w:val="20"/>
                <w:szCs w:val="20"/>
              </w:rPr>
            </w:pPr>
            <w:r>
              <w:rPr>
                <w:rFonts w:cs="Arial"/>
                <w:b/>
                <w:sz w:val="20"/>
                <w:szCs w:val="20"/>
              </w:rPr>
              <w:t>Unattained Low Risk</w:t>
            </w:r>
          </w:p>
          <w:p w14:paraId="2782FC35" w14:textId="77777777" w:rsidR="008A54F0" w:rsidRDefault="008A54F0">
            <w:pPr>
              <w:keepNext/>
              <w:spacing w:before="60" w:after="60"/>
              <w:jc w:val="center"/>
              <w:rPr>
                <w:rFonts w:cs="Arial"/>
                <w:b/>
                <w:sz w:val="20"/>
                <w:szCs w:val="20"/>
              </w:rPr>
            </w:pPr>
            <w:r>
              <w:rPr>
                <w:rFonts w:cs="Arial"/>
                <w:b/>
                <w:sz w:val="20"/>
                <w:szCs w:val="20"/>
              </w:rPr>
              <w:t>(UA Low)</w:t>
            </w:r>
          </w:p>
        </w:tc>
        <w:tc>
          <w:tcPr>
            <w:tcW w:w="1843" w:type="dxa"/>
            <w:vAlign w:val="center"/>
          </w:tcPr>
          <w:p w14:paraId="671241F6" w14:textId="77777777" w:rsidR="008A54F0" w:rsidRDefault="008A54F0">
            <w:pPr>
              <w:keepNext/>
              <w:spacing w:before="60" w:after="60"/>
              <w:jc w:val="center"/>
              <w:rPr>
                <w:rFonts w:cs="Arial"/>
                <w:b/>
                <w:sz w:val="20"/>
                <w:szCs w:val="20"/>
              </w:rPr>
            </w:pPr>
            <w:r>
              <w:rPr>
                <w:rFonts w:cs="Arial"/>
                <w:b/>
                <w:sz w:val="20"/>
                <w:szCs w:val="20"/>
              </w:rPr>
              <w:t>Unattained Moderate Risk</w:t>
            </w:r>
          </w:p>
          <w:p w14:paraId="427969DC" w14:textId="77777777" w:rsidR="008A54F0" w:rsidRDefault="008A54F0">
            <w:pPr>
              <w:keepNext/>
              <w:spacing w:before="60" w:after="60"/>
              <w:jc w:val="center"/>
              <w:rPr>
                <w:rFonts w:cs="Arial"/>
                <w:b/>
                <w:sz w:val="20"/>
                <w:szCs w:val="20"/>
              </w:rPr>
            </w:pPr>
            <w:r>
              <w:rPr>
                <w:rFonts w:cs="Arial"/>
                <w:b/>
                <w:sz w:val="20"/>
                <w:szCs w:val="20"/>
              </w:rPr>
              <w:t>(UA Moderate)</w:t>
            </w:r>
          </w:p>
        </w:tc>
        <w:tc>
          <w:tcPr>
            <w:tcW w:w="1842" w:type="dxa"/>
            <w:vAlign w:val="center"/>
          </w:tcPr>
          <w:p w14:paraId="46DF018D" w14:textId="77777777" w:rsidR="008A54F0" w:rsidRDefault="008A54F0">
            <w:pPr>
              <w:keepNext/>
              <w:spacing w:before="60" w:after="60"/>
              <w:jc w:val="center"/>
              <w:rPr>
                <w:rFonts w:cs="Arial"/>
                <w:b/>
                <w:sz w:val="20"/>
                <w:szCs w:val="20"/>
              </w:rPr>
            </w:pPr>
            <w:r>
              <w:rPr>
                <w:rFonts w:cs="Arial"/>
                <w:b/>
                <w:sz w:val="20"/>
                <w:szCs w:val="20"/>
              </w:rPr>
              <w:t>Unattained High Risk</w:t>
            </w:r>
          </w:p>
          <w:p w14:paraId="744B55E3" w14:textId="77777777" w:rsidR="008A54F0" w:rsidRDefault="008A54F0">
            <w:pPr>
              <w:keepNext/>
              <w:spacing w:before="60" w:after="60"/>
              <w:jc w:val="center"/>
              <w:rPr>
                <w:rFonts w:cs="Arial"/>
                <w:b/>
                <w:sz w:val="20"/>
                <w:szCs w:val="20"/>
              </w:rPr>
            </w:pPr>
            <w:r>
              <w:rPr>
                <w:rFonts w:cs="Arial"/>
                <w:b/>
                <w:sz w:val="20"/>
                <w:szCs w:val="20"/>
              </w:rPr>
              <w:t>(UA High)</w:t>
            </w:r>
          </w:p>
        </w:tc>
        <w:tc>
          <w:tcPr>
            <w:tcW w:w="1843" w:type="dxa"/>
            <w:vAlign w:val="center"/>
          </w:tcPr>
          <w:p w14:paraId="092AD33D" w14:textId="77777777" w:rsidR="008A54F0" w:rsidRDefault="008A54F0">
            <w:pPr>
              <w:keepNext/>
              <w:spacing w:before="60" w:after="60"/>
              <w:jc w:val="center"/>
              <w:rPr>
                <w:rFonts w:cs="Arial"/>
                <w:b/>
                <w:sz w:val="20"/>
                <w:szCs w:val="20"/>
              </w:rPr>
            </w:pPr>
            <w:r>
              <w:rPr>
                <w:rFonts w:cs="Arial"/>
                <w:b/>
                <w:sz w:val="20"/>
                <w:szCs w:val="20"/>
              </w:rPr>
              <w:t>Unattained Critical Risk</w:t>
            </w:r>
          </w:p>
          <w:p w14:paraId="4AF682AF" w14:textId="77777777" w:rsidR="008A54F0" w:rsidRDefault="008A54F0">
            <w:pPr>
              <w:keepNext/>
              <w:spacing w:before="60" w:after="60"/>
              <w:jc w:val="center"/>
              <w:rPr>
                <w:rFonts w:cs="Arial"/>
                <w:b/>
                <w:sz w:val="20"/>
                <w:szCs w:val="20"/>
              </w:rPr>
            </w:pPr>
            <w:r>
              <w:rPr>
                <w:rFonts w:cs="Arial"/>
                <w:b/>
                <w:sz w:val="20"/>
                <w:szCs w:val="20"/>
              </w:rPr>
              <w:t>(UA Critical)</w:t>
            </w:r>
          </w:p>
        </w:tc>
      </w:tr>
      <w:tr w:rsidR="000C5BC7" w14:paraId="3D93AD00" w14:textId="77777777">
        <w:tc>
          <w:tcPr>
            <w:tcW w:w="1384" w:type="dxa"/>
            <w:vAlign w:val="center"/>
          </w:tcPr>
          <w:p w14:paraId="1A53A7F4" w14:textId="77777777" w:rsidR="008A54F0" w:rsidRDefault="008A54F0">
            <w:pPr>
              <w:keepNext/>
              <w:spacing w:before="60" w:after="60"/>
              <w:rPr>
                <w:rFonts w:cs="Arial"/>
                <w:b/>
                <w:sz w:val="20"/>
                <w:szCs w:val="20"/>
              </w:rPr>
            </w:pPr>
            <w:r>
              <w:rPr>
                <w:rFonts w:cs="Arial"/>
                <w:b/>
                <w:sz w:val="20"/>
                <w:szCs w:val="20"/>
              </w:rPr>
              <w:t>Subsection</w:t>
            </w:r>
          </w:p>
        </w:tc>
        <w:tc>
          <w:tcPr>
            <w:tcW w:w="1701" w:type="dxa"/>
            <w:vAlign w:val="center"/>
          </w:tcPr>
          <w:p w14:paraId="165EF7D0" w14:textId="77777777" w:rsidR="008A54F0" w:rsidRDefault="008A54F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4559491" w14:textId="77777777" w:rsidR="008A54F0" w:rsidRDefault="008A54F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2316CBE" w14:textId="77777777" w:rsidR="008A54F0" w:rsidRDefault="008A54F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25AEB4" w14:textId="77777777" w:rsidR="008A54F0" w:rsidRDefault="008A54F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9AC2EFE" w14:textId="77777777" w:rsidR="008A54F0" w:rsidRDefault="008A54F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C5BC7" w14:paraId="177D7190" w14:textId="77777777">
        <w:tc>
          <w:tcPr>
            <w:tcW w:w="1384" w:type="dxa"/>
            <w:vAlign w:val="center"/>
          </w:tcPr>
          <w:p w14:paraId="6560B3F6" w14:textId="77777777" w:rsidR="008A54F0" w:rsidRDefault="008A54F0">
            <w:pPr>
              <w:spacing w:before="60" w:after="60"/>
              <w:rPr>
                <w:rFonts w:cs="Arial"/>
                <w:b/>
                <w:sz w:val="20"/>
                <w:szCs w:val="20"/>
              </w:rPr>
            </w:pPr>
            <w:r>
              <w:rPr>
                <w:rFonts w:cs="Arial"/>
                <w:b/>
                <w:sz w:val="20"/>
                <w:szCs w:val="20"/>
              </w:rPr>
              <w:t>Criteria</w:t>
            </w:r>
          </w:p>
        </w:tc>
        <w:tc>
          <w:tcPr>
            <w:tcW w:w="1701" w:type="dxa"/>
            <w:vAlign w:val="center"/>
          </w:tcPr>
          <w:p w14:paraId="49E4D1D6" w14:textId="77777777" w:rsidR="008A54F0" w:rsidRDefault="008A54F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52E70A" w14:textId="77777777" w:rsidR="008A54F0" w:rsidRDefault="008A54F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97664D8" w14:textId="77777777" w:rsidR="008A54F0" w:rsidRDefault="008A54F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E076FC3" w14:textId="77777777" w:rsidR="008A54F0" w:rsidRDefault="008A54F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E5755A6" w14:textId="77777777" w:rsidR="008A54F0" w:rsidRDefault="008A54F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7A53E4" w14:textId="77777777" w:rsidR="008A54F0" w:rsidRDefault="008A54F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9F11C9B" w14:textId="77777777" w:rsidR="008A54F0" w:rsidRDefault="008A54F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1E34AC9" w14:textId="77777777" w:rsidR="008A54F0" w:rsidRDefault="008A54F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7B8F11C" w14:textId="77777777" w:rsidR="008A54F0" w:rsidRDefault="008A54F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1369"/>
        <w:gridCol w:w="6953"/>
      </w:tblGrid>
      <w:tr w:rsidR="000C5BC7" w14:paraId="48675CE6" w14:textId="77777777">
        <w:tc>
          <w:tcPr>
            <w:tcW w:w="0" w:type="auto"/>
          </w:tcPr>
          <w:p w14:paraId="3D06B52F" w14:textId="77777777" w:rsidR="008A54F0" w:rsidRPr="00BE00C7" w:rsidRDefault="008A54F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61A923" w14:textId="77777777" w:rsidR="008A54F0" w:rsidRPr="00BE00C7" w:rsidRDefault="008A54F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A26E1E" w14:textId="77777777" w:rsidR="008A54F0" w:rsidRPr="00BE00C7" w:rsidRDefault="008A54F0" w:rsidP="00BE00C7">
            <w:pPr>
              <w:pStyle w:val="OutcomeDescription"/>
              <w:spacing w:before="120" w:after="120"/>
              <w:rPr>
                <w:rFonts w:cs="Arial"/>
                <w:b/>
                <w:lang w:eastAsia="en-NZ"/>
              </w:rPr>
            </w:pPr>
            <w:r w:rsidRPr="00BE00C7">
              <w:rPr>
                <w:rFonts w:cs="Arial"/>
                <w:b/>
                <w:lang w:eastAsia="en-NZ"/>
              </w:rPr>
              <w:t>Audit Evidence</w:t>
            </w:r>
          </w:p>
        </w:tc>
      </w:tr>
      <w:tr w:rsidR="000C5BC7" w14:paraId="39C8A061" w14:textId="77777777">
        <w:tc>
          <w:tcPr>
            <w:tcW w:w="0" w:type="auto"/>
          </w:tcPr>
          <w:p w14:paraId="4063C1E4"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1.1: Pae ora healthy futures</w:t>
            </w:r>
          </w:p>
          <w:p w14:paraId="4E12159A" w14:textId="77777777" w:rsidR="008A54F0" w:rsidRPr="00BE00C7" w:rsidRDefault="008A54F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6D3A39E" w14:textId="77777777" w:rsidR="008A54F0" w:rsidRPr="00BE00C7" w:rsidRDefault="008A54F0" w:rsidP="00BE00C7">
            <w:pPr>
              <w:pStyle w:val="OutcomeDescription"/>
              <w:spacing w:before="120" w:after="120"/>
              <w:rPr>
                <w:rFonts w:cs="Arial"/>
                <w:lang w:eastAsia="en-NZ"/>
              </w:rPr>
            </w:pPr>
          </w:p>
        </w:tc>
        <w:tc>
          <w:tcPr>
            <w:tcW w:w="0" w:type="auto"/>
          </w:tcPr>
          <w:p w14:paraId="2038A2BE"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37C80B4C" w14:textId="77777777" w:rsidR="008A54F0" w:rsidRPr="00BE00C7" w:rsidRDefault="008A54F0" w:rsidP="00BE00C7">
            <w:pPr>
              <w:pStyle w:val="OutcomeDescription"/>
              <w:spacing w:before="120" w:after="120"/>
              <w:rPr>
                <w:rFonts w:cs="Arial"/>
                <w:lang w:eastAsia="en-NZ"/>
              </w:rPr>
            </w:pPr>
            <w:r w:rsidRPr="00BE00C7">
              <w:rPr>
                <w:rFonts w:cs="Arial"/>
                <w:lang w:eastAsia="en-NZ"/>
              </w:rPr>
              <w:t>The service provider has developed policies, procedures and processes to embed and enact Te Tiriti o Waitangi in all aspects of its work. Mana motuhake is respected. Partnerships have been established with local iwi and Māori organisations to support service integration, planning, equity approaches, and support for Māori. There were a number of Māori residents at the time of audit, and those interviewed said they felt culturally safe. Staff were observed to be addressing these residents in te reo Māori.</w:t>
            </w:r>
          </w:p>
          <w:p w14:paraId="106625E6" w14:textId="77777777" w:rsidR="008A54F0" w:rsidRPr="00BE00C7" w:rsidRDefault="008A54F0" w:rsidP="00BE00C7">
            <w:pPr>
              <w:pStyle w:val="OutcomeDescription"/>
              <w:spacing w:before="120" w:after="120"/>
              <w:rPr>
                <w:rFonts w:cs="Arial"/>
                <w:lang w:eastAsia="en-NZ"/>
              </w:rPr>
            </w:pPr>
          </w:p>
        </w:tc>
      </w:tr>
      <w:tr w:rsidR="000C5BC7" w14:paraId="3B5F097E" w14:textId="77777777">
        <w:tc>
          <w:tcPr>
            <w:tcW w:w="0" w:type="auto"/>
          </w:tcPr>
          <w:p w14:paraId="60BD6913"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D74F4D0"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AE0B384" w14:textId="77777777" w:rsidR="008A54F0" w:rsidRPr="00BE00C7" w:rsidRDefault="008A54F0" w:rsidP="00BE00C7">
            <w:pPr>
              <w:pStyle w:val="OutcomeDescription"/>
              <w:spacing w:before="120" w:after="120"/>
              <w:rPr>
                <w:rFonts w:cs="Arial"/>
                <w:lang w:eastAsia="en-NZ"/>
              </w:rPr>
            </w:pPr>
          </w:p>
        </w:tc>
        <w:tc>
          <w:tcPr>
            <w:tcW w:w="0" w:type="auto"/>
          </w:tcPr>
          <w:p w14:paraId="4953B4A1"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457110" w14:textId="77777777" w:rsidR="008A54F0" w:rsidRPr="00BE00C7" w:rsidRDefault="008A54F0" w:rsidP="00BE00C7">
            <w:pPr>
              <w:pStyle w:val="OutcomeDescription"/>
              <w:spacing w:before="120" w:after="120"/>
              <w:rPr>
                <w:rFonts w:cs="Arial"/>
                <w:lang w:eastAsia="en-NZ"/>
              </w:rPr>
            </w:pPr>
            <w:r w:rsidRPr="00BE00C7">
              <w:rPr>
                <w:rFonts w:cs="Arial"/>
                <w:lang w:eastAsia="en-NZ"/>
              </w:rPr>
              <w:t>Steel Park provides services that are underpinned by Pacific worldviews. Although there were no Pasifika residents, a number of the staff employed identify as Pasifika. Those interviewed stated there were no barriers for Pacific peoples. Staff records confirmed training on Pacific cultural and spiritual beliefs.</w:t>
            </w:r>
          </w:p>
          <w:p w14:paraId="220F2DDC" w14:textId="77777777" w:rsidR="008A54F0" w:rsidRPr="00BE00C7" w:rsidRDefault="008A54F0" w:rsidP="00BE00C7">
            <w:pPr>
              <w:pStyle w:val="OutcomeDescription"/>
              <w:spacing w:before="120" w:after="120"/>
              <w:rPr>
                <w:rFonts w:cs="Arial"/>
                <w:lang w:eastAsia="en-NZ"/>
              </w:rPr>
            </w:pPr>
          </w:p>
        </w:tc>
      </w:tr>
      <w:tr w:rsidR="000C5BC7" w14:paraId="09169F56" w14:textId="77777777">
        <w:tc>
          <w:tcPr>
            <w:tcW w:w="0" w:type="auto"/>
          </w:tcPr>
          <w:p w14:paraId="47FC05EF"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1.3: My rights during service delivery</w:t>
            </w:r>
          </w:p>
          <w:p w14:paraId="2A7C6F87"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2CF4F62" w14:textId="77777777" w:rsidR="008A54F0" w:rsidRPr="00BE00C7" w:rsidRDefault="008A54F0" w:rsidP="00BE00C7">
            <w:pPr>
              <w:pStyle w:val="OutcomeDescription"/>
              <w:spacing w:before="120" w:after="120"/>
              <w:rPr>
                <w:rFonts w:cs="Arial"/>
                <w:lang w:eastAsia="en-NZ"/>
              </w:rPr>
            </w:pPr>
          </w:p>
        </w:tc>
        <w:tc>
          <w:tcPr>
            <w:tcW w:w="0" w:type="auto"/>
          </w:tcPr>
          <w:p w14:paraId="66252510"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3A0BB513" w14:textId="77777777" w:rsidR="008A54F0" w:rsidRPr="00BE00C7" w:rsidRDefault="008A54F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The posters of the Code were visible around the facility.</w:t>
            </w:r>
          </w:p>
          <w:p w14:paraId="6E2E77B6"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w:t>
            </w:r>
            <w:r w:rsidRPr="00BE00C7">
              <w:rPr>
                <w:rFonts w:cs="Arial"/>
                <w:lang w:eastAsia="en-NZ"/>
              </w:rPr>
              <w:t>Service) and were provided with opportunities to discuss and clarify their rights.</w:t>
            </w:r>
          </w:p>
          <w:p w14:paraId="07B36AD8" w14:textId="77777777" w:rsidR="008A54F0" w:rsidRPr="00BE00C7" w:rsidRDefault="008A54F0" w:rsidP="00BE00C7">
            <w:pPr>
              <w:pStyle w:val="OutcomeDescription"/>
              <w:spacing w:before="120" w:after="120"/>
              <w:rPr>
                <w:rFonts w:cs="Arial"/>
                <w:lang w:eastAsia="en-NZ"/>
              </w:rPr>
            </w:pPr>
          </w:p>
        </w:tc>
      </w:tr>
      <w:tr w:rsidR="000C5BC7" w14:paraId="665C70E3" w14:textId="77777777">
        <w:tc>
          <w:tcPr>
            <w:tcW w:w="0" w:type="auto"/>
          </w:tcPr>
          <w:p w14:paraId="43EB68EE"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1.5: I am protected from abuse</w:t>
            </w:r>
          </w:p>
          <w:p w14:paraId="39253F43"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4F8CE25" w14:textId="77777777" w:rsidR="008A54F0" w:rsidRPr="00BE00C7" w:rsidRDefault="008A54F0" w:rsidP="00BE00C7">
            <w:pPr>
              <w:pStyle w:val="OutcomeDescription"/>
              <w:spacing w:before="120" w:after="120"/>
              <w:rPr>
                <w:rFonts w:cs="Arial"/>
                <w:lang w:eastAsia="en-NZ"/>
              </w:rPr>
            </w:pPr>
          </w:p>
        </w:tc>
        <w:tc>
          <w:tcPr>
            <w:tcW w:w="0" w:type="auto"/>
          </w:tcPr>
          <w:p w14:paraId="3809555B"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591C5DD2"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3048325B" w14:textId="77777777" w:rsidR="008A54F0" w:rsidRPr="00BE00C7" w:rsidRDefault="008A54F0" w:rsidP="00BE00C7">
            <w:pPr>
              <w:pStyle w:val="OutcomeDescription"/>
              <w:spacing w:before="120" w:after="120"/>
              <w:rPr>
                <w:rFonts w:cs="Arial"/>
                <w:lang w:eastAsia="en-NZ"/>
              </w:rPr>
            </w:pPr>
            <w:r w:rsidRPr="00BE00C7">
              <w:rPr>
                <w:rFonts w:cs="Arial"/>
                <w:lang w:eastAsia="en-NZ"/>
              </w:rPr>
              <w:t>Residents reported that their property was respected, and finance was protected. Residents’ personal property is labelled on admission. The is a comfort account residents can use to store their money safely, and they can access the account as desired.</w:t>
            </w:r>
          </w:p>
          <w:p w14:paraId="5CC0AA91" w14:textId="77777777" w:rsidR="008A54F0" w:rsidRPr="00BE00C7" w:rsidRDefault="008A54F0" w:rsidP="00BE00C7">
            <w:pPr>
              <w:pStyle w:val="OutcomeDescription"/>
              <w:spacing w:before="120" w:after="120"/>
              <w:rPr>
                <w:rFonts w:cs="Arial"/>
                <w:lang w:eastAsia="en-NZ"/>
              </w:rPr>
            </w:pPr>
          </w:p>
        </w:tc>
      </w:tr>
      <w:tr w:rsidR="000C5BC7" w14:paraId="2ED1CF8C" w14:textId="77777777">
        <w:tc>
          <w:tcPr>
            <w:tcW w:w="0" w:type="auto"/>
          </w:tcPr>
          <w:p w14:paraId="0363AA1B"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1.7: I am informed and able to make choices</w:t>
            </w:r>
          </w:p>
          <w:p w14:paraId="21818808"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w:t>
            </w:r>
            <w:r w:rsidRPr="00BE00C7">
              <w:rPr>
                <w:rFonts w:cs="Arial"/>
                <w:lang w:eastAsia="en-NZ"/>
              </w:rPr>
              <w:lastRenderedPageBreak/>
              <w:t>their ability to exercise independence, choice, and control.</w:t>
            </w:r>
          </w:p>
          <w:p w14:paraId="014C538E" w14:textId="77777777" w:rsidR="008A54F0" w:rsidRPr="00BE00C7" w:rsidRDefault="008A54F0" w:rsidP="00BE00C7">
            <w:pPr>
              <w:pStyle w:val="OutcomeDescription"/>
              <w:spacing w:before="120" w:after="120"/>
              <w:rPr>
                <w:rFonts w:cs="Arial"/>
                <w:lang w:eastAsia="en-NZ"/>
              </w:rPr>
            </w:pPr>
          </w:p>
        </w:tc>
        <w:tc>
          <w:tcPr>
            <w:tcW w:w="0" w:type="auto"/>
          </w:tcPr>
          <w:p w14:paraId="682E2E59"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B4FC47"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103EFCF9" w14:textId="77777777" w:rsidR="008A54F0" w:rsidRPr="00BE00C7" w:rsidRDefault="008A54F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Signed informed consent forms and admission agreements were available in residents’ files.</w:t>
            </w:r>
          </w:p>
          <w:p w14:paraId="5B7B9361" w14:textId="77777777" w:rsidR="008A54F0" w:rsidRPr="00BE00C7" w:rsidRDefault="008A54F0" w:rsidP="00BE00C7">
            <w:pPr>
              <w:pStyle w:val="OutcomeDescription"/>
              <w:spacing w:before="120" w:after="120"/>
              <w:rPr>
                <w:rFonts w:cs="Arial"/>
                <w:lang w:eastAsia="en-NZ"/>
              </w:rPr>
            </w:pPr>
          </w:p>
        </w:tc>
      </w:tr>
      <w:tr w:rsidR="000C5BC7" w14:paraId="29048A7E" w14:textId="77777777">
        <w:tc>
          <w:tcPr>
            <w:tcW w:w="0" w:type="auto"/>
          </w:tcPr>
          <w:p w14:paraId="4214097F"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1.8: I have the right to complain</w:t>
            </w:r>
          </w:p>
          <w:p w14:paraId="15BD2C99"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564ACCC" w14:textId="77777777" w:rsidR="008A54F0" w:rsidRPr="00BE00C7" w:rsidRDefault="008A54F0" w:rsidP="00BE00C7">
            <w:pPr>
              <w:pStyle w:val="OutcomeDescription"/>
              <w:spacing w:before="120" w:after="120"/>
              <w:rPr>
                <w:rFonts w:cs="Arial"/>
                <w:lang w:eastAsia="en-NZ"/>
              </w:rPr>
            </w:pPr>
          </w:p>
        </w:tc>
        <w:tc>
          <w:tcPr>
            <w:tcW w:w="0" w:type="auto"/>
          </w:tcPr>
          <w:p w14:paraId="5245BEF6"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58BBCDB0"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37CECF7A" w14:textId="77777777" w:rsidR="008A54F0" w:rsidRPr="00BE00C7" w:rsidRDefault="008A54F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w:t>
            </w:r>
          </w:p>
          <w:p w14:paraId="13FA3C70" w14:textId="77777777" w:rsidR="008A54F0" w:rsidRPr="00BE00C7" w:rsidRDefault="008A54F0" w:rsidP="00BE00C7">
            <w:pPr>
              <w:pStyle w:val="OutcomeDescription"/>
              <w:spacing w:before="120" w:after="120"/>
              <w:rPr>
                <w:rFonts w:cs="Arial"/>
                <w:lang w:eastAsia="en-NZ"/>
              </w:rPr>
            </w:pPr>
            <w:r w:rsidRPr="00BE00C7">
              <w:rPr>
                <w:rFonts w:cs="Arial"/>
                <w:lang w:eastAsia="en-NZ"/>
              </w:rPr>
              <w:t>The service assures the process works equitably for Māori by providing the Code of Rights in te reo Māori and offering a Māori advocate for support when required.</w:t>
            </w:r>
          </w:p>
          <w:p w14:paraId="01ED423F" w14:textId="77777777" w:rsidR="008A54F0" w:rsidRPr="00BE00C7" w:rsidRDefault="008A54F0" w:rsidP="00BE00C7">
            <w:pPr>
              <w:pStyle w:val="OutcomeDescription"/>
              <w:spacing w:before="120" w:after="120"/>
              <w:rPr>
                <w:rFonts w:cs="Arial"/>
                <w:lang w:eastAsia="en-NZ"/>
              </w:rPr>
            </w:pPr>
            <w:r w:rsidRPr="00BE00C7">
              <w:rPr>
                <w:rFonts w:cs="Arial"/>
                <w:lang w:eastAsia="en-NZ"/>
              </w:rPr>
              <w:t>There have been no known complaints received from external sources since the previous audit.</w:t>
            </w:r>
          </w:p>
          <w:p w14:paraId="06132F26" w14:textId="77777777" w:rsidR="008A54F0" w:rsidRPr="00BE00C7" w:rsidRDefault="008A54F0" w:rsidP="00BE00C7">
            <w:pPr>
              <w:pStyle w:val="OutcomeDescription"/>
              <w:spacing w:before="120" w:after="120"/>
              <w:rPr>
                <w:rFonts w:cs="Arial"/>
                <w:lang w:eastAsia="en-NZ"/>
              </w:rPr>
            </w:pPr>
          </w:p>
        </w:tc>
      </w:tr>
      <w:tr w:rsidR="000C5BC7" w14:paraId="597BEF6E" w14:textId="77777777">
        <w:tc>
          <w:tcPr>
            <w:tcW w:w="0" w:type="auto"/>
          </w:tcPr>
          <w:p w14:paraId="2E41CB66"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2.1: Governance</w:t>
            </w:r>
          </w:p>
          <w:p w14:paraId="2D24C529"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AC8175" w14:textId="77777777" w:rsidR="008A54F0" w:rsidRPr="00BE00C7" w:rsidRDefault="008A54F0" w:rsidP="00BE00C7">
            <w:pPr>
              <w:pStyle w:val="OutcomeDescription"/>
              <w:spacing w:before="120" w:after="120"/>
              <w:rPr>
                <w:rFonts w:cs="Arial"/>
                <w:lang w:eastAsia="en-NZ"/>
              </w:rPr>
            </w:pPr>
          </w:p>
        </w:tc>
        <w:tc>
          <w:tcPr>
            <w:tcW w:w="0" w:type="auto"/>
          </w:tcPr>
          <w:p w14:paraId="52EF599B"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434D6759" w14:textId="77777777" w:rsidR="008A54F0" w:rsidRPr="00BE00C7" w:rsidRDefault="008A54F0" w:rsidP="00BE00C7">
            <w:pPr>
              <w:pStyle w:val="OutcomeDescription"/>
              <w:spacing w:before="120" w:after="120"/>
              <w:rPr>
                <w:rFonts w:cs="Arial"/>
                <w:lang w:eastAsia="en-NZ"/>
              </w:rPr>
            </w:pPr>
            <w:r w:rsidRPr="00BE00C7">
              <w:rPr>
                <w:rFonts w:cs="Arial"/>
                <w:lang w:eastAsia="en-NZ"/>
              </w:rPr>
              <w:t>The governing body/executive management team assumes accountability for delivering a high-quality service to users of the services and their whānau. Compliance with legislative, contractual and regulatory requirements is overseen by the executive team and the owner/director, with external advice sought as required.</w:t>
            </w:r>
          </w:p>
          <w:p w14:paraId="0B82AB95"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resident and relative feedback.  A commitment to the quality and risk management system was evident. The director/owner interviewed felt well informed on progress and risks. This was als</w:t>
            </w:r>
            <w:r w:rsidRPr="00BE00C7">
              <w:rPr>
                <w:rFonts w:cs="Arial"/>
                <w:lang w:eastAsia="en-NZ"/>
              </w:rPr>
              <w:t>o confirmed in a sample of reports to the owner and the executive team, and in minutes of monthly meetings held with facility managers and clinical managers of the aged care facilities operated by the group.</w:t>
            </w:r>
          </w:p>
          <w:p w14:paraId="2EFD3C56"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roles/groups and monitoring of resident safety and clinical indicators/measures.   </w:t>
            </w:r>
          </w:p>
          <w:p w14:paraId="4400747A"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The service has an age-related residential care (ARC) agreement with Health New Zealand – Te Whatu Ora, for rest home and hospital, and additional agreements to provide for people assessed as requiring respite, post-acute medical care and long-term support-chronic health conditions (LTS-CHC). Three of the 39 bedrooms can accommodate couples, enabling a maximum capacity of 42 residents. At the time of audit, one bedroom was occupied by a couple. Of the total 38 residents on site, 19 were assessed as hospital</w:t>
            </w:r>
            <w:r w:rsidRPr="00BE00C7">
              <w:rPr>
                <w:rFonts w:cs="Arial"/>
                <w:lang w:eastAsia="en-NZ"/>
              </w:rPr>
              <w:t xml:space="preserve"> level care and 19 as rest home level care. Two of the rest home residents were there for short stay/respite. Four residents were being accommodated under the LTS-CHC scheme.</w:t>
            </w:r>
          </w:p>
          <w:p w14:paraId="60813FDD" w14:textId="77777777" w:rsidR="008A54F0" w:rsidRPr="00BE00C7" w:rsidRDefault="008A54F0" w:rsidP="00BE00C7">
            <w:pPr>
              <w:pStyle w:val="OutcomeDescription"/>
              <w:spacing w:before="120" w:after="120"/>
              <w:rPr>
                <w:rFonts w:cs="Arial"/>
                <w:lang w:eastAsia="en-NZ"/>
              </w:rPr>
            </w:pPr>
          </w:p>
        </w:tc>
      </w:tr>
      <w:tr w:rsidR="000C5BC7" w14:paraId="608642FC" w14:textId="77777777">
        <w:tc>
          <w:tcPr>
            <w:tcW w:w="0" w:type="auto"/>
          </w:tcPr>
          <w:p w14:paraId="029D2941"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244515E"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w:t>
            </w:r>
            <w:r w:rsidRPr="00BE00C7">
              <w:rPr>
                <w:rFonts w:cs="Arial"/>
                <w:lang w:eastAsia="en-NZ"/>
              </w:rPr>
              <w:t>e services and our health care and support workers.</w:t>
            </w:r>
          </w:p>
          <w:p w14:paraId="71F26A2D" w14:textId="77777777" w:rsidR="008A54F0" w:rsidRPr="00BE00C7" w:rsidRDefault="008A54F0" w:rsidP="00BE00C7">
            <w:pPr>
              <w:pStyle w:val="OutcomeDescription"/>
              <w:spacing w:before="120" w:after="120"/>
              <w:rPr>
                <w:rFonts w:cs="Arial"/>
                <w:lang w:eastAsia="en-NZ"/>
              </w:rPr>
            </w:pPr>
          </w:p>
        </w:tc>
        <w:tc>
          <w:tcPr>
            <w:tcW w:w="0" w:type="auto"/>
          </w:tcPr>
          <w:p w14:paraId="7BE027D2"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61649DA5" w14:textId="77777777" w:rsidR="008A54F0" w:rsidRPr="00BE00C7" w:rsidRDefault="008A54F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policies and procedures, management of incidents and complaints, regular internal audit activities and monitoring of outcomes, annual resident and relative satisfaction surveys, and surveillance of infections. Feedback from the December 2023 satisfaction survey of residents revealed no major concerns.</w:t>
            </w:r>
          </w:p>
          <w:p w14:paraId="6C00B49B" w14:textId="77777777" w:rsidR="008A54F0" w:rsidRPr="00BE00C7" w:rsidRDefault="008A54F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was evaluated.</w:t>
            </w:r>
          </w:p>
          <w:p w14:paraId="721D8D33"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2BED722"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facility manager and the director/owner described the processes for the identification, documentation, monitoring, review and reporting of risks, including health and safety risks, and development of mitigation strategies. </w:t>
            </w:r>
          </w:p>
          <w:p w14:paraId="1E502C10" w14:textId="77777777" w:rsidR="008A54F0" w:rsidRPr="00BE00C7" w:rsidRDefault="008A54F0" w:rsidP="00BE00C7">
            <w:pPr>
              <w:pStyle w:val="OutcomeDescription"/>
              <w:spacing w:before="120" w:after="120"/>
              <w:rPr>
                <w:rFonts w:cs="Arial"/>
                <w:lang w:eastAsia="en-NZ"/>
              </w:rPr>
            </w:pPr>
            <w:r w:rsidRPr="00BE00C7">
              <w:rPr>
                <w:rFonts w:cs="Arial"/>
                <w:lang w:eastAsia="en-NZ"/>
              </w:rPr>
              <w:t>Staff document adverse and near-miss events in line with the National Adverse Events Reporting Policy. A sample of incidents forms reviewed showed these were documented in ways that described the event and actions taken. All incidents were reviewed by the clinical manager, investigated where required, and actions followed up in a timely manner. These are analysed monthly, and trends are reported to staff and the executive team.</w:t>
            </w:r>
          </w:p>
          <w:p w14:paraId="04B72D45" w14:textId="77777777" w:rsidR="008A54F0" w:rsidRPr="00BE00C7" w:rsidRDefault="008A54F0" w:rsidP="00BE00C7">
            <w:pPr>
              <w:pStyle w:val="OutcomeDescription"/>
              <w:spacing w:before="120" w:after="120"/>
              <w:rPr>
                <w:rFonts w:cs="Arial"/>
                <w:lang w:eastAsia="en-NZ"/>
              </w:rPr>
            </w:pPr>
            <w:r w:rsidRPr="00BE00C7">
              <w:rPr>
                <w:rFonts w:cs="Arial"/>
                <w:lang w:eastAsia="en-NZ"/>
              </w:rPr>
              <w:t>The facility manager and clinical nurse manager understood and had complied with essential notification reporting requirements. A stage three pressure injury (non-facility acquired) had been reported recently.</w:t>
            </w:r>
          </w:p>
          <w:p w14:paraId="0250602D" w14:textId="77777777" w:rsidR="008A54F0" w:rsidRPr="00BE00C7" w:rsidRDefault="008A54F0" w:rsidP="00BE00C7">
            <w:pPr>
              <w:pStyle w:val="OutcomeDescription"/>
              <w:spacing w:before="120" w:after="120"/>
              <w:rPr>
                <w:rFonts w:cs="Arial"/>
                <w:lang w:eastAsia="en-NZ"/>
              </w:rPr>
            </w:pPr>
          </w:p>
        </w:tc>
      </w:tr>
      <w:tr w:rsidR="000C5BC7" w14:paraId="660F5525" w14:textId="77777777">
        <w:tc>
          <w:tcPr>
            <w:tcW w:w="0" w:type="auto"/>
          </w:tcPr>
          <w:p w14:paraId="19C4B6F0"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AAAC332"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40F1CDE" w14:textId="77777777" w:rsidR="008A54F0" w:rsidRPr="00BE00C7" w:rsidRDefault="008A54F0" w:rsidP="00BE00C7">
            <w:pPr>
              <w:pStyle w:val="OutcomeDescription"/>
              <w:spacing w:before="120" w:after="120"/>
              <w:rPr>
                <w:rFonts w:cs="Arial"/>
                <w:lang w:eastAsia="en-NZ"/>
              </w:rPr>
            </w:pPr>
          </w:p>
        </w:tc>
        <w:tc>
          <w:tcPr>
            <w:tcW w:w="0" w:type="auto"/>
          </w:tcPr>
          <w:p w14:paraId="02D36A56"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03A3181F" w14:textId="77777777" w:rsidR="008A54F0" w:rsidRPr="00BE00C7" w:rsidRDefault="008A54F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 registered nur</w:t>
            </w:r>
            <w:r w:rsidRPr="00BE00C7">
              <w:rPr>
                <w:rFonts w:cs="Arial"/>
                <w:lang w:eastAsia="en-NZ"/>
              </w:rPr>
              <w:t>se (RN) is on site 24 hours a day, seven days a week and at least one staff member on duty has a current first aid certificate. The duty rosters allocated one to two RNs each shift (including the clinical nurse manager/CNM) five health care assistants (HCAs) each morning, four in the afternoon and one at night. Activities staff are on shift for eight hours on weekdays, a full-time maintenance person is employed, and there were kitchen, cleaning and laundry staff on site seven days a week. There were suffici</w:t>
            </w:r>
            <w:r w:rsidRPr="00BE00C7">
              <w:rPr>
                <w:rFonts w:cs="Arial"/>
                <w:lang w:eastAsia="en-NZ"/>
              </w:rPr>
              <w:t>ent casual staff to cover for planned or unplanned absences. The national clinical manager covers for the CNM, and staff from other aged care facilities operated by the group have also been utilised when needed.</w:t>
            </w:r>
          </w:p>
          <w:p w14:paraId="22E11D8E"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31379536" w14:textId="77777777" w:rsidR="008A54F0" w:rsidRPr="00BE00C7" w:rsidRDefault="008A54F0" w:rsidP="00BE00C7">
            <w:pPr>
              <w:pStyle w:val="OutcomeDescription"/>
              <w:spacing w:before="120" w:after="120"/>
              <w:rPr>
                <w:rFonts w:cs="Arial"/>
                <w:lang w:eastAsia="en-NZ"/>
              </w:rPr>
            </w:pPr>
            <w:r w:rsidRPr="00BE00C7">
              <w:rPr>
                <w:rFonts w:cs="Arial"/>
                <w:lang w:eastAsia="en-NZ"/>
              </w:rPr>
              <w:t>A majority of care staff have either completed or commenced a New Zealand Qualification Authority education programme. Continuing education is planned on an annual basis, including mandatory training requirements. Related competencies are assessed and support equitable service delivery. Records reviewed demonstrated completion of the required training and competency assessments. Staff said they felt well supported with development opportunities.</w:t>
            </w:r>
          </w:p>
          <w:p w14:paraId="3C6411E5" w14:textId="77777777" w:rsidR="008A54F0" w:rsidRPr="00BE00C7" w:rsidRDefault="008A54F0" w:rsidP="00BE00C7">
            <w:pPr>
              <w:pStyle w:val="OutcomeDescription"/>
              <w:spacing w:before="120" w:after="120"/>
              <w:rPr>
                <w:rFonts w:cs="Arial"/>
                <w:lang w:eastAsia="en-NZ"/>
              </w:rPr>
            </w:pPr>
          </w:p>
        </w:tc>
      </w:tr>
      <w:tr w:rsidR="000C5BC7" w14:paraId="26B56B9C" w14:textId="77777777">
        <w:tc>
          <w:tcPr>
            <w:tcW w:w="0" w:type="auto"/>
          </w:tcPr>
          <w:p w14:paraId="75425197"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2.4: Health care and support workers</w:t>
            </w:r>
          </w:p>
          <w:p w14:paraId="0C41164E"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380158F9" w14:textId="77777777" w:rsidR="008A54F0" w:rsidRPr="00BE00C7" w:rsidRDefault="008A54F0" w:rsidP="00BE00C7">
            <w:pPr>
              <w:pStyle w:val="OutcomeDescription"/>
              <w:spacing w:before="120" w:after="120"/>
              <w:rPr>
                <w:rFonts w:cs="Arial"/>
                <w:lang w:eastAsia="en-NZ"/>
              </w:rPr>
            </w:pPr>
          </w:p>
        </w:tc>
        <w:tc>
          <w:tcPr>
            <w:tcW w:w="0" w:type="auto"/>
          </w:tcPr>
          <w:p w14:paraId="26BF097F"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DC1A17"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t>
            </w:r>
          </w:p>
          <w:p w14:paraId="5BE1ACBC"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t>
            </w:r>
            <w:r w:rsidRPr="00BE00C7">
              <w:rPr>
                <w:rFonts w:cs="Arial"/>
                <w:lang w:eastAsia="en-NZ"/>
              </w:rPr>
              <w:lastRenderedPageBreak/>
              <w:t>well for the role, and evidence of this was seen in files reviewed. Opportunities to discuss and review performance occur three months following appointment and yearly thereafter, as confirmed in records reviewed.</w:t>
            </w:r>
          </w:p>
          <w:p w14:paraId="7BAC93F7" w14:textId="77777777" w:rsidR="008A54F0" w:rsidRPr="00BE00C7" w:rsidRDefault="008A54F0" w:rsidP="00BE00C7">
            <w:pPr>
              <w:pStyle w:val="OutcomeDescription"/>
              <w:spacing w:before="120" w:after="120"/>
              <w:rPr>
                <w:rFonts w:cs="Arial"/>
                <w:lang w:eastAsia="en-NZ"/>
              </w:rPr>
            </w:pPr>
          </w:p>
        </w:tc>
      </w:tr>
      <w:tr w:rsidR="000C5BC7" w14:paraId="4E768A00" w14:textId="77777777">
        <w:tc>
          <w:tcPr>
            <w:tcW w:w="0" w:type="auto"/>
          </w:tcPr>
          <w:p w14:paraId="18EE0356"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E02AE8A"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7EEDC18" w14:textId="77777777" w:rsidR="008A54F0" w:rsidRPr="00BE00C7" w:rsidRDefault="008A54F0" w:rsidP="00BE00C7">
            <w:pPr>
              <w:pStyle w:val="OutcomeDescription"/>
              <w:spacing w:before="120" w:after="120"/>
              <w:rPr>
                <w:rFonts w:cs="Arial"/>
                <w:lang w:eastAsia="en-NZ"/>
              </w:rPr>
            </w:pPr>
          </w:p>
        </w:tc>
        <w:tc>
          <w:tcPr>
            <w:tcW w:w="0" w:type="auto"/>
          </w:tcPr>
          <w:p w14:paraId="317E5737" w14:textId="77777777" w:rsidR="008A54F0" w:rsidRPr="00BE00C7" w:rsidRDefault="008A54F0" w:rsidP="00BE00C7">
            <w:pPr>
              <w:pStyle w:val="OutcomeDescription"/>
              <w:spacing w:before="120" w:after="120"/>
              <w:rPr>
                <w:rFonts w:cs="Arial"/>
                <w:lang w:eastAsia="en-NZ"/>
              </w:rPr>
            </w:pPr>
            <w:r w:rsidRPr="00BE00C7">
              <w:rPr>
                <w:rFonts w:cs="Arial"/>
                <w:lang w:eastAsia="en-NZ"/>
              </w:rPr>
              <w:t>PA Low</w:t>
            </w:r>
          </w:p>
        </w:tc>
        <w:tc>
          <w:tcPr>
            <w:tcW w:w="0" w:type="auto"/>
          </w:tcPr>
          <w:p w14:paraId="56E4B24B"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  </w:t>
            </w:r>
          </w:p>
          <w:p w14:paraId="1E98D4DE" w14:textId="77777777" w:rsidR="008A54F0" w:rsidRPr="00BE00C7" w:rsidRDefault="008A54F0" w:rsidP="00BE00C7">
            <w:pPr>
              <w:pStyle w:val="OutcomeDescription"/>
              <w:spacing w:before="120" w:after="120"/>
              <w:rPr>
                <w:rFonts w:cs="Arial"/>
                <w:lang w:eastAsia="en-NZ"/>
              </w:rPr>
            </w:pPr>
            <w:r w:rsidRPr="00BE00C7">
              <w:rPr>
                <w:rFonts w:cs="Arial"/>
                <w:lang w:eastAsia="en-NZ"/>
              </w:rPr>
              <w:t>Timeframes for the initial assessment, general practitioner/nurse practitioner assessment, initial care plan, long-term care plan and review timeframes meet contractual and policy requirements. Staff support Māori and whānau to identify their own pae ora outcomes in their care plan. The service enables accessible services by encouraging whānau support and enabling access to kaumātua or cultural support as required.  This was verified by sampling residents’ records, and from interviews of clinical staff, res</w:t>
            </w:r>
            <w:r w:rsidRPr="00BE00C7">
              <w:rPr>
                <w:rFonts w:cs="Arial"/>
                <w:lang w:eastAsia="en-NZ"/>
              </w:rPr>
              <w:t>idents, and whānau.</w:t>
            </w:r>
          </w:p>
          <w:p w14:paraId="682B1885" w14:textId="77777777" w:rsidR="008A54F0" w:rsidRPr="00BE00C7" w:rsidRDefault="008A54F0" w:rsidP="00BE00C7">
            <w:pPr>
              <w:pStyle w:val="OutcomeDescription"/>
              <w:spacing w:before="120" w:after="120"/>
              <w:rPr>
                <w:rFonts w:cs="Arial"/>
                <w:lang w:eastAsia="en-NZ"/>
              </w:rPr>
            </w:pPr>
            <w:r w:rsidRPr="00BE00C7">
              <w:rPr>
                <w:rFonts w:cs="Arial"/>
                <w:lang w:eastAsia="en-NZ"/>
              </w:rPr>
              <w:t>Regular evaluation of responses to planned care, including the use of assessment outcomes was completed. Residents’ care was evaluated on each shift and reported in the progress notes by the care staff.  Care plan evaluation did not include the progress of achievement of agreed goals of care for individual residents. Management of any specific medical conditions was well documented. The GP confirmed satisfaction with the care provided and the level of communication received from the nursing team.</w:t>
            </w:r>
          </w:p>
          <w:p w14:paraId="7979BDE2" w14:textId="77777777" w:rsidR="008A54F0" w:rsidRPr="00BE00C7" w:rsidRDefault="008A54F0" w:rsidP="008A54F0">
            <w:pPr>
              <w:pStyle w:val="OutcomeDescription"/>
              <w:spacing w:before="120" w:after="120"/>
              <w:rPr>
                <w:rFonts w:cs="Arial"/>
                <w:lang w:eastAsia="en-NZ"/>
              </w:rPr>
            </w:pPr>
          </w:p>
        </w:tc>
      </w:tr>
      <w:tr w:rsidR="000C5BC7" w14:paraId="4828E4AE" w14:textId="77777777">
        <w:tc>
          <w:tcPr>
            <w:tcW w:w="0" w:type="auto"/>
          </w:tcPr>
          <w:p w14:paraId="3499086E"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3.4: My medication</w:t>
            </w:r>
          </w:p>
          <w:p w14:paraId="6DE5230C"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A7E8151" w14:textId="77777777" w:rsidR="008A54F0" w:rsidRPr="00BE00C7" w:rsidRDefault="008A54F0" w:rsidP="00BE00C7">
            <w:pPr>
              <w:pStyle w:val="OutcomeDescription"/>
              <w:spacing w:before="120" w:after="120"/>
              <w:rPr>
                <w:rFonts w:cs="Arial"/>
                <w:lang w:eastAsia="en-NZ"/>
              </w:rPr>
            </w:pPr>
          </w:p>
        </w:tc>
        <w:tc>
          <w:tcPr>
            <w:tcW w:w="0" w:type="auto"/>
          </w:tcPr>
          <w:p w14:paraId="3233C0F1"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7DA017"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w:t>
            </w:r>
            <w:r w:rsidRPr="00BE00C7">
              <w:rPr>
                <w:rFonts w:cs="Arial"/>
                <w:lang w:eastAsia="en-NZ"/>
              </w:rPr>
              <w:lastRenderedPageBreak/>
              <w:t>All staff who administer medicines were competent to perform the function they managed. Current medication administration competencies were available in staff files.</w:t>
            </w:r>
          </w:p>
          <w:p w14:paraId="1C735139"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were stored safely, including controlled drugs. The required stock checks had been completed. Medicines stored were within the recommended temperature range. </w:t>
            </w:r>
          </w:p>
          <w:p w14:paraId="0EFFBA66" w14:textId="77777777" w:rsidR="008A54F0" w:rsidRPr="00BE00C7" w:rsidRDefault="008A54F0"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and in interview with the GP. Medicine-related allergies or sensitivities were recorded, and any adverse events responded to appropriately. The required three-monthly GP/ nurse practitioner (NP) review was consistently recorded on the medicine chart. Standing orders were not used.</w:t>
            </w:r>
          </w:p>
          <w:p w14:paraId="039E817F" w14:textId="77777777" w:rsidR="008A54F0" w:rsidRPr="00BE00C7" w:rsidRDefault="008A54F0" w:rsidP="00BE00C7">
            <w:pPr>
              <w:pStyle w:val="OutcomeDescription"/>
              <w:spacing w:before="120" w:after="120"/>
              <w:rPr>
                <w:rFonts w:cs="Arial"/>
                <w:lang w:eastAsia="en-NZ"/>
              </w:rPr>
            </w:pPr>
            <w:r w:rsidRPr="00BE00C7">
              <w:rPr>
                <w:rFonts w:cs="Arial"/>
                <w:lang w:eastAsia="en-NZ"/>
              </w:rPr>
              <w:t>Self-administration of medication was facilitated and managed safely.</w:t>
            </w:r>
          </w:p>
          <w:p w14:paraId="72DA9F94" w14:textId="77777777" w:rsidR="008A54F0" w:rsidRPr="00BE00C7" w:rsidRDefault="008A54F0" w:rsidP="00BE00C7">
            <w:pPr>
              <w:pStyle w:val="OutcomeDescription"/>
              <w:spacing w:before="120" w:after="120"/>
              <w:rPr>
                <w:rFonts w:cs="Arial"/>
                <w:lang w:eastAsia="en-NZ"/>
              </w:rPr>
            </w:pPr>
          </w:p>
        </w:tc>
      </w:tr>
      <w:tr w:rsidR="000C5BC7" w14:paraId="58E00679" w14:textId="77777777">
        <w:tc>
          <w:tcPr>
            <w:tcW w:w="0" w:type="auto"/>
          </w:tcPr>
          <w:p w14:paraId="63D9C10C"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3CFE165"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906B915" w14:textId="77777777" w:rsidR="008A54F0" w:rsidRPr="00BE00C7" w:rsidRDefault="008A54F0" w:rsidP="00BE00C7">
            <w:pPr>
              <w:pStyle w:val="OutcomeDescription"/>
              <w:spacing w:before="120" w:after="120"/>
              <w:rPr>
                <w:rFonts w:cs="Arial"/>
                <w:lang w:eastAsia="en-NZ"/>
              </w:rPr>
            </w:pPr>
          </w:p>
        </w:tc>
        <w:tc>
          <w:tcPr>
            <w:tcW w:w="0" w:type="auto"/>
          </w:tcPr>
          <w:p w14:paraId="21F728DB"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21E72550" w14:textId="77777777" w:rsidR="008A54F0" w:rsidRPr="00BE00C7" w:rsidRDefault="008A54F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older people, taking into consideration the food and cultural preferences of the residents. The menu was reviewed by a registered dietitian. Evidence of residents’ satisfaction with meals was verified from resident and whānau interviews, satisfaction surveys and resident meeting minutes.</w:t>
            </w:r>
          </w:p>
          <w:p w14:paraId="3B8F3A0A" w14:textId="77777777" w:rsidR="008A54F0" w:rsidRPr="00BE00C7" w:rsidRDefault="008A54F0" w:rsidP="00BE00C7">
            <w:pPr>
              <w:pStyle w:val="OutcomeDescription"/>
              <w:spacing w:before="120" w:after="120"/>
              <w:rPr>
                <w:rFonts w:cs="Arial"/>
                <w:lang w:eastAsia="en-NZ"/>
              </w:rPr>
            </w:pPr>
            <w:r w:rsidRPr="00BE00C7">
              <w:rPr>
                <w:rFonts w:cs="Arial"/>
                <w:lang w:eastAsia="en-NZ"/>
              </w:rPr>
              <w:t>The service operates with an approved food safety plan and registration. The food control plan will expire on 29 November 2024.</w:t>
            </w:r>
          </w:p>
          <w:p w14:paraId="00B27285" w14:textId="77777777" w:rsidR="008A54F0" w:rsidRPr="00BE00C7" w:rsidRDefault="008A54F0" w:rsidP="00BE00C7">
            <w:pPr>
              <w:pStyle w:val="OutcomeDescription"/>
              <w:spacing w:before="120" w:after="120"/>
              <w:rPr>
                <w:rFonts w:cs="Arial"/>
                <w:lang w:eastAsia="en-NZ"/>
              </w:rPr>
            </w:pPr>
          </w:p>
        </w:tc>
      </w:tr>
      <w:tr w:rsidR="000C5BC7" w14:paraId="12803B19" w14:textId="77777777">
        <w:tc>
          <w:tcPr>
            <w:tcW w:w="0" w:type="auto"/>
          </w:tcPr>
          <w:p w14:paraId="2565259A"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4605B7D"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6FA29C61" w14:textId="77777777" w:rsidR="008A54F0" w:rsidRPr="00BE00C7" w:rsidRDefault="008A54F0" w:rsidP="00BE00C7">
            <w:pPr>
              <w:pStyle w:val="OutcomeDescription"/>
              <w:spacing w:before="120" w:after="120"/>
              <w:rPr>
                <w:rFonts w:cs="Arial"/>
                <w:lang w:eastAsia="en-NZ"/>
              </w:rPr>
            </w:pPr>
          </w:p>
        </w:tc>
        <w:tc>
          <w:tcPr>
            <w:tcW w:w="0" w:type="auto"/>
          </w:tcPr>
          <w:p w14:paraId="4C562A80"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A954AE" w14:textId="77777777" w:rsidR="008A54F0" w:rsidRPr="00BE00C7" w:rsidRDefault="008A54F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This was observed on the day of the audit, when one resident was transferred to another facility. Risks and current support needs are identified and managed.  Whānau reported being kept well informed during the transfer of their relative.</w:t>
            </w:r>
          </w:p>
          <w:p w14:paraId="1B226B6F" w14:textId="77777777" w:rsidR="008A54F0" w:rsidRPr="00BE00C7" w:rsidRDefault="008A54F0" w:rsidP="00BE00C7">
            <w:pPr>
              <w:pStyle w:val="OutcomeDescription"/>
              <w:spacing w:before="120" w:after="120"/>
              <w:rPr>
                <w:rFonts w:cs="Arial"/>
                <w:lang w:eastAsia="en-NZ"/>
              </w:rPr>
            </w:pPr>
          </w:p>
        </w:tc>
      </w:tr>
      <w:tr w:rsidR="000C5BC7" w14:paraId="1DBFECB6" w14:textId="77777777">
        <w:tc>
          <w:tcPr>
            <w:tcW w:w="0" w:type="auto"/>
          </w:tcPr>
          <w:p w14:paraId="5C67E348"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4.1: The facility</w:t>
            </w:r>
          </w:p>
          <w:p w14:paraId="188719A6"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1EFBCA4" w14:textId="77777777" w:rsidR="008A54F0" w:rsidRPr="00BE00C7" w:rsidRDefault="008A54F0" w:rsidP="00BE00C7">
            <w:pPr>
              <w:pStyle w:val="OutcomeDescription"/>
              <w:spacing w:before="120" w:after="120"/>
              <w:rPr>
                <w:rFonts w:cs="Arial"/>
                <w:lang w:eastAsia="en-NZ"/>
              </w:rPr>
            </w:pPr>
          </w:p>
        </w:tc>
        <w:tc>
          <w:tcPr>
            <w:tcW w:w="0" w:type="auto"/>
          </w:tcPr>
          <w:p w14:paraId="3524900F"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56B756EE"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and electrical and bio-medical testing. </w:t>
            </w:r>
          </w:p>
          <w:p w14:paraId="528ECD3D" w14:textId="77777777" w:rsidR="008A54F0" w:rsidRPr="00BE00C7" w:rsidRDefault="008A54F0" w:rsidP="00BE00C7">
            <w:pPr>
              <w:pStyle w:val="OutcomeDescription"/>
              <w:spacing w:before="120" w:after="120"/>
              <w:rPr>
                <w:rFonts w:cs="Arial"/>
                <w:lang w:eastAsia="en-NZ"/>
              </w:rPr>
            </w:pPr>
            <w:r w:rsidRPr="00BE00C7">
              <w:rPr>
                <w:rFonts w:cs="Arial"/>
                <w:lang w:eastAsia="en-NZ"/>
              </w:rPr>
              <w:t>The fire alarm system was inadvertently triggered during the audit, which resulted in an immediate evacuation of all residents and staff. The evacuation occurred in a calm and orderly manner and all residents were assembled and confirmed to be outside by the fire warden within five minutes.</w:t>
            </w:r>
          </w:p>
          <w:p w14:paraId="4B6482C3" w14:textId="77777777" w:rsidR="008A54F0" w:rsidRPr="00BE00C7" w:rsidRDefault="008A54F0" w:rsidP="00BE00C7">
            <w:pPr>
              <w:pStyle w:val="OutcomeDescription"/>
              <w:spacing w:before="120" w:after="120"/>
              <w:rPr>
                <w:rFonts w:cs="Arial"/>
                <w:lang w:eastAsia="en-NZ"/>
              </w:rPr>
            </w:pPr>
            <w:r w:rsidRPr="00BE00C7">
              <w:rPr>
                <w:rFonts w:cs="Arial"/>
                <w:lang w:eastAsia="en-NZ"/>
              </w:rPr>
              <w:t>Residents and their whānau were happy with the environment, including heating and ventilation, natural light, privacy, and maintenance.</w:t>
            </w:r>
          </w:p>
          <w:p w14:paraId="69F9585E" w14:textId="77777777" w:rsidR="008A54F0" w:rsidRPr="00BE00C7" w:rsidRDefault="008A54F0" w:rsidP="00BE00C7">
            <w:pPr>
              <w:pStyle w:val="OutcomeDescription"/>
              <w:spacing w:before="120" w:after="120"/>
              <w:rPr>
                <w:rFonts w:cs="Arial"/>
                <w:lang w:eastAsia="en-NZ"/>
              </w:rPr>
            </w:pPr>
          </w:p>
        </w:tc>
      </w:tr>
      <w:tr w:rsidR="000C5BC7" w14:paraId="469119B1" w14:textId="77777777">
        <w:tc>
          <w:tcPr>
            <w:tcW w:w="0" w:type="auto"/>
          </w:tcPr>
          <w:p w14:paraId="66E8BE6F"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Subsection 5.2: The </w:t>
            </w:r>
            <w:r w:rsidRPr="00BE00C7">
              <w:rPr>
                <w:rFonts w:cs="Arial"/>
                <w:lang w:eastAsia="en-NZ"/>
              </w:rPr>
              <w:t>infection prevention programme and implementation</w:t>
            </w:r>
          </w:p>
          <w:p w14:paraId="09DE8AA2"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9792851" w14:textId="77777777" w:rsidR="008A54F0" w:rsidRPr="00BE00C7" w:rsidRDefault="008A54F0" w:rsidP="00BE00C7">
            <w:pPr>
              <w:pStyle w:val="OutcomeDescription"/>
              <w:spacing w:before="120" w:after="120"/>
              <w:rPr>
                <w:rFonts w:cs="Arial"/>
                <w:lang w:eastAsia="en-NZ"/>
              </w:rPr>
            </w:pPr>
          </w:p>
        </w:tc>
        <w:tc>
          <w:tcPr>
            <w:tcW w:w="0" w:type="auto"/>
          </w:tcPr>
          <w:p w14:paraId="780C7F7E"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1283FD56"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infection prevention and control coordinator (IPCC) is responsible for overseeing and implementing the IP programme, which has been developed by those with IP expertise and approved by the governing body. The programme is linked to the quality improvement programme and is reviewed and reported on annually. This was confirmed by the IPCC and review of the programme documentation. The IP programme was reviewed in January 2024.</w:t>
            </w:r>
          </w:p>
          <w:p w14:paraId="6C9A89C2" w14:textId="77777777" w:rsidR="008A54F0" w:rsidRPr="00BE00C7" w:rsidRDefault="008A54F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were educated about infection prevention in a manner that meets their needs.</w:t>
            </w:r>
          </w:p>
          <w:p w14:paraId="7FA3B62F" w14:textId="77777777" w:rsidR="008A54F0" w:rsidRPr="00BE00C7" w:rsidRDefault="008A54F0" w:rsidP="00BE00C7">
            <w:pPr>
              <w:pStyle w:val="OutcomeDescription"/>
              <w:spacing w:before="120" w:after="120"/>
              <w:rPr>
                <w:rFonts w:cs="Arial"/>
                <w:lang w:eastAsia="en-NZ"/>
              </w:rPr>
            </w:pPr>
          </w:p>
        </w:tc>
      </w:tr>
      <w:tr w:rsidR="000C5BC7" w14:paraId="73BA0994" w14:textId="77777777">
        <w:tc>
          <w:tcPr>
            <w:tcW w:w="0" w:type="auto"/>
          </w:tcPr>
          <w:p w14:paraId="47937570" w14:textId="77777777" w:rsidR="008A54F0" w:rsidRPr="00BE00C7" w:rsidRDefault="008A54F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F0D373B"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90CC1B4" w14:textId="77777777" w:rsidR="008A54F0" w:rsidRPr="00BE00C7" w:rsidRDefault="008A54F0" w:rsidP="00BE00C7">
            <w:pPr>
              <w:pStyle w:val="OutcomeDescription"/>
              <w:spacing w:before="120" w:after="120"/>
              <w:rPr>
                <w:rFonts w:cs="Arial"/>
                <w:lang w:eastAsia="en-NZ"/>
              </w:rPr>
            </w:pPr>
          </w:p>
        </w:tc>
        <w:tc>
          <w:tcPr>
            <w:tcW w:w="0" w:type="auto"/>
          </w:tcPr>
          <w:p w14:paraId="396FE631"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DEAA70"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Surveillance methods, </w:t>
            </w:r>
            <w:r w:rsidRPr="00BE00C7">
              <w:rPr>
                <w:rFonts w:cs="Arial"/>
                <w:lang w:eastAsia="en-NZ"/>
              </w:rPr>
              <w:lastRenderedPageBreak/>
              <w:t>tools, documentation, analysis, and assignment of responsibilities are described in the infection surveillance policy and documented using standardised surveillance definitions. Monthly surveillance data is collated and analysed to identify any trends, possible causative factors, and required actions. Surveillance includes ethnicity data.  Results of the surveillance programme are shared with staff and reported to the governing body.</w:t>
            </w:r>
          </w:p>
          <w:p w14:paraId="3D3D4CDA" w14:textId="77777777" w:rsidR="008A54F0" w:rsidRPr="00BE00C7" w:rsidRDefault="008A54F0" w:rsidP="00BE00C7">
            <w:pPr>
              <w:pStyle w:val="OutcomeDescription"/>
              <w:spacing w:before="120" w:after="120"/>
              <w:rPr>
                <w:rFonts w:cs="Arial"/>
                <w:lang w:eastAsia="en-NZ"/>
              </w:rPr>
            </w:pPr>
          </w:p>
        </w:tc>
      </w:tr>
      <w:tr w:rsidR="000C5BC7" w14:paraId="069CCC65" w14:textId="77777777">
        <w:tc>
          <w:tcPr>
            <w:tcW w:w="0" w:type="auto"/>
          </w:tcPr>
          <w:p w14:paraId="430E706C"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BFBAA3D" w14:textId="77777777" w:rsidR="008A54F0" w:rsidRPr="00BE00C7" w:rsidRDefault="008A54F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BEB92F" w14:textId="77777777" w:rsidR="008A54F0" w:rsidRPr="00BE00C7" w:rsidRDefault="008A54F0" w:rsidP="00BE00C7">
            <w:pPr>
              <w:pStyle w:val="OutcomeDescription"/>
              <w:spacing w:before="120" w:after="120"/>
              <w:rPr>
                <w:rFonts w:cs="Arial"/>
                <w:lang w:eastAsia="en-NZ"/>
              </w:rPr>
            </w:pPr>
          </w:p>
        </w:tc>
        <w:tc>
          <w:tcPr>
            <w:tcW w:w="0" w:type="auto"/>
          </w:tcPr>
          <w:p w14:paraId="4FD2FD71" w14:textId="77777777" w:rsidR="008A54F0" w:rsidRPr="00BE00C7" w:rsidRDefault="008A54F0" w:rsidP="00BE00C7">
            <w:pPr>
              <w:pStyle w:val="OutcomeDescription"/>
              <w:spacing w:before="120" w:after="120"/>
              <w:rPr>
                <w:rFonts w:cs="Arial"/>
                <w:lang w:eastAsia="en-NZ"/>
              </w:rPr>
            </w:pPr>
            <w:r w:rsidRPr="00BE00C7">
              <w:rPr>
                <w:rFonts w:cs="Arial"/>
                <w:lang w:eastAsia="en-NZ"/>
              </w:rPr>
              <w:t>FA</w:t>
            </w:r>
          </w:p>
        </w:tc>
        <w:tc>
          <w:tcPr>
            <w:tcW w:w="0" w:type="auto"/>
          </w:tcPr>
          <w:p w14:paraId="6C51A8D2" w14:textId="77777777" w:rsidR="008A54F0" w:rsidRPr="00BE00C7" w:rsidRDefault="008A54F0" w:rsidP="00BE00C7">
            <w:pPr>
              <w:pStyle w:val="OutcomeDescription"/>
              <w:spacing w:before="120" w:after="120"/>
              <w:rPr>
                <w:rFonts w:cs="Arial"/>
                <w:lang w:eastAsia="en-NZ"/>
              </w:rPr>
            </w:pPr>
            <w:r w:rsidRPr="00BE00C7">
              <w:rPr>
                <w:rFonts w:cs="Arial"/>
                <w:lang w:eastAsia="en-NZ"/>
              </w:rPr>
              <w:t>Maintaining a restraint-free environment is the aim of the service. The director/owner/operator and executive management team demonstrate commitment to this. At the time of audit, there was no restraint in use, and this has been the case since services commenced. Any use of restraint would be immediately reported to executive management.</w:t>
            </w:r>
          </w:p>
          <w:p w14:paraId="13C67927" w14:textId="77777777" w:rsidR="008A54F0" w:rsidRPr="00BE00C7" w:rsidRDefault="008A54F0" w:rsidP="00BE00C7">
            <w:pPr>
              <w:pStyle w:val="OutcomeDescription"/>
              <w:spacing w:before="120" w:after="120"/>
              <w:rPr>
                <w:rFonts w:cs="Arial"/>
                <w:lang w:eastAsia="en-NZ"/>
              </w:rPr>
            </w:pPr>
            <w:r w:rsidRPr="00BE00C7">
              <w:rPr>
                <w:rFonts w:cs="Arial"/>
                <w:lang w:eastAsia="en-NZ"/>
              </w:rPr>
              <w:t>Interview and personnel records confirmed that staff have been trained in the least restrictive practice, safe restraint practice, alternative cultural-specific interventions, and de-escalation techniques. A training session related to restraint was observed on the day of audit.</w:t>
            </w:r>
          </w:p>
          <w:p w14:paraId="40228032" w14:textId="77777777" w:rsidR="008A54F0" w:rsidRPr="00BE00C7" w:rsidRDefault="008A54F0" w:rsidP="00BE00C7">
            <w:pPr>
              <w:pStyle w:val="OutcomeDescription"/>
              <w:spacing w:before="120" w:after="120"/>
              <w:rPr>
                <w:rFonts w:cs="Arial"/>
                <w:lang w:eastAsia="en-NZ"/>
              </w:rPr>
            </w:pPr>
          </w:p>
        </w:tc>
      </w:tr>
    </w:tbl>
    <w:p w14:paraId="4859E415" w14:textId="77777777" w:rsidR="008A54F0" w:rsidRPr="00BE00C7" w:rsidRDefault="008A54F0" w:rsidP="00BE00C7">
      <w:pPr>
        <w:pStyle w:val="OutcomeDescription"/>
        <w:spacing w:before="120" w:after="120"/>
        <w:rPr>
          <w:rFonts w:cs="Arial"/>
          <w:lang w:eastAsia="en-NZ"/>
        </w:rPr>
      </w:pPr>
      <w:bookmarkStart w:id="56" w:name="AuditSummaryAttainment"/>
      <w:bookmarkEnd w:id="56"/>
    </w:p>
    <w:p w14:paraId="3B8FC59B" w14:textId="77777777" w:rsidR="008A54F0" w:rsidRDefault="008A54F0">
      <w:pPr>
        <w:pStyle w:val="Heading1"/>
        <w:rPr>
          <w:rFonts w:cs="Arial"/>
        </w:rPr>
      </w:pPr>
      <w:r>
        <w:rPr>
          <w:rFonts w:cs="Arial"/>
        </w:rPr>
        <w:lastRenderedPageBreak/>
        <w:t>Specific results for criterion where corrective actions are required</w:t>
      </w:r>
    </w:p>
    <w:p w14:paraId="159CAC32" w14:textId="77777777" w:rsidR="008A54F0" w:rsidRDefault="008A54F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686A852" w14:textId="77777777" w:rsidR="008A54F0" w:rsidRDefault="008A54F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6F4276E" w14:textId="77777777" w:rsidR="008A54F0" w:rsidRDefault="008A54F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326"/>
        <w:gridCol w:w="4514"/>
        <w:gridCol w:w="2355"/>
        <w:gridCol w:w="2578"/>
      </w:tblGrid>
      <w:tr w:rsidR="000C5BC7" w14:paraId="2AAB8A9E" w14:textId="77777777">
        <w:tc>
          <w:tcPr>
            <w:tcW w:w="0" w:type="auto"/>
          </w:tcPr>
          <w:p w14:paraId="3F999867" w14:textId="77777777" w:rsidR="008A54F0" w:rsidRPr="00BE00C7" w:rsidRDefault="008A54F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2788169" w14:textId="77777777" w:rsidR="008A54F0" w:rsidRPr="00BE00C7" w:rsidRDefault="008A54F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095263" w14:textId="77777777" w:rsidR="008A54F0" w:rsidRPr="00BE00C7" w:rsidRDefault="008A54F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4AA977A" w14:textId="77777777" w:rsidR="008A54F0" w:rsidRPr="00BE00C7" w:rsidRDefault="008A54F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82094D" w14:textId="77777777" w:rsidR="008A54F0" w:rsidRPr="00BE00C7" w:rsidRDefault="008A54F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C5BC7" w14:paraId="55A361C7" w14:textId="77777777">
        <w:tc>
          <w:tcPr>
            <w:tcW w:w="0" w:type="auto"/>
          </w:tcPr>
          <w:p w14:paraId="11F1995B" w14:textId="77777777" w:rsidR="008A54F0" w:rsidRPr="00BE00C7" w:rsidRDefault="008A54F0" w:rsidP="00BE00C7">
            <w:pPr>
              <w:pStyle w:val="OutcomeDescription"/>
              <w:spacing w:before="120" w:after="120"/>
              <w:rPr>
                <w:rFonts w:cs="Arial"/>
                <w:lang w:eastAsia="en-NZ"/>
              </w:rPr>
            </w:pPr>
            <w:r w:rsidRPr="00BE00C7">
              <w:rPr>
                <w:rFonts w:cs="Arial"/>
                <w:lang w:eastAsia="en-NZ"/>
              </w:rPr>
              <w:t>Criterion 3.2.5</w:t>
            </w:r>
          </w:p>
          <w:p w14:paraId="7C94F63F" w14:textId="77777777" w:rsidR="008A54F0" w:rsidRPr="00BE00C7" w:rsidRDefault="008A54F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w:t>
            </w:r>
            <w:r w:rsidRPr="00BE00C7">
              <w:rPr>
                <w:rFonts w:cs="Arial"/>
                <w:lang w:eastAsia="en-NZ"/>
              </w:rPr>
              <w:t>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ongoing re-assessment and review process, </w:t>
            </w:r>
            <w:r w:rsidRPr="00BE00C7">
              <w:rPr>
                <w:rFonts w:cs="Arial"/>
                <w:lang w:eastAsia="en-NZ"/>
              </w:rPr>
              <w:lastRenderedPageBreak/>
              <w:t>and ensure changes are implemented;</w:t>
            </w:r>
            <w:r w:rsidRPr="00BE00C7">
              <w:rPr>
                <w:rFonts w:cs="Arial"/>
                <w:lang w:eastAsia="en-NZ"/>
              </w:rPr>
              <w:br/>
              <w:t>(e) Ensure that, where progress is different from expected, the se</w:t>
            </w:r>
            <w:r w:rsidRPr="00BE00C7">
              <w:rPr>
                <w:rFonts w:cs="Arial"/>
                <w:lang w:eastAsia="en-NZ"/>
              </w:rPr>
              <w:t>rvice provider in collaboration with the person receiving services and whānau responds by initiating changes to the care or support plan.</w:t>
            </w:r>
          </w:p>
          <w:p w14:paraId="79B7C5F2" w14:textId="77777777" w:rsidR="008A54F0" w:rsidRPr="00BE00C7" w:rsidRDefault="008A54F0" w:rsidP="00BE00C7">
            <w:pPr>
              <w:pStyle w:val="OutcomeDescription"/>
              <w:spacing w:before="120" w:after="120"/>
              <w:rPr>
                <w:rFonts w:cs="Arial"/>
                <w:lang w:eastAsia="en-NZ"/>
              </w:rPr>
            </w:pPr>
          </w:p>
        </w:tc>
        <w:tc>
          <w:tcPr>
            <w:tcW w:w="0" w:type="auto"/>
          </w:tcPr>
          <w:p w14:paraId="1A31C6E2" w14:textId="77777777" w:rsidR="008A54F0" w:rsidRPr="00BE00C7" w:rsidRDefault="008A54F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2A78A39"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Routine six-monthly care plan evaluation was completed following interRAI reassessments. The evaluation included changes to care interventions and did not include the degree of achievement of residents’ goals and aspirations. Short-term care plans were completed for any identified acute resident care needs. Short-term care plans were reviewed weekly or earlier if clinically indicated. Where progress was different to that expected, changes were made to the care plan in collaboration with the resident and/or </w:t>
            </w:r>
            <w:r w:rsidRPr="00BE00C7">
              <w:rPr>
                <w:rFonts w:cs="Arial"/>
                <w:lang w:eastAsia="en-NZ"/>
              </w:rPr>
              <w:t>whānau. Residents and whānau confirmed active involvement in the process.</w:t>
            </w:r>
          </w:p>
          <w:p w14:paraId="706E5012" w14:textId="77777777" w:rsidR="008A54F0" w:rsidRPr="00BE00C7" w:rsidRDefault="008A54F0" w:rsidP="00BE00C7">
            <w:pPr>
              <w:pStyle w:val="OutcomeDescription"/>
              <w:spacing w:before="120" w:after="120"/>
              <w:rPr>
                <w:rFonts w:cs="Arial"/>
                <w:lang w:eastAsia="en-NZ"/>
              </w:rPr>
            </w:pPr>
          </w:p>
        </w:tc>
        <w:tc>
          <w:tcPr>
            <w:tcW w:w="0" w:type="auto"/>
          </w:tcPr>
          <w:p w14:paraId="5302B88D" w14:textId="77777777" w:rsidR="008A54F0" w:rsidRPr="00BE00C7" w:rsidRDefault="008A54F0" w:rsidP="00BE00C7">
            <w:pPr>
              <w:pStyle w:val="OutcomeDescription"/>
              <w:spacing w:before="120" w:after="120"/>
              <w:rPr>
                <w:rFonts w:cs="Arial"/>
                <w:lang w:eastAsia="en-NZ"/>
              </w:rPr>
            </w:pPr>
            <w:r w:rsidRPr="00BE00C7">
              <w:rPr>
                <w:rFonts w:cs="Arial"/>
                <w:lang w:eastAsia="en-NZ"/>
              </w:rPr>
              <w:t xml:space="preserve">Routine six-monthly care </w:t>
            </w:r>
            <w:r w:rsidRPr="00BE00C7">
              <w:rPr>
                <w:rFonts w:cs="Arial"/>
                <w:lang w:eastAsia="en-NZ"/>
              </w:rPr>
              <w:t>evaluation did not include the degree of achievement against the residents’ agreed goals and aspirations.</w:t>
            </w:r>
          </w:p>
          <w:p w14:paraId="2A6EED4A" w14:textId="77777777" w:rsidR="008A54F0" w:rsidRPr="00BE00C7" w:rsidRDefault="008A54F0" w:rsidP="00BE00C7">
            <w:pPr>
              <w:pStyle w:val="OutcomeDescription"/>
              <w:spacing w:before="120" w:after="120"/>
              <w:rPr>
                <w:rFonts w:cs="Arial"/>
                <w:lang w:eastAsia="en-NZ"/>
              </w:rPr>
            </w:pPr>
          </w:p>
        </w:tc>
        <w:tc>
          <w:tcPr>
            <w:tcW w:w="0" w:type="auto"/>
          </w:tcPr>
          <w:p w14:paraId="7C91F138" w14:textId="77777777" w:rsidR="008A54F0" w:rsidRPr="00BE00C7" w:rsidRDefault="008A54F0" w:rsidP="00BE00C7">
            <w:pPr>
              <w:pStyle w:val="OutcomeDescription"/>
              <w:spacing w:before="120" w:after="120"/>
              <w:rPr>
                <w:rFonts w:cs="Arial"/>
                <w:lang w:eastAsia="en-NZ"/>
              </w:rPr>
            </w:pPr>
            <w:r w:rsidRPr="00BE00C7">
              <w:rPr>
                <w:rFonts w:cs="Arial"/>
                <w:lang w:eastAsia="en-NZ"/>
              </w:rPr>
              <w:t>Ensure care evaluation includes the degree of achievement towards the residents’ agreed goals and aspirations, to meet the criterion requirements.</w:t>
            </w:r>
          </w:p>
          <w:p w14:paraId="05DFDA2C" w14:textId="77777777" w:rsidR="008A54F0" w:rsidRPr="00BE00C7" w:rsidRDefault="008A54F0" w:rsidP="00BE00C7">
            <w:pPr>
              <w:pStyle w:val="OutcomeDescription"/>
              <w:spacing w:before="120" w:after="120"/>
              <w:rPr>
                <w:rFonts w:cs="Arial"/>
                <w:lang w:eastAsia="en-NZ"/>
              </w:rPr>
            </w:pPr>
          </w:p>
          <w:p w14:paraId="77C181F4" w14:textId="77777777" w:rsidR="008A54F0" w:rsidRPr="00BE00C7" w:rsidRDefault="008A54F0" w:rsidP="00BE00C7">
            <w:pPr>
              <w:pStyle w:val="OutcomeDescription"/>
              <w:spacing w:before="120" w:after="120"/>
              <w:rPr>
                <w:rFonts w:cs="Arial"/>
                <w:lang w:eastAsia="en-NZ"/>
              </w:rPr>
            </w:pPr>
            <w:r w:rsidRPr="00BE00C7">
              <w:rPr>
                <w:rFonts w:cs="Arial"/>
                <w:lang w:eastAsia="en-NZ"/>
              </w:rPr>
              <w:t>180 days</w:t>
            </w:r>
          </w:p>
        </w:tc>
      </w:tr>
    </w:tbl>
    <w:p w14:paraId="77EAFE1C" w14:textId="77777777" w:rsidR="008A54F0" w:rsidRPr="00BE00C7" w:rsidRDefault="008A54F0" w:rsidP="00BE00C7">
      <w:pPr>
        <w:pStyle w:val="OutcomeDescription"/>
        <w:spacing w:before="120" w:after="120"/>
        <w:rPr>
          <w:rFonts w:cs="Arial"/>
          <w:lang w:eastAsia="en-NZ"/>
        </w:rPr>
      </w:pPr>
      <w:bookmarkStart w:id="57" w:name="AuditSummaryCAMCriterion"/>
      <w:bookmarkEnd w:id="57"/>
    </w:p>
    <w:p w14:paraId="0D236AD1" w14:textId="77777777" w:rsidR="008A54F0" w:rsidRDefault="008A54F0">
      <w:pPr>
        <w:pStyle w:val="Heading1"/>
        <w:rPr>
          <w:rFonts w:cs="Arial"/>
        </w:rPr>
      </w:pPr>
      <w:r>
        <w:rPr>
          <w:rFonts w:cs="Arial"/>
        </w:rPr>
        <w:lastRenderedPageBreak/>
        <w:t>Specific results for criterion where a continuous improvement has been recorded</w:t>
      </w:r>
    </w:p>
    <w:p w14:paraId="22C5841B" w14:textId="77777777" w:rsidR="008A54F0" w:rsidRDefault="008A54F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E69D1C9" w14:textId="77777777" w:rsidR="008A54F0" w:rsidRDefault="008A54F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CA1B48F" w14:textId="77777777" w:rsidR="008A54F0" w:rsidRDefault="008A54F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C5BC7" w14:paraId="21CD468E" w14:textId="77777777">
        <w:tc>
          <w:tcPr>
            <w:tcW w:w="0" w:type="auto"/>
          </w:tcPr>
          <w:p w14:paraId="32988FB1" w14:textId="77777777" w:rsidR="008A54F0" w:rsidRPr="00BE00C7" w:rsidRDefault="008A54F0" w:rsidP="00BE00C7">
            <w:pPr>
              <w:pStyle w:val="OutcomeDescription"/>
              <w:spacing w:before="120" w:after="120"/>
              <w:rPr>
                <w:rFonts w:cs="Arial"/>
                <w:lang w:eastAsia="en-NZ"/>
              </w:rPr>
            </w:pPr>
            <w:r w:rsidRPr="00BE00C7">
              <w:rPr>
                <w:rFonts w:cs="Arial"/>
                <w:lang w:eastAsia="en-NZ"/>
              </w:rPr>
              <w:t>No data to display</w:t>
            </w:r>
          </w:p>
        </w:tc>
      </w:tr>
    </w:tbl>
    <w:p w14:paraId="5B18737A" w14:textId="77777777" w:rsidR="008A54F0" w:rsidRPr="00BE00C7" w:rsidRDefault="008A54F0" w:rsidP="00BE00C7">
      <w:pPr>
        <w:pStyle w:val="OutcomeDescription"/>
        <w:spacing w:before="120" w:after="120"/>
        <w:rPr>
          <w:rFonts w:cs="Arial"/>
          <w:lang w:eastAsia="en-NZ"/>
        </w:rPr>
      </w:pPr>
      <w:bookmarkStart w:id="58" w:name="AuditSummaryCAMImprovment"/>
      <w:bookmarkEnd w:id="58"/>
    </w:p>
    <w:p w14:paraId="5412EA82" w14:textId="77777777" w:rsidR="008A54F0" w:rsidRDefault="008A54F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0A2A" w14:textId="77777777" w:rsidR="008A54F0" w:rsidRDefault="008A54F0">
      <w:r>
        <w:separator/>
      </w:r>
    </w:p>
  </w:endnote>
  <w:endnote w:type="continuationSeparator" w:id="0">
    <w:p w14:paraId="08ABF4C2" w14:textId="77777777" w:rsidR="008A54F0" w:rsidRDefault="008A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B8D0" w14:textId="77777777" w:rsidR="008A54F0" w:rsidRDefault="008A54F0">
    <w:pPr>
      <w:pStyle w:val="Footer"/>
    </w:pPr>
  </w:p>
  <w:p w14:paraId="2228EF9C" w14:textId="77777777" w:rsidR="008A54F0" w:rsidRDefault="008A54F0"/>
  <w:p w14:paraId="177D0AAB" w14:textId="77777777" w:rsidR="008A54F0" w:rsidRDefault="008A54F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27E2" w14:textId="77777777" w:rsidR="008A54F0" w:rsidRPr="000B00BC" w:rsidRDefault="008A54F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Steele Park Limited - Steele Park Home</w:t>
    </w:r>
    <w:bookmarkEnd w:id="59"/>
    <w:r>
      <w:rPr>
        <w:rFonts w:cs="Arial"/>
        <w:sz w:val="16"/>
        <w:szCs w:val="20"/>
      </w:rPr>
      <w:tab/>
      <w:t xml:space="preserve">Date of Audit: </w:t>
    </w:r>
    <w:bookmarkStart w:id="60" w:name="AuditStartDate1"/>
    <w:r>
      <w:rPr>
        <w:rFonts w:cs="Arial"/>
        <w:sz w:val="16"/>
        <w:szCs w:val="20"/>
      </w:rPr>
      <w:t>7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7D1EF74" w14:textId="77777777" w:rsidR="008A54F0" w:rsidRDefault="008A54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0B12" w14:textId="77777777" w:rsidR="008A54F0" w:rsidRDefault="008A5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593C" w14:textId="77777777" w:rsidR="008A54F0" w:rsidRDefault="008A54F0">
      <w:r>
        <w:separator/>
      </w:r>
    </w:p>
  </w:footnote>
  <w:footnote w:type="continuationSeparator" w:id="0">
    <w:p w14:paraId="14DC7521" w14:textId="77777777" w:rsidR="008A54F0" w:rsidRDefault="008A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A667" w14:textId="77777777" w:rsidR="008A54F0" w:rsidRDefault="008A54F0">
    <w:pPr>
      <w:pStyle w:val="Header"/>
    </w:pPr>
  </w:p>
  <w:p w14:paraId="17BAC6B0" w14:textId="77777777" w:rsidR="008A54F0" w:rsidRDefault="008A54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E7D" w14:textId="77777777" w:rsidR="008A54F0" w:rsidRDefault="008A54F0">
    <w:pPr>
      <w:pStyle w:val="Header"/>
    </w:pPr>
  </w:p>
  <w:p w14:paraId="7E161063" w14:textId="77777777" w:rsidR="008A54F0" w:rsidRDefault="008A5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BCD7" w14:textId="77777777" w:rsidR="008A54F0" w:rsidRDefault="008A5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8F62294">
      <w:start w:val="1"/>
      <w:numFmt w:val="decimal"/>
      <w:lvlText w:val="%1."/>
      <w:lvlJc w:val="left"/>
      <w:pPr>
        <w:ind w:left="360" w:hanging="360"/>
      </w:pPr>
    </w:lvl>
    <w:lvl w:ilvl="1" w:tplc="13BED8DA" w:tentative="1">
      <w:start w:val="1"/>
      <w:numFmt w:val="lowerLetter"/>
      <w:lvlText w:val="%2."/>
      <w:lvlJc w:val="left"/>
      <w:pPr>
        <w:ind w:left="1080" w:hanging="360"/>
      </w:pPr>
    </w:lvl>
    <w:lvl w:ilvl="2" w:tplc="A3CE8C0C" w:tentative="1">
      <w:start w:val="1"/>
      <w:numFmt w:val="lowerRoman"/>
      <w:lvlText w:val="%3."/>
      <w:lvlJc w:val="right"/>
      <w:pPr>
        <w:ind w:left="1800" w:hanging="180"/>
      </w:pPr>
    </w:lvl>
    <w:lvl w:ilvl="3" w:tplc="3320AA88" w:tentative="1">
      <w:start w:val="1"/>
      <w:numFmt w:val="decimal"/>
      <w:lvlText w:val="%4."/>
      <w:lvlJc w:val="left"/>
      <w:pPr>
        <w:ind w:left="2520" w:hanging="360"/>
      </w:pPr>
    </w:lvl>
    <w:lvl w:ilvl="4" w:tplc="AF20F8D6" w:tentative="1">
      <w:start w:val="1"/>
      <w:numFmt w:val="lowerLetter"/>
      <w:lvlText w:val="%5."/>
      <w:lvlJc w:val="left"/>
      <w:pPr>
        <w:ind w:left="3240" w:hanging="360"/>
      </w:pPr>
    </w:lvl>
    <w:lvl w:ilvl="5" w:tplc="EA2AEAB4" w:tentative="1">
      <w:start w:val="1"/>
      <w:numFmt w:val="lowerRoman"/>
      <w:lvlText w:val="%6."/>
      <w:lvlJc w:val="right"/>
      <w:pPr>
        <w:ind w:left="3960" w:hanging="180"/>
      </w:pPr>
    </w:lvl>
    <w:lvl w:ilvl="6" w:tplc="C478CC8C" w:tentative="1">
      <w:start w:val="1"/>
      <w:numFmt w:val="decimal"/>
      <w:lvlText w:val="%7."/>
      <w:lvlJc w:val="left"/>
      <w:pPr>
        <w:ind w:left="4680" w:hanging="360"/>
      </w:pPr>
    </w:lvl>
    <w:lvl w:ilvl="7" w:tplc="A524F7A4" w:tentative="1">
      <w:start w:val="1"/>
      <w:numFmt w:val="lowerLetter"/>
      <w:lvlText w:val="%8."/>
      <w:lvlJc w:val="left"/>
      <w:pPr>
        <w:ind w:left="5400" w:hanging="360"/>
      </w:pPr>
    </w:lvl>
    <w:lvl w:ilvl="8" w:tplc="D242B4C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236CA5E">
      <w:start w:val="1"/>
      <w:numFmt w:val="bullet"/>
      <w:lvlText w:val=""/>
      <w:lvlJc w:val="left"/>
      <w:pPr>
        <w:ind w:left="720" w:hanging="360"/>
      </w:pPr>
      <w:rPr>
        <w:rFonts w:ascii="Symbol" w:hAnsi="Symbol" w:hint="default"/>
      </w:rPr>
    </w:lvl>
    <w:lvl w:ilvl="1" w:tplc="328EB93C" w:tentative="1">
      <w:start w:val="1"/>
      <w:numFmt w:val="bullet"/>
      <w:lvlText w:val="o"/>
      <w:lvlJc w:val="left"/>
      <w:pPr>
        <w:ind w:left="1440" w:hanging="360"/>
      </w:pPr>
      <w:rPr>
        <w:rFonts w:ascii="Courier New" w:hAnsi="Courier New" w:cs="Courier New" w:hint="default"/>
      </w:rPr>
    </w:lvl>
    <w:lvl w:ilvl="2" w:tplc="C7D25A96" w:tentative="1">
      <w:start w:val="1"/>
      <w:numFmt w:val="bullet"/>
      <w:lvlText w:val=""/>
      <w:lvlJc w:val="left"/>
      <w:pPr>
        <w:ind w:left="2160" w:hanging="360"/>
      </w:pPr>
      <w:rPr>
        <w:rFonts w:ascii="Wingdings" w:hAnsi="Wingdings" w:hint="default"/>
      </w:rPr>
    </w:lvl>
    <w:lvl w:ilvl="3" w:tplc="B5B2DE1E" w:tentative="1">
      <w:start w:val="1"/>
      <w:numFmt w:val="bullet"/>
      <w:lvlText w:val=""/>
      <w:lvlJc w:val="left"/>
      <w:pPr>
        <w:ind w:left="2880" w:hanging="360"/>
      </w:pPr>
      <w:rPr>
        <w:rFonts w:ascii="Symbol" w:hAnsi="Symbol" w:hint="default"/>
      </w:rPr>
    </w:lvl>
    <w:lvl w:ilvl="4" w:tplc="B24C9568" w:tentative="1">
      <w:start w:val="1"/>
      <w:numFmt w:val="bullet"/>
      <w:lvlText w:val="o"/>
      <w:lvlJc w:val="left"/>
      <w:pPr>
        <w:ind w:left="3600" w:hanging="360"/>
      </w:pPr>
      <w:rPr>
        <w:rFonts w:ascii="Courier New" w:hAnsi="Courier New" w:cs="Courier New" w:hint="default"/>
      </w:rPr>
    </w:lvl>
    <w:lvl w:ilvl="5" w:tplc="603C501C" w:tentative="1">
      <w:start w:val="1"/>
      <w:numFmt w:val="bullet"/>
      <w:lvlText w:val=""/>
      <w:lvlJc w:val="left"/>
      <w:pPr>
        <w:ind w:left="4320" w:hanging="360"/>
      </w:pPr>
      <w:rPr>
        <w:rFonts w:ascii="Wingdings" w:hAnsi="Wingdings" w:hint="default"/>
      </w:rPr>
    </w:lvl>
    <w:lvl w:ilvl="6" w:tplc="C9C66FDA" w:tentative="1">
      <w:start w:val="1"/>
      <w:numFmt w:val="bullet"/>
      <w:lvlText w:val=""/>
      <w:lvlJc w:val="left"/>
      <w:pPr>
        <w:ind w:left="5040" w:hanging="360"/>
      </w:pPr>
      <w:rPr>
        <w:rFonts w:ascii="Symbol" w:hAnsi="Symbol" w:hint="default"/>
      </w:rPr>
    </w:lvl>
    <w:lvl w:ilvl="7" w:tplc="73BA1C58" w:tentative="1">
      <w:start w:val="1"/>
      <w:numFmt w:val="bullet"/>
      <w:lvlText w:val="o"/>
      <w:lvlJc w:val="left"/>
      <w:pPr>
        <w:ind w:left="5760" w:hanging="360"/>
      </w:pPr>
      <w:rPr>
        <w:rFonts w:ascii="Courier New" w:hAnsi="Courier New" w:cs="Courier New" w:hint="default"/>
      </w:rPr>
    </w:lvl>
    <w:lvl w:ilvl="8" w:tplc="B48E1954" w:tentative="1">
      <w:start w:val="1"/>
      <w:numFmt w:val="bullet"/>
      <w:lvlText w:val=""/>
      <w:lvlJc w:val="left"/>
      <w:pPr>
        <w:ind w:left="6480" w:hanging="360"/>
      </w:pPr>
      <w:rPr>
        <w:rFonts w:ascii="Wingdings" w:hAnsi="Wingdings" w:hint="default"/>
      </w:rPr>
    </w:lvl>
  </w:abstractNum>
  <w:num w:numId="1" w16cid:durableId="324479186">
    <w:abstractNumId w:val="1"/>
  </w:num>
  <w:num w:numId="2" w16cid:durableId="21700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C7"/>
    <w:rsid w:val="000C5BC7"/>
    <w:rsid w:val="008A54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281F"/>
  <w15:docId w15:val="{539E07CA-5CC9-4586-9AAD-7A31CF6B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5896</Words>
  <Characters>33609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2024-12-03T20:57:00Z</dcterms:created>
  <dcterms:modified xsi:type="dcterms:W3CDTF">2024-12-03T20:57:00Z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