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7C11" w14:textId="77777777" w:rsidR="005B1260" w:rsidRDefault="005B1260">
      <w:pPr>
        <w:pStyle w:val="Heading1"/>
        <w:rPr>
          <w:rFonts w:cs="Arial"/>
        </w:rPr>
      </w:pPr>
      <w:bookmarkStart w:id="0" w:name="PRMS_RIName"/>
      <w:r>
        <w:rPr>
          <w:rFonts w:cs="Arial"/>
        </w:rPr>
        <w:t>Presbyterian Support Otago Incorporated - Enliven CastleWood</w:t>
      </w:r>
      <w:bookmarkEnd w:id="0"/>
    </w:p>
    <w:p w14:paraId="57CC8652" w14:textId="77777777" w:rsidR="005B1260" w:rsidRDefault="005B1260">
      <w:pPr>
        <w:pStyle w:val="Heading2"/>
        <w:spacing w:after="0"/>
        <w:rPr>
          <w:rFonts w:cs="Arial"/>
        </w:rPr>
      </w:pPr>
      <w:r>
        <w:rPr>
          <w:rFonts w:cs="Arial"/>
        </w:rPr>
        <w:t>Introduction</w:t>
      </w:r>
    </w:p>
    <w:p w14:paraId="5C49D214" w14:textId="77777777" w:rsidR="005B1260" w:rsidRDefault="005B126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70D1E63" w14:textId="77777777" w:rsidR="005B1260" w:rsidRDefault="005B126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D537CA0" w14:textId="77777777" w:rsidR="005B1260" w:rsidRDefault="005B126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E0FCF6" w14:textId="77777777" w:rsidR="005B1260" w:rsidRDefault="005B126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0554680" w14:textId="77777777" w:rsidR="005B1260" w:rsidRDefault="005B1260">
      <w:pPr>
        <w:spacing w:before="240" w:after="240"/>
        <w:rPr>
          <w:rFonts w:cs="Arial"/>
          <w:lang w:eastAsia="en-NZ"/>
        </w:rPr>
      </w:pPr>
      <w:r>
        <w:rPr>
          <w:rFonts w:cs="Arial"/>
          <w:lang w:eastAsia="en-NZ"/>
        </w:rPr>
        <w:t>The specifics of this audit included:</w:t>
      </w:r>
    </w:p>
    <w:p w14:paraId="127E943D" w14:textId="77777777" w:rsidR="005B1260" w:rsidRPr="009D18F5" w:rsidRDefault="005B1260" w:rsidP="009D18F5">
      <w:pPr>
        <w:pBdr>
          <w:top w:val="single" w:sz="4" w:space="1" w:color="auto"/>
          <w:left w:val="single" w:sz="4" w:space="4" w:color="auto"/>
          <w:bottom w:val="single" w:sz="4" w:space="1" w:color="auto"/>
          <w:right w:val="single" w:sz="4" w:space="4" w:color="auto"/>
        </w:pBdr>
        <w:rPr>
          <w:rFonts w:cs="Arial"/>
        </w:rPr>
      </w:pPr>
    </w:p>
    <w:p w14:paraId="1D09A5D4" w14:textId="77777777" w:rsidR="005B1260" w:rsidRPr="009418D4" w:rsidRDefault="005B126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162B7C4D" w14:textId="77777777" w:rsidR="005B1260" w:rsidRPr="009418D4" w:rsidRDefault="005B126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Enliven CastleWood</w:t>
      </w:r>
      <w:bookmarkEnd w:id="5"/>
    </w:p>
    <w:p w14:paraId="1D4C57FD" w14:textId="77777777" w:rsidR="005B1260" w:rsidRPr="009418D4" w:rsidRDefault="005B126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4D8395D" w14:textId="77777777" w:rsidR="005B1260" w:rsidRPr="009418D4" w:rsidRDefault="005B126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October 2024</w:t>
      </w:r>
      <w:bookmarkEnd w:id="7"/>
      <w:r w:rsidRPr="009418D4">
        <w:rPr>
          <w:rFonts w:cs="Arial"/>
        </w:rPr>
        <w:tab/>
        <w:t xml:space="preserve">End date: </w:t>
      </w:r>
      <w:bookmarkStart w:id="8" w:name="AuditEndDate"/>
      <w:r>
        <w:rPr>
          <w:rFonts w:cs="Arial"/>
        </w:rPr>
        <w:t>16 October 2024</w:t>
      </w:r>
      <w:bookmarkEnd w:id="8"/>
    </w:p>
    <w:p w14:paraId="461D5DF5" w14:textId="77777777" w:rsidR="005B1260" w:rsidRPr="009418D4" w:rsidRDefault="005B126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FAA4A2E" w14:textId="77777777" w:rsidR="00F74E35" w:rsidRPr="009418D4" w:rsidRDefault="005B126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72ECC02B" w14:textId="77777777" w:rsidR="005B1260" w:rsidRDefault="005B1260" w:rsidP="009D18F5">
      <w:pPr>
        <w:pBdr>
          <w:top w:val="single" w:sz="4" w:space="1" w:color="auto"/>
          <w:left w:val="single" w:sz="4" w:space="4" w:color="auto"/>
          <w:bottom w:val="single" w:sz="4" w:space="1" w:color="auto"/>
          <w:right w:val="single" w:sz="4" w:space="4" w:color="auto"/>
        </w:pBdr>
        <w:rPr>
          <w:rFonts w:cs="Arial"/>
          <w:lang w:eastAsia="en-NZ"/>
        </w:rPr>
      </w:pPr>
    </w:p>
    <w:p w14:paraId="7F951C64" w14:textId="77777777" w:rsidR="005B1260" w:rsidRDefault="005B1260">
      <w:pPr>
        <w:pStyle w:val="Heading1"/>
        <w:rPr>
          <w:rFonts w:cs="Arial"/>
        </w:rPr>
      </w:pPr>
      <w:r>
        <w:rPr>
          <w:rFonts w:cs="Arial"/>
        </w:rPr>
        <w:lastRenderedPageBreak/>
        <w:t>Executive summary of the audit</w:t>
      </w:r>
    </w:p>
    <w:p w14:paraId="166F2264" w14:textId="77777777" w:rsidR="005B1260" w:rsidRDefault="005B1260">
      <w:pPr>
        <w:pStyle w:val="Heading2"/>
        <w:rPr>
          <w:rFonts w:cs="Arial"/>
        </w:rPr>
      </w:pPr>
      <w:r>
        <w:rPr>
          <w:rFonts w:cs="Arial"/>
        </w:rPr>
        <w:t>Introduction</w:t>
      </w:r>
    </w:p>
    <w:p w14:paraId="408705C2" w14:textId="77777777" w:rsidR="005B1260" w:rsidRDefault="005B126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6F4BC7F" w14:textId="77777777" w:rsidR="005B1260" w:rsidRDefault="005B126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5EFFF85" w14:textId="77777777" w:rsidR="005B1260" w:rsidRDefault="005B126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32A71AD" w14:textId="77777777" w:rsidR="005B1260" w:rsidRDefault="005B126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E57C3F4" w14:textId="77777777" w:rsidR="005B1260" w:rsidRDefault="005B126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80533C4" w14:textId="77777777" w:rsidR="005B1260" w:rsidRDefault="005B126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9FD505" w14:textId="77777777" w:rsidR="005B1260" w:rsidRDefault="005B126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0BC1388" w14:textId="77777777" w:rsidR="005B1260" w:rsidRDefault="005B126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A4625D8" w14:textId="77777777" w:rsidR="005B1260" w:rsidRDefault="005B126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74E35" w14:paraId="68E5FED7" w14:textId="77777777">
        <w:trPr>
          <w:cantSplit/>
          <w:tblHeader/>
        </w:trPr>
        <w:tc>
          <w:tcPr>
            <w:tcW w:w="1260" w:type="dxa"/>
            <w:tcBorders>
              <w:bottom w:val="single" w:sz="4" w:space="0" w:color="000000"/>
            </w:tcBorders>
            <w:vAlign w:val="center"/>
          </w:tcPr>
          <w:p w14:paraId="60269659" w14:textId="77777777" w:rsidR="005B1260" w:rsidRDefault="005B126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62CE17" w14:textId="77777777" w:rsidR="005B1260" w:rsidRDefault="005B126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0892890" w14:textId="77777777" w:rsidR="005B1260" w:rsidRDefault="005B1260">
            <w:pPr>
              <w:spacing w:before="60" w:after="60"/>
              <w:rPr>
                <w:rFonts w:eastAsia="Calibri"/>
                <w:b/>
                <w:szCs w:val="24"/>
              </w:rPr>
            </w:pPr>
            <w:r>
              <w:rPr>
                <w:rFonts w:eastAsia="Calibri"/>
                <w:b/>
                <w:szCs w:val="24"/>
              </w:rPr>
              <w:t>Definition</w:t>
            </w:r>
          </w:p>
        </w:tc>
      </w:tr>
      <w:tr w:rsidR="00F74E35" w14:paraId="4B5D8C57" w14:textId="77777777">
        <w:trPr>
          <w:cantSplit/>
          <w:trHeight w:val="964"/>
        </w:trPr>
        <w:tc>
          <w:tcPr>
            <w:tcW w:w="1260" w:type="dxa"/>
            <w:tcBorders>
              <w:bottom w:val="single" w:sz="4" w:space="0" w:color="000000"/>
            </w:tcBorders>
            <w:shd w:val="clear" w:color="0066FF" w:fill="0000FF"/>
            <w:vAlign w:val="center"/>
          </w:tcPr>
          <w:p w14:paraId="5A6E78D6" w14:textId="77777777" w:rsidR="005B1260" w:rsidRDefault="005B1260">
            <w:pPr>
              <w:spacing w:before="60" w:after="60"/>
              <w:rPr>
                <w:rFonts w:eastAsia="Calibri"/>
                <w:szCs w:val="24"/>
              </w:rPr>
            </w:pPr>
          </w:p>
        </w:tc>
        <w:tc>
          <w:tcPr>
            <w:tcW w:w="7095" w:type="dxa"/>
            <w:tcBorders>
              <w:bottom w:val="single" w:sz="4" w:space="0" w:color="000000"/>
            </w:tcBorders>
            <w:shd w:val="clear" w:color="auto" w:fill="auto"/>
            <w:vAlign w:val="center"/>
          </w:tcPr>
          <w:p w14:paraId="5B1E97CF" w14:textId="77777777" w:rsidR="005B1260" w:rsidRDefault="005B1260">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FB2D9E2" w14:textId="77777777" w:rsidR="005B1260" w:rsidRDefault="005B126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74E35" w14:paraId="45029B80" w14:textId="77777777">
        <w:trPr>
          <w:cantSplit/>
          <w:trHeight w:val="964"/>
        </w:trPr>
        <w:tc>
          <w:tcPr>
            <w:tcW w:w="1260" w:type="dxa"/>
            <w:shd w:val="clear" w:color="33CC33" w:fill="00FF00"/>
            <w:vAlign w:val="center"/>
          </w:tcPr>
          <w:p w14:paraId="5EDDCC41" w14:textId="77777777" w:rsidR="005B1260" w:rsidRDefault="005B1260">
            <w:pPr>
              <w:spacing w:before="60" w:after="60"/>
              <w:rPr>
                <w:rFonts w:eastAsia="Calibri"/>
                <w:szCs w:val="24"/>
              </w:rPr>
            </w:pPr>
          </w:p>
        </w:tc>
        <w:tc>
          <w:tcPr>
            <w:tcW w:w="7095" w:type="dxa"/>
            <w:shd w:val="clear" w:color="auto" w:fill="auto"/>
            <w:vAlign w:val="center"/>
          </w:tcPr>
          <w:p w14:paraId="7DF1D3F8" w14:textId="77777777" w:rsidR="005B1260" w:rsidRDefault="005B126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15DC2AF" w14:textId="77777777" w:rsidR="005B1260" w:rsidRDefault="005B1260">
            <w:pPr>
              <w:spacing w:before="60" w:after="60"/>
              <w:ind w:left="50"/>
              <w:rPr>
                <w:rFonts w:eastAsia="Calibri"/>
                <w:szCs w:val="24"/>
              </w:rPr>
            </w:pPr>
            <w:r w:rsidRPr="00FB778F">
              <w:rPr>
                <w:rFonts w:eastAsia="Calibri"/>
                <w:szCs w:val="24"/>
              </w:rPr>
              <w:t>Subsections applicable to this service fully attained</w:t>
            </w:r>
          </w:p>
        </w:tc>
      </w:tr>
      <w:tr w:rsidR="00F74E35" w14:paraId="2EAD919C" w14:textId="77777777">
        <w:trPr>
          <w:cantSplit/>
          <w:trHeight w:val="964"/>
        </w:trPr>
        <w:tc>
          <w:tcPr>
            <w:tcW w:w="1260" w:type="dxa"/>
            <w:tcBorders>
              <w:bottom w:val="single" w:sz="4" w:space="0" w:color="000000"/>
            </w:tcBorders>
            <w:shd w:val="clear" w:color="auto" w:fill="FFFF00"/>
            <w:vAlign w:val="center"/>
          </w:tcPr>
          <w:p w14:paraId="101454DF" w14:textId="77777777" w:rsidR="005B1260" w:rsidRDefault="005B1260">
            <w:pPr>
              <w:spacing w:before="60" w:after="60"/>
              <w:rPr>
                <w:rFonts w:eastAsia="Calibri"/>
                <w:szCs w:val="24"/>
              </w:rPr>
            </w:pPr>
          </w:p>
        </w:tc>
        <w:tc>
          <w:tcPr>
            <w:tcW w:w="7095" w:type="dxa"/>
            <w:shd w:val="clear" w:color="auto" w:fill="auto"/>
            <w:vAlign w:val="center"/>
          </w:tcPr>
          <w:p w14:paraId="77089A8B" w14:textId="77777777" w:rsidR="005B1260" w:rsidRDefault="005B1260">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01DB4CB" w14:textId="77777777" w:rsidR="005B1260" w:rsidRDefault="005B1260">
            <w:pPr>
              <w:spacing w:before="60" w:after="60"/>
              <w:ind w:left="50"/>
              <w:rPr>
                <w:rFonts w:eastAsia="Calibri"/>
                <w:szCs w:val="24"/>
              </w:rPr>
            </w:pPr>
            <w:r w:rsidRPr="00FB778F">
              <w:rPr>
                <w:rFonts w:eastAsia="Calibri"/>
                <w:szCs w:val="24"/>
              </w:rPr>
              <w:t>Some subsections applicable to this service partially attained and of low risk</w:t>
            </w:r>
          </w:p>
        </w:tc>
      </w:tr>
      <w:tr w:rsidR="00F74E35" w14:paraId="6009E614" w14:textId="77777777">
        <w:trPr>
          <w:cantSplit/>
          <w:trHeight w:val="964"/>
        </w:trPr>
        <w:tc>
          <w:tcPr>
            <w:tcW w:w="1260" w:type="dxa"/>
            <w:tcBorders>
              <w:bottom w:val="single" w:sz="4" w:space="0" w:color="000000"/>
            </w:tcBorders>
            <w:shd w:val="clear" w:color="auto" w:fill="FFC800"/>
            <w:vAlign w:val="center"/>
          </w:tcPr>
          <w:p w14:paraId="53B7DA8C" w14:textId="77777777" w:rsidR="005B1260" w:rsidRDefault="005B1260">
            <w:pPr>
              <w:spacing w:before="60" w:after="60"/>
              <w:rPr>
                <w:rFonts w:eastAsia="Calibri"/>
                <w:szCs w:val="24"/>
              </w:rPr>
            </w:pPr>
          </w:p>
        </w:tc>
        <w:tc>
          <w:tcPr>
            <w:tcW w:w="7095" w:type="dxa"/>
            <w:tcBorders>
              <w:bottom w:val="single" w:sz="4" w:space="0" w:color="000000"/>
            </w:tcBorders>
            <w:shd w:val="clear" w:color="auto" w:fill="auto"/>
            <w:vAlign w:val="center"/>
          </w:tcPr>
          <w:p w14:paraId="4F4814A2" w14:textId="77777777" w:rsidR="005B1260" w:rsidRDefault="005B126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B4C7AA6" w14:textId="77777777" w:rsidR="005B1260" w:rsidRDefault="005B126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74E35" w14:paraId="7B629C53" w14:textId="77777777">
        <w:trPr>
          <w:cantSplit/>
          <w:trHeight w:val="964"/>
        </w:trPr>
        <w:tc>
          <w:tcPr>
            <w:tcW w:w="1260" w:type="dxa"/>
            <w:shd w:val="clear" w:color="auto" w:fill="FF0000"/>
            <w:vAlign w:val="center"/>
          </w:tcPr>
          <w:p w14:paraId="76CC7ACF" w14:textId="77777777" w:rsidR="005B1260" w:rsidRDefault="005B1260">
            <w:pPr>
              <w:spacing w:before="60" w:after="60"/>
              <w:rPr>
                <w:rFonts w:eastAsia="Calibri"/>
                <w:szCs w:val="24"/>
              </w:rPr>
            </w:pPr>
          </w:p>
        </w:tc>
        <w:tc>
          <w:tcPr>
            <w:tcW w:w="7095" w:type="dxa"/>
            <w:shd w:val="clear" w:color="auto" w:fill="auto"/>
            <w:vAlign w:val="center"/>
          </w:tcPr>
          <w:p w14:paraId="1D904678" w14:textId="77777777" w:rsidR="005B1260" w:rsidRDefault="005B126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2EC3964" w14:textId="77777777" w:rsidR="005B1260" w:rsidRDefault="005B126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11404AE" w14:textId="77777777" w:rsidR="005B1260" w:rsidRDefault="005B1260">
      <w:pPr>
        <w:pStyle w:val="Heading2"/>
        <w:spacing w:after="0"/>
        <w:rPr>
          <w:rFonts w:cs="Arial"/>
        </w:rPr>
      </w:pPr>
      <w:r>
        <w:rPr>
          <w:rFonts w:cs="Arial"/>
        </w:rPr>
        <w:t>General overview of the audit</w:t>
      </w:r>
    </w:p>
    <w:p w14:paraId="480449AC" w14:textId="77777777" w:rsidR="005B1260" w:rsidRDefault="005B1260">
      <w:pPr>
        <w:spacing w:before="240" w:line="276" w:lineRule="auto"/>
        <w:rPr>
          <w:rFonts w:eastAsia="Calibri"/>
        </w:rPr>
      </w:pPr>
      <w:bookmarkStart w:id="13" w:name="GeneralOverview"/>
      <w:r w:rsidRPr="00A4268A">
        <w:rPr>
          <w:rFonts w:eastAsia="Calibri"/>
        </w:rPr>
        <w:t xml:space="preserve">Enliven Castlewood is part of the Presbyterian Support Otago (PSO) organisation. Enliven Castlewood is one of nine aged care facilities managed by PSO. The service is certified to </w:t>
      </w:r>
      <w:r w:rsidRPr="00A4268A">
        <w:rPr>
          <w:rFonts w:eastAsia="Calibri"/>
        </w:rPr>
        <w:t>provide rest home level care for up to 21 residents. On the day of the audit, there were 17 residents.</w:t>
      </w:r>
    </w:p>
    <w:p w14:paraId="678B29BE" w14:textId="77777777" w:rsidR="00F74E35" w:rsidRPr="00A4268A" w:rsidRDefault="005B1260">
      <w:pPr>
        <w:spacing w:before="240" w:line="276" w:lineRule="auto"/>
        <w:rPr>
          <w:rFonts w:eastAsia="Calibri"/>
        </w:rPr>
      </w:pPr>
      <w:r w:rsidRPr="00A4268A">
        <w:rPr>
          <w:rFonts w:eastAsia="Calibri"/>
        </w:rPr>
        <w:t>This surveillance audit was conducted against a subset of the Ngā Paerewa Health and Disability Services Standard 2021 and contracts with Health New Zealand Te Whatu Ora. The audit process included the review of policies and procedures, the review of residents and staff files, observations, and interviews with residents, families/whānau, management, staff, and a general practitioner.</w:t>
      </w:r>
    </w:p>
    <w:p w14:paraId="60CD4B31" w14:textId="77777777" w:rsidR="00F74E35" w:rsidRPr="00A4268A" w:rsidRDefault="005B1260">
      <w:pPr>
        <w:spacing w:before="240" w:line="276" w:lineRule="auto"/>
        <w:rPr>
          <w:rFonts w:eastAsia="Calibri"/>
        </w:rPr>
      </w:pPr>
      <w:r w:rsidRPr="00A4268A">
        <w:rPr>
          <w:rFonts w:eastAsia="Calibri"/>
        </w:rPr>
        <w:t>The facility manager is appropriately qualified and experienced, they are available onsite two mornings per week. A full-time registered nurse works Monday to Friday at Enliven Castlewood There are quality systems and processes being implemented. Feedback from residents and families/whānau was very positive about the care and the services provided. An induction and orientation programme is in place to provide new staff with appropriate knowledge and skills to deliver care. An ongoing in-service education pr</w:t>
      </w:r>
      <w:r w:rsidRPr="00A4268A">
        <w:rPr>
          <w:rFonts w:eastAsia="Calibri"/>
        </w:rPr>
        <w:t>ogramme is in place.</w:t>
      </w:r>
    </w:p>
    <w:p w14:paraId="3ECA8997" w14:textId="77777777" w:rsidR="00F74E35" w:rsidRPr="00A4268A" w:rsidRDefault="005B1260">
      <w:pPr>
        <w:spacing w:before="240" w:line="276" w:lineRule="auto"/>
        <w:rPr>
          <w:rFonts w:eastAsia="Calibri"/>
        </w:rPr>
      </w:pPr>
      <w:r w:rsidRPr="00A4268A">
        <w:rPr>
          <w:rFonts w:eastAsia="Calibri"/>
        </w:rPr>
        <w:t xml:space="preserve">There were areas for improvement identified at the previous certification audit which included links with iwi and other Māori organisations and training in relation to cultural safety, te reo Māori, and Te Tiriti o Waitangi. Both areas have been addressed in this audit. </w:t>
      </w:r>
    </w:p>
    <w:p w14:paraId="7B0D4A2E" w14:textId="77777777" w:rsidR="00F74E35" w:rsidRPr="00A4268A" w:rsidRDefault="005B1260">
      <w:pPr>
        <w:spacing w:before="240" w:line="276" w:lineRule="auto"/>
        <w:rPr>
          <w:rFonts w:eastAsia="Calibri"/>
        </w:rPr>
      </w:pPr>
      <w:r w:rsidRPr="00A4268A">
        <w:rPr>
          <w:rFonts w:eastAsia="Calibri"/>
        </w:rPr>
        <w:lastRenderedPageBreak/>
        <w:t>This surveillance audit identified shortfalls around registered nurse recordings in progress notes and temperature monitoring of the lunch time meal.</w:t>
      </w:r>
    </w:p>
    <w:bookmarkEnd w:id="13"/>
    <w:p w14:paraId="47E3CF3B" w14:textId="77777777" w:rsidR="00F74E35" w:rsidRPr="00A4268A" w:rsidRDefault="00F74E35">
      <w:pPr>
        <w:spacing w:before="240" w:line="276" w:lineRule="auto"/>
        <w:rPr>
          <w:rFonts w:eastAsia="Calibri"/>
        </w:rPr>
      </w:pPr>
    </w:p>
    <w:p w14:paraId="0991E27A" w14:textId="77777777" w:rsidR="005B1260" w:rsidRDefault="005B126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4E35" w14:paraId="010D6C0F" w14:textId="77777777" w:rsidTr="00A4268A">
        <w:trPr>
          <w:cantSplit/>
        </w:trPr>
        <w:tc>
          <w:tcPr>
            <w:tcW w:w="10206" w:type="dxa"/>
            <w:vAlign w:val="center"/>
          </w:tcPr>
          <w:p w14:paraId="3CAA2635" w14:textId="77777777" w:rsidR="005B1260" w:rsidRPr="00FB778F" w:rsidRDefault="005B126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6888875" w14:textId="77777777" w:rsidR="005B1260" w:rsidRPr="00621629" w:rsidRDefault="005B126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E7DC1A" w14:textId="77777777" w:rsidR="005B1260" w:rsidRPr="00621629" w:rsidRDefault="005B126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F3A4FE" w14:textId="77777777" w:rsidR="005B1260" w:rsidRPr="00621629" w:rsidRDefault="005B1260" w:rsidP="008F3634">
            <w:pPr>
              <w:spacing w:before="60" w:after="60" w:line="276" w:lineRule="auto"/>
              <w:rPr>
                <w:rFonts w:eastAsia="Calibri"/>
              </w:rPr>
            </w:pPr>
            <w:bookmarkStart w:id="15" w:name="IndicatorDescription1_1"/>
            <w:bookmarkEnd w:id="15"/>
            <w:r>
              <w:t>Subsections applicable to this service fully attained.</w:t>
            </w:r>
          </w:p>
        </w:tc>
      </w:tr>
    </w:tbl>
    <w:p w14:paraId="7AF72F5F" w14:textId="77777777" w:rsidR="005B1260" w:rsidRDefault="005B1260">
      <w:pPr>
        <w:spacing w:before="240" w:line="276" w:lineRule="auto"/>
        <w:rPr>
          <w:rFonts w:eastAsia="Calibri"/>
        </w:rPr>
      </w:pPr>
      <w:bookmarkStart w:id="16" w:name="ConsumerRights"/>
      <w:r w:rsidRPr="00A4268A">
        <w:rPr>
          <w:rFonts w:eastAsia="Calibri"/>
        </w:rPr>
        <w:t xml:space="preserve">Details relating to the Health and Disability Commissioner’s Code of Health and Disability Services Consumers Rights is included in the information packs given to new or </w:t>
      </w:r>
      <w:r w:rsidRPr="00A4268A">
        <w:rPr>
          <w:rFonts w:eastAsia="Calibri"/>
        </w:rPr>
        <w:t>potential residents and families/whānau. The organisation has a documented Pacific health plan. The rights of the resident and/or their families/whānau to make a complaint is understood, respected, and upheld by the service. Complaints processes are implemented, and complaints and concerns are actively managed and well-documented. Enliven Castlewood provides an environment that supports residents’ rights and safe care. Staff demonstrated an understanding of residents' rights and obligations.</w:t>
      </w:r>
    </w:p>
    <w:bookmarkEnd w:id="16"/>
    <w:p w14:paraId="77E14AFE" w14:textId="77777777" w:rsidR="00F74E35" w:rsidRPr="00A4268A" w:rsidRDefault="00F74E35">
      <w:pPr>
        <w:spacing w:before="240" w:line="276" w:lineRule="auto"/>
        <w:rPr>
          <w:rFonts w:eastAsia="Calibri"/>
        </w:rPr>
      </w:pPr>
    </w:p>
    <w:p w14:paraId="1906E4D7" w14:textId="77777777" w:rsidR="005B1260" w:rsidRDefault="005B126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4E35" w14:paraId="23C28D59" w14:textId="77777777" w:rsidTr="00A4268A">
        <w:trPr>
          <w:cantSplit/>
        </w:trPr>
        <w:tc>
          <w:tcPr>
            <w:tcW w:w="10206" w:type="dxa"/>
            <w:vAlign w:val="center"/>
          </w:tcPr>
          <w:p w14:paraId="3885DB9B" w14:textId="77777777" w:rsidR="005B1260" w:rsidRPr="00621629" w:rsidRDefault="005B126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469870" w14:textId="77777777" w:rsidR="005B1260" w:rsidRPr="00621629" w:rsidRDefault="005B126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952ACF8" w14:textId="77777777" w:rsidR="005B1260" w:rsidRPr="00621629" w:rsidRDefault="005B1260" w:rsidP="00621629">
            <w:pPr>
              <w:spacing w:before="60" w:after="60" w:line="276" w:lineRule="auto"/>
              <w:rPr>
                <w:rFonts w:eastAsia="Calibri"/>
              </w:rPr>
            </w:pPr>
            <w:bookmarkStart w:id="18" w:name="IndicatorDescription1_2"/>
            <w:bookmarkEnd w:id="18"/>
            <w:r>
              <w:t>Subsections applicable to this service fully attained.</w:t>
            </w:r>
          </w:p>
        </w:tc>
      </w:tr>
    </w:tbl>
    <w:p w14:paraId="79B56559" w14:textId="77777777" w:rsidR="005B1260" w:rsidRDefault="005B1260">
      <w:pPr>
        <w:spacing w:before="240" w:line="276" w:lineRule="auto"/>
        <w:rPr>
          <w:rFonts w:eastAsia="Calibri"/>
        </w:rPr>
      </w:pPr>
      <w:bookmarkStart w:id="19" w:name="OrganisationalManagement"/>
      <w:r w:rsidRPr="00A4268A">
        <w:rPr>
          <w:rFonts w:eastAsia="Calibri"/>
        </w:rPr>
        <w:t xml:space="preserve">The strategic and quality improvement plans include a mission statement and operational/quality objectives. The service has effective quality and risk management systems in place that take a risk-based approach, and these systems meet the needs of residents and their staff. An annual resident/relative satisfaction survey is completed. Quality improvement initiatives are implemented, which provide evidence of improved services for residents. The service has an induction programme in place that </w:t>
      </w:r>
      <w:r w:rsidRPr="00A4268A">
        <w:rPr>
          <w:rFonts w:eastAsia="Calibri"/>
        </w:rPr>
        <w:lastRenderedPageBreak/>
        <w:t>provides new staff with relevant information for safe work practice. Residents and families/whānau reported that staffing levels are adequate to meet the needs of the residents.</w:t>
      </w:r>
    </w:p>
    <w:bookmarkEnd w:id="19"/>
    <w:p w14:paraId="3EFDF541" w14:textId="77777777" w:rsidR="00F74E35" w:rsidRPr="00A4268A" w:rsidRDefault="00F74E35">
      <w:pPr>
        <w:spacing w:before="240" w:line="276" w:lineRule="auto"/>
        <w:rPr>
          <w:rFonts w:eastAsia="Calibri"/>
        </w:rPr>
      </w:pPr>
    </w:p>
    <w:p w14:paraId="2FB68413" w14:textId="77777777" w:rsidR="005B1260" w:rsidRDefault="005B126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4E35" w14:paraId="29589D09" w14:textId="77777777" w:rsidTr="00A4268A">
        <w:trPr>
          <w:cantSplit/>
        </w:trPr>
        <w:tc>
          <w:tcPr>
            <w:tcW w:w="10206" w:type="dxa"/>
            <w:vAlign w:val="center"/>
          </w:tcPr>
          <w:p w14:paraId="07F58EFE" w14:textId="77777777" w:rsidR="005B1260" w:rsidRPr="00621629" w:rsidRDefault="005B126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27B61B0" w14:textId="77777777" w:rsidR="005B1260" w:rsidRPr="00621629" w:rsidRDefault="005B126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5F9EB8" w14:textId="77777777" w:rsidR="005B1260" w:rsidRPr="00621629" w:rsidRDefault="005B126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78D31D8" w14:textId="77777777" w:rsidR="005B1260" w:rsidRPr="005E14A4" w:rsidRDefault="005B1260" w:rsidP="00621629">
      <w:pPr>
        <w:spacing w:before="240" w:line="276" w:lineRule="auto"/>
        <w:rPr>
          <w:rFonts w:eastAsia="Calibri"/>
        </w:rPr>
      </w:pPr>
      <w:bookmarkStart w:id="22" w:name="ContinuumOfServiceDelivery"/>
      <w:r w:rsidRPr="00A4268A">
        <w:rPr>
          <w:rFonts w:eastAsia="Calibri"/>
        </w:rPr>
        <w:t xml:space="preserve">Registered nurses assess, plan and review residents' needs, outcomes, and goals with the resident and/or families/whānau input. Care plans demonstrate service integration and are reviewed at least six-monthly. Resident files included medical notes by the contracted general practitioner and visiting allied health professionals. </w:t>
      </w:r>
    </w:p>
    <w:p w14:paraId="0EBE1891" w14:textId="77777777" w:rsidR="00F74E35" w:rsidRPr="00A4268A" w:rsidRDefault="005B126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2DC13823" w14:textId="77777777" w:rsidR="00F74E35" w:rsidRPr="00A4268A" w:rsidRDefault="005B1260" w:rsidP="00621629">
      <w:pPr>
        <w:spacing w:before="240" w:line="276" w:lineRule="auto"/>
        <w:rPr>
          <w:rFonts w:eastAsia="Calibri"/>
        </w:rPr>
      </w:pPr>
      <w:r w:rsidRPr="00A4268A">
        <w:rPr>
          <w:rFonts w:eastAsia="Calibri"/>
        </w:rPr>
        <w:t xml:space="preserve">Individual preferences and cultural dietary needs are accommodated. Residents interviewed responded favourably to the food that is provided. </w:t>
      </w:r>
    </w:p>
    <w:bookmarkEnd w:id="22"/>
    <w:p w14:paraId="689358CD" w14:textId="77777777" w:rsidR="00F74E35" w:rsidRPr="00A4268A" w:rsidRDefault="00F74E35" w:rsidP="00621629">
      <w:pPr>
        <w:spacing w:before="240" w:line="276" w:lineRule="auto"/>
        <w:rPr>
          <w:rFonts w:eastAsia="Calibri"/>
        </w:rPr>
      </w:pPr>
    </w:p>
    <w:p w14:paraId="77C29240" w14:textId="77777777" w:rsidR="005B1260" w:rsidRDefault="005B126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4E35" w14:paraId="5C6976FE" w14:textId="77777777" w:rsidTr="00A4268A">
        <w:trPr>
          <w:cantSplit/>
        </w:trPr>
        <w:tc>
          <w:tcPr>
            <w:tcW w:w="10206" w:type="dxa"/>
            <w:vAlign w:val="center"/>
          </w:tcPr>
          <w:p w14:paraId="7E71A306" w14:textId="77777777" w:rsidR="005B1260" w:rsidRPr="00621629" w:rsidRDefault="005B126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8880E18" w14:textId="77777777" w:rsidR="005B1260" w:rsidRPr="00621629" w:rsidRDefault="005B126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691A4BB" w14:textId="77777777" w:rsidR="005B1260" w:rsidRPr="00621629" w:rsidRDefault="005B1260" w:rsidP="00621629">
            <w:pPr>
              <w:spacing w:before="60" w:after="60" w:line="276" w:lineRule="auto"/>
              <w:rPr>
                <w:rFonts w:eastAsia="Calibri"/>
              </w:rPr>
            </w:pPr>
            <w:bookmarkStart w:id="24" w:name="IndicatorDescription1_4"/>
            <w:bookmarkEnd w:id="24"/>
            <w:r>
              <w:t>Subsections applicable to this service fully attained.</w:t>
            </w:r>
          </w:p>
        </w:tc>
      </w:tr>
    </w:tbl>
    <w:p w14:paraId="5506DF0A" w14:textId="77777777" w:rsidR="005B1260" w:rsidRDefault="005B1260">
      <w:pPr>
        <w:spacing w:before="240" w:line="276" w:lineRule="auto"/>
        <w:rPr>
          <w:rFonts w:eastAsia="Calibri"/>
        </w:rPr>
      </w:pPr>
      <w:bookmarkStart w:id="25" w:name="SafeAndAppropriateEnvironment"/>
      <w:r w:rsidRPr="00A4268A">
        <w:rPr>
          <w:rFonts w:eastAsia="Calibri"/>
        </w:rPr>
        <w:lastRenderedPageBreak/>
        <w:t xml:space="preserve">The building holds a current building warrant of fitness. Electrical equipment has been tested and tagged. All medical equipment and all hoists have been serviced and calibrated. </w:t>
      </w:r>
    </w:p>
    <w:bookmarkEnd w:id="25"/>
    <w:p w14:paraId="03A76AA3" w14:textId="77777777" w:rsidR="00F74E35" w:rsidRPr="00A4268A" w:rsidRDefault="00F74E35">
      <w:pPr>
        <w:spacing w:before="240" w:line="276" w:lineRule="auto"/>
        <w:rPr>
          <w:rFonts w:eastAsia="Calibri"/>
        </w:rPr>
      </w:pPr>
    </w:p>
    <w:p w14:paraId="48B2A730" w14:textId="77777777" w:rsidR="005B1260" w:rsidRDefault="005B126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4E35" w14:paraId="2DF2D258" w14:textId="77777777" w:rsidTr="00A4268A">
        <w:trPr>
          <w:cantSplit/>
        </w:trPr>
        <w:tc>
          <w:tcPr>
            <w:tcW w:w="10206" w:type="dxa"/>
            <w:vAlign w:val="center"/>
          </w:tcPr>
          <w:p w14:paraId="08C4AA37" w14:textId="77777777" w:rsidR="005B1260" w:rsidRPr="00621629" w:rsidRDefault="005B126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BC2C848" w14:textId="77777777" w:rsidR="005B1260" w:rsidRPr="00621629" w:rsidRDefault="005B126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A8A7D38" w14:textId="77777777" w:rsidR="005B1260" w:rsidRPr="00621629" w:rsidRDefault="005B1260" w:rsidP="00621629">
            <w:pPr>
              <w:spacing w:before="60" w:after="60" w:line="276" w:lineRule="auto"/>
              <w:rPr>
                <w:rFonts w:eastAsia="Calibri"/>
              </w:rPr>
            </w:pPr>
            <w:bookmarkStart w:id="27" w:name="IndicatorDescription2"/>
            <w:bookmarkEnd w:id="27"/>
            <w:r>
              <w:t>Subsections applicable to this service fully attained.</w:t>
            </w:r>
          </w:p>
        </w:tc>
      </w:tr>
    </w:tbl>
    <w:p w14:paraId="577C3D54" w14:textId="77777777" w:rsidR="005B1260" w:rsidRDefault="005B1260">
      <w:pPr>
        <w:spacing w:before="240" w:line="276" w:lineRule="auto"/>
        <w:rPr>
          <w:rFonts w:eastAsia="Calibri"/>
        </w:rPr>
      </w:pPr>
      <w:bookmarkStart w:id="28" w:name="RestraintMinimisationAndSafePractice"/>
      <w:r w:rsidRPr="00A4268A">
        <w:rPr>
          <w:rFonts w:eastAsia="Calibri"/>
        </w:rPr>
        <w:t xml:space="preserve">The infection control programme links to the quality programme and is reviewed annually. Staff receive education related to the policies and pandemic plan. </w:t>
      </w:r>
    </w:p>
    <w:p w14:paraId="5449A4AB" w14:textId="77777777" w:rsidR="00F74E35" w:rsidRPr="00A4268A" w:rsidRDefault="005B1260">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Staff are informed about infection control practices through meetings, and education sessions. There have been no outbreaks reported since the previous audit.</w:t>
      </w:r>
    </w:p>
    <w:bookmarkEnd w:id="28"/>
    <w:p w14:paraId="283F1634" w14:textId="77777777" w:rsidR="00F74E35" w:rsidRPr="00A4268A" w:rsidRDefault="00F74E35">
      <w:pPr>
        <w:spacing w:before="240" w:line="276" w:lineRule="auto"/>
        <w:rPr>
          <w:rFonts w:eastAsia="Calibri"/>
        </w:rPr>
      </w:pPr>
    </w:p>
    <w:p w14:paraId="174399D1" w14:textId="77777777" w:rsidR="005B1260" w:rsidRDefault="005B126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4E35" w14:paraId="7D214974" w14:textId="77777777" w:rsidTr="00A4268A">
        <w:trPr>
          <w:cantSplit/>
        </w:trPr>
        <w:tc>
          <w:tcPr>
            <w:tcW w:w="10206" w:type="dxa"/>
            <w:vAlign w:val="center"/>
          </w:tcPr>
          <w:p w14:paraId="1770A0FF" w14:textId="77777777" w:rsidR="005B1260" w:rsidRPr="00621629" w:rsidRDefault="005B126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DD27B5" w14:textId="77777777" w:rsidR="005B1260" w:rsidRPr="00621629" w:rsidRDefault="005B126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D49391F" w14:textId="77777777" w:rsidR="005B1260" w:rsidRPr="00621629" w:rsidRDefault="005B1260" w:rsidP="00621629">
            <w:pPr>
              <w:spacing w:before="60" w:after="60" w:line="276" w:lineRule="auto"/>
              <w:rPr>
                <w:rFonts w:eastAsia="Calibri"/>
              </w:rPr>
            </w:pPr>
            <w:bookmarkStart w:id="30" w:name="IndicatorDescription3"/>
            <w:bookmarkEnd w:id="30"/>
            <w:r>
              <w:t>Subsections applicable to this service fully attained.</w:t>
            </w:r>
          </w:p>
        </w:tc>
      </w:tr>
    </w:tbl>
    <w:p w14:paraId="010BD643" w14:textId="77777777" w:rsidR="005B1260" w:rsidRDefault="005B1260">
      <w:pPr>
        <w:spacing w:before="240" w:line="276" w:lineRule="auto"/>
        <w:rPr>
          <w:rFonts w:eastAsia="Calibri"/>
        </w:rPr>
      </w:pPr>
      <w:bookmarkStart w:id="31" w:name="InfectionPreventionAndControl"/>
      <w:r w:rsidRPr="00A4268A">
        <w:rPr>
          <w:rFonts w:eastAsia="Calibri"/>
        </w:rPr>
        <w:lastRenderedPageBreak/>
        <w:t xml:space="preserve">There were no residents using restraint on the days of audit. Restraint is included as part of the education and training plan. There is </w:t>
      </w:r>
      <w:r w:rsidRPr="00A4268A">
        <w:rPr>
          <w:rFonts w:eastAsia="Calibri"/>
        </w:rPr>
        <w:t>governance commitment to work towards a restraint-free environment. Education is provided to staff around restraint minimisation.</w:t>
      </w:r>
    </w:p>
    <w:bookmarkEnd w:id="31"/>
    <w:p w14:paraId="3E278A34" w14:textId="77777777" w:rsidR="00F74E35" w:rsidRPr="00A4268A" w:rsidRDefault="00F74E35">
      <w:pPr>
        <w:spacing w:before="240" w:line="276" w:lineRule="auto"/>
        <w:rPr>
          <w:rFonts w:eastAsia="Calibri"/>
        </w:rPr>
      </w:pPr>
    </w:p>
    <w:p w14:paraId="0DEDB9C6" w14:textId="77777777" w:rsidR="005B1260" w:rsidRDefault="005B1260" w:rsidP="000E6E02">
      <w:pPr>
        <w:pStyle w:val="Heading2"/>
        <w:spacing w:before="0"/>
        <w:rPr>
          <w:rFonts w:cs="Arial"/>
        </w:rPr>
      </w:pPr>
      <w:r>
        <w:rPr>
          <w:rFonts w:cs="Arial"/>
        </w:rPr>
        <w:t>Summary of attainment</w:t>
      </w:r>
    </w:p>
    <w:p w14:paraId="73FC8771" w14:textId="77777777" w:rsidR="005B1260" w:rsidRDefault="005B126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4E35" w14:paraId="62BCEBE8" w14:textId="77777777">
        <w:tc>
          <w:tcPr>
            <w:tcW w:w="1384" w:type="dxa"/>
            <w:vAlign w:val="center"/>
          </w:tcPr>
          <w:p w14:paraId="39E4E1D4" w14:textId="77777777" w:rsidR="005B1260" w:rsidRDefault="005B1260">
            <w:pPr>
              <w:keepNext/>
              <w:spacing w:before="60" w:after="60"/>
              <w:rPr>
                <w:rFonts w:cs="Arial"/>
                <w:b/>
                <w:sz w:val="20"/>
                <w:szCs w:val="20"/>
              </w:rPr>
            </w:pPr>
            <w:r>
              <w:rPr>
                <w:rFonts w:cs="Arial"/>
                <w:b/>
                <w:sz w:val="20"/>
                <w:szCs w:val="20"/>
              </w:rPr>
              <w:t>Attainment Rating</w:t>
            </w:r>
          </w:p>
        </w:tc>
        <w:tc>
          <w:tcPr>
            <w:tcW w:w="1701" w:type="dxa"/>
            <w:vAlign w:val="center"/>
          </w:tcPr>
          <w:p w14:paraId="1CB84B86" w14:textId="77777777" w:rsidR="005B1260" w:rsidRDefault="005B1260">
            <w:pPr>
              <w:keepNext/>
              <w:spacing w:before="60" w:after="60"/>
              <w:jc w:val="center"/>
              <w:rPr>
                <w:rFonts w:cs="Arial"/>
                <w:b/>
                <w:sz w:val="20"/>
                <w:szCs w:val="20"/>
              </w:rPr>
            </w:pPr>
            <w:r>
              <w:rPr>
                <w:rFonts w:cs="Arial"/>
                <w:b/>
                <w:sz w:val="20"/>
                <w:szCs w:val="20"/>
              </w:rPr>
              <w:t>Continuous Improvement</w:t>
            </w:r>
          </w:p>
          <w:p w14:paraId="65360E6C" w14:textId="77777777" w:rsidR="005B1260" w:rsidRDefault="005B1260">
            <w:pPr>
              <w:keepNext/>
              <w:spacing w:before="60" w:after="60"/>
              <w:jc w:val="center"/>
              <w:rPr>
                <w:rFonts w:cs="Arial"/>
                <w:b/>
                <w:sz w:val="20"/>
                <w:szCs w:val="20"/>
              </w:rPr>
            </w:pPr>
            <w:r>
              <w:rPr>
                <w:rFonts w:cs="Arial"/>
                <w:b/>
                <w:sz w:val="20"/>
                <w:szCs w:val="20"/>
              </w:rPr>
              <w:t>(CI)</w:t>
            </w:r>
          </w:p>
        </w:tc>
        <w:tc>
          <w:tcPr>
            <w:tcW w:w="1843" w:type="dxa"/>
            <w:vAlign w:val="center"/>
          </w:tcPr>
          <w:p w14:paraId="65D42EA8" w14:textId="77777777" w:rsidR="005B1260" w:rsidRDefault="005B1260">
            <w:pPr>
              <w:keepNext/>
              <w:spacing w:before="60" w:after="60"/>
              <w:jc w:val="center"/>
              <w:rPr>
                <w:rFonts w:cs="Arial"/>
                <w:b/>
                <w:sz w:val="20"/>
                <w:szCs w:val="20"/>
              </w:rPr>
            </w:pPr>
            <w:r>
              <w:rPr>
                <w:rFonts w:cs="Arial"/>
                <w:b/>
                <w:sz w:val="20"/>
                <w:szCs w:val="20"/>
              </w:rPr>
              <w:t>Fully Attained</w:t>
            </w:r>
          </w:p>
          <w:p w14:paraId="180ED2AD" w14:textId="77777777" w:rsidR="005B1260" w:rsidRDefault="005B1260">
            <w:pPr>
              <w:keepNext/>
              <w:spacing w:before="60" w:after="60"/>
              <w:jc w:val="center"/>
              <w:rPr>
                <w:rFonts w:cs="Arial"/>
                <w:b/>
                <w:sz w:val="20"/>
                <w:szCs w:val="20"/>
              </w:rPr>
            </w:pPr>
            <w:r>
              <w:rPr>
                <w:rFonts w:cs="Arial"/>
                <w:b/>
                <w:sz w:val="20"/>
                <w:szCs w:val="20"/>
              </w:rPr>
              <w:t>(FA)</w:t>
            </w:r>
          </w:p>
        </w:tc>
        <w:tc>
          <w:tcPr>
            <w:tcW w:w="1843" w:type="dxa"/>
            <w:vAlign w:val="center"/>
          </w:tcPr>
          <w:p w14:paraId="0BB5030E" w14:textId="77777777" w:rsidR="005B1260" w:rsidRDefault="005B1260">
            <w:pPr>
              <w:keepNext/>
              <w:spacing w:before="60" w:after="60"/>
              <w:jc w:val="center"/>
              <w:rPr>
                <w:rFonts w:cs="Arial"/>
                <w:b/>
                <w:sz w:val="20"/>
                <w:szCs w:val="20"/>
              </w:rPr>
            </w:pPr>
            <w:r>
              <w:rPr>
                <w:rFonts w:cs="Arial"/>
                <w:b/>
                <w:sz w:val="20"/>
                <w:szCs w:val="20"/>
              </w:rPr>
              <w:t>Partially Attained Negligible Risk</w:t>
            </w:r>
          </w:p>
          <w:p w14:paraId="3A42D926" w14:textId="77777777" w:rsidR="005B1260" w:rsidRDefault="005B1260">
            <w:pPr>
              <w:keepNext/>
              <w:spacing w:before="60" w:after="60"/>
              <w:jc w:val="center"/>
              <w:rPr>
                <w:rFonts w:cs="Arial"/>
                <w:b/>
                <w:sz w:val="20"/>
                <w:szCs w:val="20"/>
              </w:rPr>
            </w:pPr>
            <w:r>
              <w:rPr>
                <w:rFonts w:cs="Arial"/>
                <w:b/>
                <w:sz w:val="20"/>
                <w:szCs w:val="20"/>
              </w:rPr>
              <w:t>(PA Negligible)</w:t>
            </w:r>
          </w:p>
        </w:tc>
        <w:tc>
          <w:tcPr>
            <w:tcW w:w="1842" w:type="dxa"/>
            <w:vAlign w:val="center"/>
          </w:tcPr>
          <w:p w14:paraId="31914EF6" w14:textId="77777777" w:rsidR="005B1260" w:rsidRDefault="005B1260">
            <w:pPr>
              <w:keepNext/>
              <w:spacing w:before="60" w:after="60"/>
              <w:jc w:val="center"/>
              <w:rPr>
                <w:rFonts w:cs="Arial"/>
                <w:b/>
                <w:sz w:val="20"/>
                <w:szCs w:val="20"/>
              </w:rPr>
            </w:pPr>
            <w:r>
              <w:rPr>
                <w:rFonts w:cs="Arial"/>
                <w:b/>
                <w:sz w:val="20"/>
                <w:szCs w:val="20"/>
              </w:rPr>
              <w:t>Partially Attained Low Risk</w:t>
            </w:r>
          </w:p>
          <w:p w14:paraId="2E8F0A23" w14:textId="77777777" w:rsidR="005B1260" w:rsidRDefault="005B1260">
            <w:pPr>
              <w:keepNext/>
              <w:spacing w:before="60" w:after="60"/>
              <w:jc w:val="center"/>
              <w:rPr>
                <w:rFonts w:cs="Arial"/>
                <w:b/>
                <w:sz w:val="20"/>
                <w:szCs w:val="20"/>
              </w:rPr>
            </w:pPr>
            <w:r>
              <w:rPr>
                <w:rFonts w:cs="Arial"/>
                <w:b/>
                <w:sz w:val="20"/>
                <w:szCs w:val="20"/>
              </w:rPr>
              <w:t>(PA Low)</w:t>
            </w:r>
          </w:p>
        </w:tc>
        <w:tc>
          <w:tcPr>
            <w:tcW w:w="1843" w:type="dxa"/>
            <w:vAlign w:val="center"/>
          </w:tcPr>
          <w:p w14:paraId="4084A13A" w14:textId="77777777" w:rsidR="005B1260" w:rsidRDefault="005B1260">
            <w:pPr>
              <w:keepNext/>
              <w:spacing w:before="60" w:after="60"/>
              <w:jc w:val="center"/>
              <w:rPr>
                <w:rFonts w:cs="Arial"/>
                <w:b/>
                <w:sz w:val="20"/>
                <w:szCs w:val="20"/>
              </w:rPr>
            </w:pPr>
            <w:r>
              <w:rPr>
                <w:rFonts w:cs="Arial"/>
                <w:b/>
                <w:sz w:val="20"/>
                <w:szCs w:val="20"/>
              </w:rPr>
              <w:t>Partially Attained Moderate Risk</w:t>
            </w:r>
          </w:p>
          <w:p w14:paraId="3B2A16F8" w14:textId="77777777" w:rsidR="005B1260" w:rsidRDefault="005B1260">
            <w:pPr>
              <w:keepNext/>
              <w:spacing w:before="60" w:after="60"/>
              <w:jc w:val="center"/>
              <w:rPr>
                <w:rFonts w:cs="Arial"/>
                <w:b/>
                <w:sz w:val="20"/>
                <w:szCs w:val="20"/>
              </w:rPr>
            </w:pPr>
            <w:r>
              <w:rPr>
                <w:rFonts w:cs="Arial"/>
                <w:b/>
                <w:sz w:val="20"/>
                <w:szCs w:val="20"/>
              </w:rPr>
              <w:t>(PA Moderate)</w:t>
            </w:r>
          </w:p>
        </w:tc>
        <w:tc>
          <w:tcPr>
            <w:tcW w:w="1843" w:type="dxa"/>
            <w:vAlign w:val="center"/>
          </w:tcPr>
          <w:p w14:paraId="58C00D52" w14:textId="77777777" w:rsidR="005B1260" w:rsidRDefault="005B1260">
            <w:pPr>
              <w:keepNext/>
              <w:spacing w:before="60" w:after="60"/>
              <w:jc w:val="center"/>
              <w:rPr>
                <w:rFonts w:cs="Arial"/>
                <w:b/>
                <w:sz w:val="20"/>
                <w:szCs w:val="20"/>
              </w:rPr>
            </w:pPr>
            <w:r>
              <w:rPr>
                <w:rFonts w:cs="Arial"/>
                <w:b/>
                <w:sz w:val="20"/>
                <w:szCs w:val="20"/>
              </w:rPr>
              <w:t>Partially Attained High Risk</w:t>
            </w:r>
          </w:p>
          <w:p w14:paraId="5ACBEBD6" w14:textId="77777777" w:rsidR="005B1260" w:rsidRDefault="005B1260">
            <w:pPr>
              <w:keepNext/>
              <w:spacing w:before="60" w:after="60"/>
              <w:jc w:val="center"/>
              <w:rPr>
                <w:rFonts w:cs="Arial"/>
                <w:b/>
                <w:sz w:val="20"/>
                <w:szCs w:val="20"/>
              </w:rPr>
            </w:pPr>
            <w:r>
              <w:rPr>
                <w:rFonts w:cs="Arial"/>
                <w:b/>
                <w:sz w:val="20"/>
                <w:szCs w:val="20"/>
              </w:rPr>
              <w:t>(PA High)</w:t>
            </w:r>
          </w:p>
        </w:tc>
        <w:tc>
          <w:tcPr>
            <w:tcW w:w="1843" w:type="dxa"/>
            <w:vAlign w:val="center"/>
          </w:tcPr>
          <w:p w14:paraId="5C2363E8" w14:textId="77777777" w:rsidR="005B1260" w:rsidRDefault="005B1260">
            <w:pPr>
              <w:keepNext/>
              <w:spacing w:before="60" w:after="60"/>
              <w:jc w:val="center"/>
              <w:rPr>
                <w:rFonts w:cs="Arial"/>
                <w:b/>
                <w:sz w:val="20"/>
                <w:szCs w:val="20"/>
              </w:rPr>
            </w:pPr>
            <w:r>
              <w:rPr>
                <w:rFonts w:cs="Arial"/>
                <w:b/>
                <w:sz w:val="20"/>
                <w:szCs w:val="20"/>
              </w:rPr>
              <w:t>Partially Attained Critical Risk</w:t>
            </w:r>
          </w:p>
          <w:p w14:paraId="54BC9C16" w14:textId="77777777" w:rsidR="005B1260" w:rsidRDefault="005B1260">
            <w:pPr>
              <w:keepNext/>
              <w:spacing w:before="60" w:after="60"/>
              <w:jc w:val="center"/>
              <w:rPr>
                <w:rFonts w:cs="Arial"/>
                <w:b/>
                <w:sz w:val="20"/>
                <w:szCs w:val="20"/>
              </w:rPr>
            </w:pPr>
            <w:r>
              <w:rPr>
                <w:rFonts w:cs="Arial"/>
                <w:b/>
                <w:sz w:val="20"/>
                <w:szCs w:val="20"/>
              </w:rPr>
              <w:t>(PA Critical)</w:t>
            </w:r>
          </w:p>
        </w:tc>
      </w:tr>
      <w:tr w:rsidR="00F74E35" w14:paraId="10983720" w14:textId="77777777">
        <w:tc>
          <w:tcPr>
            <w:tcW w:w="1384" w:type="dxa"/>
            <w:vAlign w:val="center"/>
          </w:tcPr>
          <w:p w14:paraId="04B2FD0D" w14:textId="77777777" w:rsidR="005B1260" w:rsidRDefault="005B1260">
            <w:pPr>
              <w:keepNext/>
              <w:spacing w:before="60" w:after="60"/>
              <w:rPr>
                <w:rFonts w:cs="Arial"/>
                <w:b/>
                <w:sz w:val="20"/>
                <w:szCs w:val="20"/>
              </w:rPr>
            </w:pPr>
            <w:r>
              <w:rPr>
                <w:rFonts w:cs="Arial"/>
                <w:b/>
                <w:sz w:val="20"/>
                <w:szCs w:val="20"/>
              </w:rPr>
              <w:t>Subsection</w:t>
            </w:r>
          </w:p>
        </w:tc>
        <w:tc>
          <w:tcPr>
            <w:tcW w:w="1701" w:type="dxa"/>
            <w:vAlign w:val="center"/>
          </w:tcPr>
          <w:p w14:paraId="61A28010" w14:textId="77777777" w:rsidR="005B1260" w:rsidRDefault="005B126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217C353" w14:textId="77777777" w:rsidR="005B1260" w:rsidRDefault="005B126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54AD1500" w14:textId="77777777" w:rsidR="005B1260" w:rsidRDefault="005B126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F0B96A4" w14:textId="77777777" w:rsidR="005B1260" w:rsidRDefault="005B126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A9ECBCC" w14:textId="77777777" w:rsidR="005B1260" w:rsidRDefault="005B126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FD301E" w14:textId="77777777" w:rsidR="005B1260" w:rsidRDefault="005B126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2BD507" w14:textId="77777777" w:rsidR="005B1260" w:rsidRDefault="005B126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74E35" w14:paraId="02A74F59" w14:textId="77777777">
        <w:tc>
          <w:tcPr>
            <w:tcW w:w="1384" w:type="dxa"/>
            <w:vAlign w:val="center"/>
          </w:tcPr>
          <w:p w14:paraId="3A878856" w14:textId="77777777" w:rsidR="005B1260" w:rsidRDefault="005B1260">
            <w:pPr>
              <w:keepNext/>
              <w:spacing w:before="60" w:after="60"/>
              <w:rPr>
                <w:rFonts w:cs="Arial"/>
                <w:b/>
                <w:sz w:val="20"/>
                <w:szCs w:val="20"/>
              </w:rPr>
            </w:pPr>
            <w:r>
              <w:rPr>
                <w:rFonts w:cs="Arial"/>
                <w:b/>
                <w:sz w:val="20"/>
                <w:szCs w:val="20"/>
              </w:rPr>
              <w:t>Criteria</w:t>
            </w:r>
          </w:p>
        </w:tc>
        <w:tc>
          <w:tcPr>
            <w:tcW w:w="1701" w:type="dxa"/>
            <w:vAlign w:val="center"/>
          </w:tcPr>
          <w:p w14:paraId="7C86308B" w14:textId="77777777" w:rsidR="005B1260" w:rsidRDefault="005B126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3013484" w14:textId="77777777" w:rsidR="005B1260" w:rsidRDefault="005B126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04874B6" w14:textId="77777777" w:rsidR="005B1260" w:rsidRDefault="005B126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6B22BE8" w14:textId="77777777" w:rsidR="005B1260" w:rsidRDefault="005B126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C4B2930" w14:textId="77777777" w:rsidR="005B1260" w:rsidRDefault="005B126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A780255" w14:textId="77777777" w:rsidR="005B1260" w:rsidRDefault="005B126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8FE664C" w14:textId="77777777" w:rsidR="005B1260" w:rsidRDefault="005B126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9BC5B9" w14:textId="77777777" w:rsidR="005B1260" w:rsidRDefault="005B126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4E35" w14:paraId="21B3D954" w14:textId="77777777">
        <w:tc>
          <w:tcPr>
            <w:tcW w:w="1384" w:type="dxa"/>
            <w:vAlign w:val="center"/>
          </w:tcPr>
          <w:p w14:paraId="5DFD337B" w14:textId="77777777" w:rsidR="005B1260" w:rsidRDefault="005B1260">
            <w:pPr>
              <w:keepNext/>
              <w:spacing w:before="60" w:after="60"/>
              <w:rPr>
                <w:rFonts w:cs="Arial"/>
                <w:b/>
                <w:sz w:val="20"/>
                <w:szCs w:val="20"/>
              </w:rPr>
            </w:pPr>
            <w:r>
              <w:rPr>
                <w:rFonts w:cs="Arial"/>
                <w:b/>
                <w:sz w:val="20"/>
                <w:szCs w:val="20"/>
              </w:rPr>
              <w:t>Attainment Rating</w:t>
            </w:r>
          </w:p>
        </w:tc>
        <w:tc>
          <w:tcPr>
            <w:tcW w:w="1701" w:type="dxa"/>
            <w:vAlign w:val="center"/>
          </w:tcPr>
          <w:p w14:paraId="55ACEE64" w14:textId="77777777" w:rsidR="005B1260" w:rsidRDefault="005B1260">
            <w:pPr>
              <w:keepNext/>
              <w:spacing w:before="60" w:after="60"/>
              <w:jc w:val="center"/>
              <w:rPr>
                <w:rFonts w:cs="Arial"/>
                <w:b/>
                <w:sz w:val="20"/>
                <w:szCs w:val="20"/>
              </w:rPr>
            </w:pPr>
            <w:r>
              <w:rPr>
                <w:rFonts w:cs="Arial"/>
                <w:b/>
                <w:sz w:val="20"/>
                <w:szCs w:val="20"/>
              </w:rPr>
              <w:t>Unattained Negligible Risk</w:t>
            </w:r>
          </w:p>
          <w:p w14:paraId="66426411" w14:textId="77777777" w:rsidR="005B1260" w:rsidRDefault="005B1260">
            <w:pPr>
              <w:keepNext/>
              <w:spacing w:before="60" w:after="60"/>
              <w:jc w:val="center"/>
              <w:rPr>
                <w:rFonts w:cs="Arial"/>
                <w:b/>
                <w:sz w:val="20"/>
                <w:szCs w:val="20"/>
              </w:rPr>
            </w:pPr>
            <w:r>
              <w:rPr>
                <w:rFonts w:cs="Arial"/>
                <w:b/>
                <w:sz w:val="20"/>
                <w:szCs w:val="20"/>
              </w:rPr>
              <w:t>(UA Negligible)</w:t>
            </w:r>
          </w:p>
        </w:tc>
        <w:tc>
          <w:tcPr>
            <w:tcW w:w="1843" w:type="dxa"/>
            <w:vAlign w:val="center"/>
          </w:tcPr>
          <w:p w14:paraId="1C05D60A" w14:textId="77777777" w:rsidR="005B1260" w:rsidRDefault="005B1260">
            <w:pPr>
              <w:keepNext/>
              <w:spacing w:before="60" w:after="60"/>
              <w:jc w:val="center"/>
              <w:rPr>
                <w:rFonts w:cs="Arial"/>
                <w:b/>
                <w:sz w:val="20"/>
                <w:szCs w:val="20"/>
              </w:rPr>
            </w:pPr>
            <w:r>
              <w:rPr>
                <w:rFonts w:cs="Arial"/>
                <w:b/>
                <w:sz w:val="20"/>
                <w:szCs w:val="20"/>
              </w:rPr>
              <w:t>Unattained Low Risk</w:t>
            </w:r>
          </w:p>
          <w:p w14:paraId="26F10CC2" w14:textId="77777777" w:rsidR="005B1260" w:rsidRDefault="005B1260">
            <w:pPr>
              <w:keepNext/>
              <w:spacing w:before="60" w:after="60"/>
              <w:jc w:val="center"/>
              <w:rPr>
                <w:rFonts w:cs="Arial"/>
                <w:b/>
                <w:sz w:val="20"/>
                <w:szCs w:val="20"/>
              </w:rPr>
            </w:pPr>
            <w:r>
              <w:rPr>
                <w:rFonts w:cs="Arial"/>
                <w:b/>
                <w:sz w:val="20"/>
                <w:szCs w:val="20"/>
              </w:rPr>
              <w:t>(UA Low)</w:t>
            </w:r>
          </w:p>
        </w:tc>
        <w:tc>
          <w:tcPr>
            <w:tcW w:w="1843" w:type="dxa"/>
            <w:vAlign w:val="center"/>
          </w:tcPr>
          <w:p w14:paraId="08834120" w14:textId="77777777" w:rsidR="005B1260" w:rsidRDefault="005B1260">
            <w:pPr>
              <w:keepNext/>
              <w:spacing w:before="60" w:after="60"/>
              <w:jc w:val="center"/>
              <w:rPr>
                <w:rFonts w:cs="Arial"/>
                <w:b/>
                <w:sz w:val="20"/>
                <w:szCs w:val="20"/>
              </w:rPr>
            </w:pPr>
            <w:r>
              <w:rPr>
                <w:rFonts w:cs="Arial"/>
                <w:b/>
                <w:sz w:val="20"/>
                <w:szCs w:val="20"/>
              </w:rPr>
              <w:t>Unattained Moderate Risk</w:t>
            </w:r>
          </w:p>
          <w:p w14:paraId="2E662984" w14:textId="77777777" w:rsidR="005B1260" w:rsidRDefault="005B1260">
            <w:pPr>
              <w:keepNext/>
              <w:spacing w:before="60" w:after="60"/>
              <w:jc w:val="center"/>
              <w:rPr>
                <w:rFonts w:cs="Arial"/>
                <w:b/>
                <w:sz w:val="20"/>
                <w:szCs w:val="20"/>
              </w:rPr>
            </w:pPr>
            <w:r>
              <w:rPr>
                <w:rFonts w:cs="Arial"/>
                <w:b/>
                <w:sz w:val="20"/>
                <w:szCs w:val="20"/>
              </w:rPr>
              <w:t>(UA Moderate)</w:t>
            </w:r>
          </w:p>
        </w:tc>
        <w:tc>
          <w:tcPr>
            <w:tcW w:w="1842" w:type="dxa"/>
            <w:vAlign w:val="center"/>
          </w:tcPr>
          <w:p w14:paraId="20536BF8" w14:textId="77777777" w:rsidR="005B1260" w:rsidRDefault="005B1260">
            <w:pPr>
              <w:keepNext/>
              <w:spacing w:before="60" w:after="60"/>
              <w:jc w:val="center"/>
              <w:rPr>
                <w:rFonts w:cs="Arial"/>
                <w:b/>
                <w:sz w:val="20"/>
                <w:szCs w:val="20"/>
              </w:rPr>
            </w:pPr>
            <w:r>
              <w:rPr>
                <w:rFonts w:cs="Arial"/>
                <w:b/>
                <w:sz w:val="20"/>
                <w:szCs w:val="20"/>
              </w:rPr>
              <w:t>Unattained High Risk</w:t>
            </w:r>
          </w:p>
          <w:p w14:paraId="3B61D9B8" w14:textId="77777777" w:rsidR="005B1260" w:rsidRDefault="005B1260">
            <w:pPr>
              <w:keepNext/>
              <w:spacing w:before="60" w:after="60"/>
              <w:jc w:val="center"/>
              <w:rPr>
                <w:rFonts w:cs="Arial"/>
                <w:b/>
                <w:sz w:val="20"/>
                <w:szCs w:val="20"/>
              </w:rPr>
            </w:pPr>
            <w:r>
              <w:rPr>
                <w:rFonts w:cs="Arial"/>
                <w:b/>
                <w:sz w:val="20"/>
                <w:szCs w:val="20"/>
              </w:rPr>
              <w:t>(UA High)</w:t>
            </w:r>
          </w:p>
        </w:tc>
        <w:tc>
          <w:tcPr>
            <w:tcW w:w="1843" w:type="dxa"/>
            <w:vAlign w:val="center"/>
          </w:tcPr>
          <w:p w14:paraId="33EA2C67" w14:textId="77777777" w:rsidR="005B1260" w:rsidRDefault="005B1260">
            <w:pPr>
              <w:keepNext/>
              <w:spacing w:before="60" w:after="60"/>
              <w:jc w:val="center"/>
              <w:rPr>
                <w:rFonts w:cs="Arial"/>
                <w:b/>
                <w:sz w:val="20"/>
                <w:szCs w:val="20"/>
              </w:rPr>
            </w:pPr>
            <w:r>
              <w:rPr>
                <w:rFonts w:cs="Arial"/>
                <w:b/>
                <w:sz w:val="20"/>
                <w:szCs w:val="20"/>
              </w:rPr>
              <w:t>Unattained Critical Risk</w:t>
            </w:r>
          </w:p>
          <w:p w14:paraId="39B64CFA" w14:textId="77777777" w:rsidR="005B1260" w:rsidRDefault="005B1260">
            <w:pPr>
              <w:keepNext/>
              <w:spacing w:before="60" w:after="60"/>
              <w:jc w:val="center"/>
              <w:rPr>
                <w:rFonts w:cs="Arial"/>
                <w:b/>
                <w:sz w:val="20"/>
                <w:szCs w:val="20"/>
              </w:rPr>
            </w:pPr>
            <w:r>
              <w:rPr>
                <w:rFonts w:cs="Arial"/>
                <w:b/>
                <w:sz w:val="20"/>
                <w:szCs w:val="20"/>
              </w:rPr>
              <w:t>(UA Critical)</w:t>
            </w:r>
          </w:p>
        </w:tc>
      </w:tr>
      <w:tr w:rsidR="00F74E35" w14:paraId="636E782E" w14:textId="77777777">
        <w:tc>
          <w:tcPr>
            <w:tcW w:w="1384" w:type="dxa"/>
            <w:vAlign w:val="center"/>
          </w:tcPr>
          <w:p w14:paraId="0BA54270" w14:textId="77777777" w:rsidR="005B1260" w:rsidRDefault="005B1260">
            <w:pPr>
              <w:keepNext/>
              <w:spacing w:before="60" w:after="60"/>
              <w:rPr>
                <w:rFonts w:cs="Arial"/>
                <w:b/>
                <w:sz w:val="20"/>
                <w:szCs w:val="20"/>
              </w:rPr>
            </w:pPr>
            <w:r>
              <w:rPr>
                <w:rFonts w:cs="Arial"/>
                <w:b/>
                <w:sz w:val="20"/>
                <w:szCs w:val="20"/>
              </w:rPr>
              <w:t>Subsection</w:t>
            </w:r>
          </w:p>
        </w:tc>
        <w:tc>
          <w:tcPr>
            <w:tcW w:w="1701" w:type="dxa"/>
            <w:vAlign w:val="center"/>
          </w:tcPr>
          <w:p w14:paraId="5DF26AC6" w14:textId="77777777" w:rsidR="005B1260" w:rsidRDefault="005B126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7F70E97" w14:textId="77777777" w:rsidR="005B1260" w:rsidRDefault="005B126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BF77679" w14:textId="77777777" w:rsidR="005B1260" w:rsidRDefault="005B126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F88BB99" w14:textId="77777777" w:rsidR="005B1260" w:rsidRDefault="005B126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91CCE6" w14:textId="77777777" w:rsidR="005B1260" w:rsidRDefault="005B126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74E35" w14:paraId="2E12969F" w14:textId="77777777">
        <w:tc>
          <w:tcPr>
            <w:tcW w:w="1384" w:type="dxa"/>
            <w:vAlign w:val="center"/>
          </w:tcPr>
          <w:p w14:paraId="20057ABE" w14:textId="77777777" w:rsidR="005B1260" w:rsidRDefault="005B1260">
            <w:pPr>
              <w:spacing w:before="60" w:after="60"/>
              <w:rPr>
                <w:rFonts w:cs="Arial"/>
                <w:b/>
                <w:sz w:val="20"/>
                <w:szCs w:val="20"/>
              </w:rPr>
            </w:pPr>
            <w:r>
              <w:rPr>
                <w:rFonts w:cs="Arial"/>
                <w:b/>
                <w:sz w:val="20"/>
                <w:szCs w:val="20"/>
              </w:rPr>
              <w:t>Criteria</w:t>
            </w:r>
          </w:p>
        </w:tc>
        <w:tc>
          <w:tcPr>
            <w:tcW w:w="1701" w:type="dxa"/>
            <w:vAlign w:val="center"/>
          </w:tcPr>
          <w:p w14:paraId="0D42926F" w14:textId="77777777" w:rsidR="005B1260" w:rsidRDefault="005B126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F863C5" w14:textId="77777777" w:rsidR="005B1260" w:rsidRDefault="005B126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D18664A" w14:textId="77777777" w:rsidR="005B1260" w:rsidRDefault="005B126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190A09" w14:textId="77777777" w:rsidR="005B1260" w:rsidRDefault="005B126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7A2DD5A" w14:textId="77777777" w:rsidR="005B1260" w:rsidRDefault="005B126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A290BD5" w14:textId="77777777" w:rsidR="005B1260" w:rsidRDefault="005B126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B7BB74" w14:textId="77777777" w:rsidR="005B1260" w:rsidRDefault="005B126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9F1926" w14:textId="77777777" w:rsidR="005B1260" w:rsidRDefault="005B126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948FA3" w14:textId="77777777" w:rsidR="005B1260" w:rsidRDefault="005B126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371"/>
        <w:gridCol w:w="6848"/>
      </w:tblGrid>
      <w:tr w:rsidR="00F74E35" w14:paraId="58CEDFA4" w14:textId="77777777">
        <w:tc>
          <w:tcPr>
            <w:tcW w:w="0" w:type="auto"/>
          </w:tcPr>
          <w:p w14:paraId="425728F8" w14:textId="77777777" w:rsidR="005B1260" w:rsidRPr="00BE00C7" w:rsidRDefault="005B126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4CB9A3F" w14:textId="77777777" w:rsidR="005B1260" w:rsidRPr="00BE00C7" w:rsidRDefault="005B126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E928CC" w14:textId="77777777" w:rsidR="005B1260" w:rsidRPr="00BE00C7" w:rsidRDefault="005B1260" w:rsidP="00BE00C7">
            <w:pPr>
              <w:pStyle w:val="OutcomeDescription"/>
              <w:spacing w:before="120" w:after="120"/>
              <w:rPr>
                <w:rFonts w:cs="Arial"/>
                <w:b/>
                <w:lang w:eastAsia="en-NZ"/>
              </w:rPr>
            </w:pPr>
            <w:r w:rsidRPr="00BE00C7">
              <w:rPr>
                <w:rFonts w:cs="Arial"/>
                <w:b/>
                <w:lang w:eastAsia="en-NZ"/>
              </w:rPr>
              <w:t>Audit Evidence</w:t>
            </w:r>
          </w:p>
        </w:tc>
      </w:tr>
      <w:tr w:rsidR="00F74E35" w14:paraId="6F1A1F53" w14:textId="77777777">
        <w:tc>
          <w:tcPr>
            <w:tcW w:w="0" w:type="auto"/>
          </w:tcPr>
          <w:p w14:paraId="13668600" w14:textId="77777777" w:rsidR="005B1260" w:rsidRPr="00BE00C7" w:rsidRDefault="005B1260" w:rsidP="00BE00C7">
            <w:pPr>
              <w:pStyle w:val="OutcomeDescription"/>
              <w:spacing w:before="120" w:after="120"/>
              <w:rPr>
                <w:rFonts w:cs="Arial"/>
                <w:lang w:eastAsia="en-NZ"/>
              </w:rPr>
            </w:pPr>
            <w:r w:rsidRPr="00BE00C7">
              <w:rPr>
                <w:rFonts w:cs="Arial"/>
                <w:lang w:eastAsia="en-NZ"/>
              </w:rPr>
              <w:t>Subsection 1.1: Pae ora healthy futures</w:t>
            </w:r>
          </w:p>
          <w:p w14:paraId="5F2F654C" w14:textId="77777777" w:rsidR="005B1260" w:rsidRPr="00BE00C7" w:rsidRDefault="005B126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84DF066" w14:textId="77777777" w:rsidR="005B1260" w:rsidRPr="00BE00C7" w:rsidRDefault="005B1260" w:rsidP="00BE00C7">
            <w:pPr>
              <w:pStyle w:val="OutcomeDescription"/>
              <w:spacing w:before="120" w:after="120"/>
              <w:rPr>
                <w:rFonts w:cs="Arial"/>
                <w:lang w:eastAsia="en-NZ"/>
              </w:rPr>
            </w:pPr>
          </w:p>
        </w:tc>
        <w:tc>
          <w:tcPr>
            <w:tcW w:w="0" w:type="auto"/>
          </w:tcPr>
          <w:p w14:paraId="210C4017"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6E036D52" w14:textId="77777777" w:rsidR="005B1260" w:rsidRPr="00BE00C7" w:rsidRDefault="005B1260" w:rsidP="00BE00C7">
            <w:pPr>
              <w:pStyle w:val="OutcomeDescription"/>
              <w:spacing w:before="120" w:after="120"/>
              <w:rPr>
                <w:rFonts w:cs="Arial"/>
                <w:lang w:eastAsia="en-NZ"/>
              </w:rPr>
            </w:pPr>
            <w:r w:rsidRPr="00BE00C7">
              <w:rPr>
                <w:rFonts w:cs="Arial"/>
                <w:lang w:eastAsia="en-NZ"/>
              </w:rPr>
              <w:t>A Māori Health Plan and associated best practice cultural policies are documented for the service. Te Tiriti o Waitangi is central to the identity of Presbyterian Support Otago (PSO) and their commitment to partnership. PSO are committed to providing services in a culturally appropriate manner and to ensure that the integrity of each person’s culture is acknowledged, respected, and maintained. PSO seek to work with their iwi, Ngāi Tahu mana whenua, in ways that align to the dreams and aspirations for Ngāi T</w:t>
            </w:r>
            <w:r w:rsidRPr="00BE00C7">
              <w:rPr>
                <w:rFonts w:cs="Arial"/>
                <w:lang w:eastAsia="en-NZ"/>
              </w:rPr>
              <w:t xml:space="preserve">ahu. The previous shortfall (1.1.5) has been addressed. </w:t>
            </w:r>
          </w:p>
          <w:p w14:paraId="1485E11F" w14:textId="77777777" w:rsidR="005B1260" w:rsidRPr="00BE00C7" w:rsidRDefault="005B1260" w:rsidP="00BE00C7">
            <w:pPr>
              <w:pStyle w:val="OutcomeDescription"/>
              <w:spacing w:before="120" w:after="120"/>
              <w:rPr>
                <w:rFonts w:cs="Arial"/>
                <w:lang w:eastAsia="en-NZ"/>
              </w:rPr>
            </w:pPr>
          </w:p>
        </w:tc>
      </w:tr>
      <w:tr w:rsidR="00F74E35" w14:paraId="3FEC44E1" w14:textId="77777777">
        <w:tc>
          <w:tcPr>
            <w:tcW w:w="0" w:type="auto"/>
          </w:tcPr>
          <w:p w14:paraId="5830B4C7" w14:textId="77777777" w:rsidR="005B1260" w:rsidRPr="00BE00C7" w:rsidRDefault="005B126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F94196C"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4FA029FD" w14:textId="77777777" w:rsidR="005B1260" w:rsidRPr="00BE00C7" w:rsidRDefault="005B1260" w:rsidP="00BE00C7">
            <w:pPr>
              <w:pStyle w:val="OutcomeDescription"/>
              <w:spacing w:before="120" w:after="120"/>
              <w:rPr>
                <w:rFonts w:cs="Arial"/>
                <w:lang w:eastAsia="en-NZ"/>
              </w:rPr>
            </w:pPr>
          </w:p>
        </w:tc>
        <w:tc>
          <w:tcPr>
            <w:tcW w:w="0" w:type="auto"/>
          </w:tcPr>
          <w:p w14:paraId="4E779C03"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A8F568" w14:textId="77777777" w:rsidR="005B1260" w:rsidRPr="00BE00C7" w:rsidRDefault="005B1260" w:rsidP="00BE00C7">
            <w:pPr>
              <w:pStyle w:val="OutcomeDescription"/>
              <w:spacing w:before="120" w:after="120"/>
              <w:rPr>
                <w:rFonts w:cs="Arial"/>
                <w:lang w:eastAsia="en-NZ"/>
              </w:rPr>
            </w:pPr>
            <w:r w:rsidRPr="00BE00C7">
              <w:rPr>
                <w:rFonts w:cs="Arial"/>
                <w:lang w:eastAsia="en-NZ"/>
              </w:rPr>
              <w:t>A comprehensive Pacific Health plan developed by the organisation in consultation with Pasifika advisors from Health New Zealand Te Whatu Ora is in place. The plan is based on the Ministry of Health Ola Manuia: Pacific Health and Wellbeing Action Plan 2020-2025 that addresses the needs of Pasifika and includes the requirements of Ngā Paerewa Health and Disability Services Standard. The aim is to uphold the principles of Pacific people by acknowledging respectful relationships and embracing cultural and spir</w:t>
            </w:r>
            <w:r w:rsidRPr="00BE00C7">
              <w:rPr>
                <w:rFonts w:cs="Arial"/>
                <w:lang w:eastAsia="en-NZ"/>
              </w:rPr>
              <w:t>itual beliefs and providing high quality health care. The cultural training provided includes Pacific cultures.</w:t>
            </w:r>
          </w:p>
          <w:p w14:paraId="35DB7A36" w14:textId="77777777" w:rsidR="005B1260" w:rsidRPr="00BE00C7" w:rsidRDefault="005B1260" w:rsidP="00BE00C7">
            <w:pPr>
              <w:pStyle w:val="OutcomeDescription"/>
              <w:spacing w:before="120" w:after="120"/>
              <w:rPr>
                <w:rFonts w:cs="Arial"/>
                <w:lang w:eastAsia="en-NZ"/>
              </w:rPr>
            </w:pPr>
          </w:p>
        </w:tc>
      </w:tr>
      <w:tr w:rsidR="00F74E35" w14:paraId="5CFFE155" w14:textId="77777777">
        <w:tc>
          <w:tcPr>
            <w:tcW w:w="0" w:type="auto"/>
          </w:tcPr>
          <w:p w14:paraId="661B4EB7"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0A7C0A9"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E96E8BC" w14:textId="77777777" w:rsidR="005B1260" w:rsidRPr="00BE00C7" w:rsidRDefault="005B1260" w:rsidP="00BE00C7">
            <w:pPr>
              <w:pStyle w:val="OutcomeDescription"/>
              <w:spacing w:before="120" w:after="120"/>
              <w:rPr>
                <w:rFonts w:cs="Arial"/>
                <w:lang w:eastAsia="en-NZ"/>
              </w:rPr>
            </w:pPr>
          </w:p>
        </w:tc>
        <w:tc>
          <w:tcPr>
            <w:tcW w:w="0" w:type="auto"/>
          </w:tcPr>
          <w:p w14:paraId="7E6B703A"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7ABD4BB1" w14:textId="77777777" w:rsidR="005B1260" w:rsidRPr="00BE00C7" w:rsidRDefault="005B1260" w:rsidP="00BE00C7">
            <w:pPr>
              <w:pStyle w:val="OutcomeDescription"/>
              <w:spacing w:before="120" w:after="120"/>
              <w:rPr>
                <w:rFonts w:cs="Arial"/>
                <w:lang w:eastAsia="en-NZ"/>
              </w:rPr>
            </w:pPr>
            <w:r w:rsidRPr="00BE00C7">
              <w:rPr>
                <w:rFonts w:cs="Arial"/>
                <w:lang w:eastAsia="en-NZ"/>
              </w:rPr>
              <w:t>The Health and Disability Commissioner (HDC) Code of Health and Disability Services Consumers’ Rights (the Code) is displayed in English and te reo Māori. The facility manager, clinical manager or registered nurse discusses aspects of the Code with residents and their families/whānau on admission. The Code is displayed in multiple locations throughout the facility. Discussions relating to the Code are held at resident meetings. Families are invited to attend.</w:t>
            </w:r>
          </w:p>
          <w:p w14:paraId="4B0DB16C"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 six staff interviewed (one registered nurse, four healthcare assistants, one kitchen hand) could easily describe how they respect the residents rights in relation to their roles. </w:t>
            </w:r>
          </w:p>
          <w:p w14:paraId="675C5A44" w14:textId="77777777" w:rsidR="005B1260" w:rsidRPr="00BE00C7" w:rsidRDefault="005B1260" w:rsidP="00BE00C7">
            <w:pPr>
              <w:pStyle w:val="OutcomeDescription"/>
              <w:spacing w:before="120" w:after="120"/>
              <w:rPr>
                <w:rFonts w:cs="Arial"/>
                <w:lang w:eastAsia="en-NZ"/>
              </w:rPr>
            </w:pPr>
          </w:p>
        </w:tc>
      </w:tr>
      <w:tr w:rsidR="00F74E35" w14:paraId="4D755E93" w14:textId="77777777">
        <w:tc>
          <w:tcPr>
            <w:tcW w:w="0" w:type="auto"/>
          </w:tcPr>
          <w:p w14:paraId="5F7452AB" w14:textId="77777777" w:rsidR="005B1260" w:rsidRPr="00BE00C7" w:rsidRDefault="005B1260" w:rsidP="00BE00C7">
            <w:pPr>
              <w:pStyle w:val="OutcomeDescription"/>
              <w:spacing w:before="120" w:after="120"/>
              <w:rPr>
                <w:rFonts w:cs="Arial"/>
                <w:lang w:eastAsia="en-NZ"/>
              </w:rPr>
            </w:pPr>
            <w:r w:rsidRPr="00BE00C7">
              <w:rPr>
                <w:rFonts w:cs="Arial"/>
                <w:lang w:eastAsia="en-NZ"/>
              </w:rPr>
              <w:t>Subsection 1.5: I am protected from abuse</w:t>
            </w:r>
          </w:p>
          <w:p w14:paraId="0C944D54"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06755E0" w14:textId="77777777" w:rsidR="005B1260" w:rsidRPr="00BE00C7" w:rsidRDefault="005B1260" w:rsidP="00BE00C7">
            <w:pPr>
              <w:pStyle w:val="OutcomeDescription"/>
              <w:spacing w:before="120" w:after="120"/>
              <w:rPr>
                <w:rFonts w:cs="Arial"/>
                <w:lang w:eastAsia="en-NZ"/>
              </w:rPr>
            </w:pPr>
          </w:p>
        </w:tc>
        <w:tc>
          <w:tcPr>
            <w:tcW w:w="0" w:type="auto"/>
          </w:tcPr>
          <w:p w14:paraId="07563B5C"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122FE8C1" w14:textId="77777777" w:rsidR="005B1260" w:rsidRPr="00BE00C7" w:rsidRDefault="005B1260" w:rsidP="00BE00C7">
            <w:pPr>
              <w:pStyle w:val="OutcomeDescription"/>
              <w:spacing w:before="120" w:after="120"/>
              <w:rPr>
                <w:rFonts w:cs="Arial"/>
                <w:lang w:eastAsia="en-NZ"/>
              </w:rPr>
            </w:pPr>
            <w:r w:rsidRPr="00BE00C7">
              <w:rPr>
                <w:rFonts w:cs="Arial"/>
                <w:lang w:eastAsia="en-NZ"/>
              </w:rPr>
              <w:t>An abuse and neglect policy is being implemented. PSO organisational policies prevent any form of discrimination, coercion, harassment, or any other exploitation. The code of conduct is discussed and signed by staff during their induction to the service. The code of conduct addresses harassment, racism, and bullying. Staff complete education at orientation and annually as per the training plan on how to identify abuse and neglect. Staff are educated on how to value the older person, showing them respect and</w:t>
            </w:r>
            <w:r w:rsidRPr="00BE00C7">
              <w:rPr>
                <w:rFonts w:cs="Arial"/>
                <w:lang w:eastAsia="en-NZ"/>
              </w:rPr>
              <w:t xml:space="preserve"> dignity. Six residents and three families/whānau interviewed confirmed that the staff are caring, supportive and respectful. </w:t>
            </w:r>
          </w:p>
          <w:p w14:paraId="5300EDA8" w14:textId="77777777" w:rsidR="005B1260" w:rsidRPr="00BE00C7" w:rsidRDefault="005B1260" w:rsidP="00BE00C7">
            <w:pPr>
              <w:pStyle w:val="OutcomeDescription"/>
              <w:spacing w:before="120" w:after="120"/>
              <w:rPr>
                <w:rFonts w:cs="Arial"/>
                <w:lang w:eastAsia="en-NZ"/>
              </w:rPr>
            </w:pPr>
            <w:r w:rsidRPr="00BE00C7">
              <w:rPr>
                <w:rFonts w:cs="Arial"/>
                <w:lang w:eastAsia="en-NZ"/>
              </w:rPr>
              <w:t>There are policies and processes in place which are adhered to in respect of residents personal comfort funds and property. Professional boundaries are defined in job descriptions. Interviews with the registered nurse (RN) and healthcare assistants confirmed their understanding of professional boundaries, including the boundaries of their role and responsibilities. Professional boundaries are covered as part of orientation. Interviews with staff and the facility manager described a positive culture of teamw</w:t>
            </w:r>
            <w:r w:rsidRPr="00BE00C7">
              <w:rPr>
                <w:rFonts w:cs="Arial"/>
                <w:lang w:eastAsia="en-NZ"/>
              </w:rPr>
              <w:t xml:space="preserve">ork. </w:t>
            </w:r>
          </w:p>
          <w:p w14:paraId="65AA330D" w14:textId="77777777" w:rsidR="005B1260" w:rsidRPr="00BE00C7" w:rsidRDefault="005B1260" w:rsidP="00BE00C7">
            <w:pPr>
              <w:pStyle w:val="OutcomeDescription"/>
              <w:spacing w:before="120" w:after="120"/>
              <w:rPr>
                <w:rFonts w:cs="Arial"/>
                <w:lang w:eastAsia="en-NZ"/>
              </w:rPr>
            </w:pPr>
          </w:p>
        </w:tc>
      </w:tr>
      <w:tr w:rsidR="00F74E35" w14:paraId="5B59C3EA" w14:textId="77777777">
        <w:tc>
          <w:tcPr>
            <w:tcW w:w="0" w:type="auto"/>
          </w:tcPr>
          <w:p w14:paraId="2ABA19FA" w14:textId="77777777" w:rsidR="005B1260" w:rsidRPr="00BE00C7" w:rsidRDefault="005B1260" w:rsidP="00BE00C7">
            <w:pPr>
              <w:pStyle w:val="OutcomeDescription"/>
              <w:spacing w:before="120" w:after="120"/>
              <w:rPr>
                <w:rFonts w:cs="Arial"/>
                <w:lang w:eastAsia="en-NZ"/>
              </w:rPr>
            </w:pPr>
            <w:r w:rsidRPr="00BE00C7">
              <w:rPr>
                <w:rFonts w:cs="Arial"/>
                <w:lang w:eastAsia="en-NZ"/>
              </w:rPr>
              <w:t>Subsection 1.7: I am informed and able to make choices</w:t>
            </w:r>
          </w:p>
          <w:p w14:paraId="408346DD"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7426B39" w14:textId="77777777" w:rsidR="005B1260" w:rsidRPr="00BE00C7" w:rsidRDefault="005B1260" w:rsidP="00BE00C7">
            <w:pPr>
              <w:pStyle w:val="OutcomeDescription"/>
              <w:spacing w:before="120" w:after="120"/>
              <w:rPr>
                <w:rFonts w:cs="Arial"/>
                <w:lang w:eastAsia="en-NZ"/>
              </w:rPr>
            </w:pPr>
          </w:p>
        </w:tc>
        <w:tc>
          <w:tcPr>
            <w:tcW w:w="0" w:type="auto"/>
          </w:tcPr>
          <w:p w14:paraId="1A182281"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F07C91"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Residents and family/whānau interviewed could describe what informed consent was and confirmed involvement in the decision-making process </w:t>
            </w:r>
            <w:r w:rsidRPr="00BE00C7">
              <w:rPr>
                <w:rFonts w:cs="Arial"/>
                <w:lang w:eastAsia="en-NZ"/>
              </w:rPr>
              <w:lastRenderedPageBreak/>
              <w:t xml:space="preserve">and the planning of resident’s care. Specific consent forms had been signed by residents or their activated enduring power of attorney (EPOA) for procedures, such as vaccines and other clinical procedures. All resident consents sighted were signed appropriately, and in the residents’ files. </w:t>
            </w:r>
          </w:p>
          <w:p w14:paraId="66E78803" w14:textId="77777777" w:rsidR="005B1260" w:rsidRPr="00BE00C7" w:rsidRDefault="005B1260" w:rsidP="00BE00C7">
            <w:pPr>
              <w:pStyle w:val="OutcomeDescription"/>
              <w:spacing w:before="120" w:after="120"/>
              <w:rPr>
                <w:rFonts w:cs="Arial"/>
                <w:lang w:eastAsia="en-NZ"/>
              </w:rPr>
            </w:pPr>
          </w:p>
        </w:tc>
      </w:tr>
      <w:tr w:rsidR="00F74E35" w14:paraId="06CABBF9" w14:textId="77777777">
        <w:tc>
          <w:tcPr>
            <w:tcW w:w="0" w:type="auto"/>
          </w:tcPr>
          <w:p w14:paraId="1DBDC645"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46C0BE0"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105CCE" w14:textId="77777777" w:rsidR="005B1260" w:rsidRPr="00BE00C7" w:rsidRDefault="005B1260" w:rsidP="00BE00C7">
            <w:pPr>
              <w:pStyle w:val="OutcomeDescription"/>
              <w:spacing w:before="120" w:after="120"/>
              <w:rPr>
                <w:rFonts w:cs="Arial"/>
                <w:lang w:eastAsia="en-NZ"/>
              </w:rPr>
            </w:pPr>
          </w:p>
        </w:tc>
        <w:tc>
          <w:tcPr>
            <w:tcW w:w="0" w:type="auto"/>
          </w:tcPr>
          <w:p w14:paraId="5EC508CD"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47EF82A1" w14:textId="77777777" w:rsidR="005B1260" w:rsidRPr="00BE00C7" w:rsidRDefault="005B1260" w:rsidP="00BE00C7">
            <w:pPr>
              <w:pStyle w:val="OutcomeDescription"/>
              <w:spacing w:before="120" w:after="120"/>
              <w:rPr>
                <w:rFonts w:cs="Arial"/>
                <w:lang w:eastAsia="en-NZ"/>
              </w:rPr>
            </w:pPr>
            <w:r w:rsidRPr="00BE00C7">
              <w:rPr>
                <w:rFonts w:cs="Arial"/>
                <w:lang w:eastAsia="en-NZ"/>
              </w:rPr>
              <w:t>The complaints procedure is an equitable process that is provided to all residents and family/whanau on entry to the service. The facility manager has overall responsibility for ensuring all (verbal or written) are fully complaints documented and investigated. Concerns and complaints are discussed at relevant meetings. There have been no complaints since the last audit. The RN and facility manager were able to explain what would occur in the event of a complaint. All complaints would be acknowledged, invest</w:t>
            </w:r>
            <w:r w:rsidRPr="00BE00C7">
              <w:rPr>
                <w:rFonts w:cs="Arial"/>
                <w:lang w:eastAsia="en-NZ"/>
              </w:rPr>
              <w:t xml:space="preserve">igated, and resolved within the timeframes set out by the Health and Disability Commissioner. Further to this all complainants would be advised of the outcome of the complaint. </w:t>
            </w:r>
          </w:p>
          <w:p w14:paraId="4A733261"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Discussions with residents and families/whānau confirmed they are provided with information on complaints and complaints forms are available at reception and in communal lounges. Residents have a variety of avenues they can choose from to make a complaint or express a concern, including the resident meetings which are held bimonthly. </w:t>
            </w:r>
          </w:p>
          <w:p w14:paraId="40608F8D"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Communication is maintained with individual residents, with updates at activities and mealtimes and one on one reviews. Residents and families/whanau making a complaint can involve an independent support person in the process if they choose. Information about the support resources for Māori is available to staff to assist Māori in the complaints process. Document review and staff interviews confirmed that the complaints process works equitably for Māori and support is available. </w:t>
            </w:r>
            <w:r w:rsidRPr="00BE00C7">
              <w:rPr>
                <w:rFonts w:cs="Arial"/>
                <w:lang w:eastAsia="en-NZ"/>
              </w:rPr>
              <w:lastRenderedPageBreak/>
              <w:t>There is an understanding that face to face meetings with whānau are preferred in resolving any issues for Māori. On interview, residents and families/whānau stated they felt comfortable to raise issues of concern with management at any time.</w:t>
            </w:r>
          </w:p>
          <w:p w14:paraId="536FE5AB" w14:textId="77777777" w:rsidR="005B1260" w:rsidRPr="00BE00C7" w:rsidRDefault="005B1260" w:rsidP="00BE00C7">
            <w:pPr>
              <w:pStyle w:val="OutcomeDescription"/>
              <w:spacing w:before="120" w:after="120"/>
              <w:rPr>
                <w:rFonts w:cs="Arial"/>
                <w:lang w:eastAsia="en-NZ"/>
              </w:rPr>
            </w:pPr>
          </w:p>
        </w:tc>
      </w:tr>
      <w:tr w:rsidR="00F74E35" w14:paraId="0699F134" w14:textId="77777777">
        <w:tc>
          <w:tcPr>
            <w:tcW w:w="0" w:type="auto"/>
          </w:tcPr>
          <w:p w14:paraId="2A99F3AF"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2.1: Governance</w:t>
            </w:r>
          </w:p>
          <w:p w14:paraId="6F264B33"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B1FE06F" w14:textId="77777777" w:rsidR="005B1260" w:rsidRPr="00BE00C7" w:rsidRDefault="005B1260" w:rsidP="00BE00C7">
            <w:pPr>
              <w:pStyle w:val="OutcomeDescription"/>
              <w:spacing w:before="120" w:after="120"/>
              <w:rPr>
                <w:rFonts w:cs="Arial"/>
                <w:lang w:eastAsia="en-NZ"/>
              </w:rPr>
            </w:pPr>
          </w:p>
        </w:tc>
        <w:tc>
          <w:tcPr>
            <w:tcW w:w="0" w:type="auto"/>
          </w:tcPr>
          <w:p w14:paraId="00F1D460"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586D1661"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Enliven Castlewood is located in Alexandra. The service is certified to provide rest home level of care for up to 21 residents. On the day of the audit, there were 17 residents, who were all on the age-related residential care contract (ARRC). </w:t>
            </w:r>
          </w:p>
          <w:p w14:paraId="6C006738" w14:textId="77777777" w:rsidR="005B1260" w:rsidRPr="00BE00C7" w:rsidRDefault="005B1260" w:rsidP="00BE00C7">
            <w:pPr>
              <w:pStyle w:val="OutcomeDescription"/>
              <w:spacing w:before="120" w:after="120"/>
              <w:rPr>
                <w:rFonts w:cs="Arial"/>
                <w:lang w:eastAsia="en-NZ"/>
              </w:rPr>
            </w:pPr>
            <w:r w:rsidRPr="00BE00C7">
              <w:rPr>
                <w:rFonts w:cs="Arial"/>
                <w:lang w:eastAsia="en-NZ"/>
              </w:rPr>
              <w:t>Enliven Castlewood is one of nine aged residential aged care homes in Otago owned by PSO delivering a rest home level care for older people. PSO is governed by a Board of eleven representatives. There is a governance structure in place with terms of reference that is appropriate to the size and complexity of the service provision. There is a documented business management and strategic plan, which informs the quality plan and includes the organisation’s vision, mission, and values. Key objectives are identi</w:t>
            </w:r>
            <w:r w:rsidRPr="00BE00C7">
              <w:rPr>
                <w:rFonts w:cs="Arial"/>
                <w:lang w:eastAsia="en-NZ"/>
              </w:rPr>
              <w:t xml:space="preserve">fied and regularly reviewed by the Board at their monthly meetings; evidenced in the Board meeting minutes. The clinical governance advisory group (CGAG) provides feedback directly to the Board on quality, clinical risk and Health and Disability Services Standard requirements. The CGAG reviews the risks for the PSO aged care service at their bimonthly meetings, where this information is reported to the Board. The Board discusses and acts on this information providing ongoing support. </w:t>
            </w:r>
          </w:p>
          <w:p w14:paraId="6684CECB"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Enliven Castlewood is managed by a facility manager who has experience in health management and is supported by an experienced clinical manager, administration staff and organisation quality advisor and clinical advisor. The facility manager also manages a second PSO facility and was on site on the days of audit. The registered nurse communicates with the facility manager daily. The management team is supported by the PSO governance team. </w:t>
            </w:r>
          </w:p>
          <w:p w14:paraId="0FFE40E7"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 Māori health plan incorporates the principles of Te Tiriti o Waitangi, including partnership in recognising all cultures as partners, and valuing each culture for the contributions they bring. The organisation is incorporating te reo Māori words and phrases into all organisational </w:t>
            </w:r>
            <w:r w:rsidRPr="00BE00C7">
              <w:rPr>
                <w:rFonts w:cs="Arial"/>
                <w:lang w:eastAsia="en-NZ"/>
              </w:rPr>
              <w:lastRenderedPageBreak/>
              <w:t>documents. A process to identify and address barriers for Māori for equitable service delivery is ongoing, with additional expertise sought from Māori. There is Māori representation on the Board. PSO have recently employed a cultural advisor who meets with the Board where required and meets with the clinical nurse advisor and quality advisor fortnightly to assist in removing barriers for Māori, improving policy and procedures and promoting equitable and inclusive service delivery.</w:t>
            </w:r>
          </w:p>
          <w:p w14:paraId="280C9AC3" w14:textId="77777777" w:rsidR="005B1260" w:rsidRPr="00BE00C7" w:rsidRDefault="005B1260" w:rsidP="00BE00C7">
            <w:pPr>
              <w:pStyle w:val="OutcomeDescription"/>
              <w:spacing w:before="120" w:after="120"/>
              <w:rPr>
                <w:rFonts w:cs="Arial"/>
                <w:lang w:eastAsia="en-NZ"/>
              </w:rPr>
            </w:pPr>
          </w:p>
        </w:tc>
      </w:tr>
      <w:tr w:rsidR="00F74E35" w14:paraId="7D5CB0F6" w14:textId="77777777">
        <w:tc>
          <w:tcPr>
            <w:tcW w:w="0" w:type="auto"/>
          </w:tcPr>
          <w:p w14:paraId="5AC6FA82"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E8523EC"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4BFCE47" w14:textId="77777777" w:rsidR="005B1260" w:rsidRPr="00BE00C7" w:rsidRDefault="005B1260" w:rsidP="00BE00C7">
            <w:pPr>
              <w:pStyle w:val="OutcomeDescription"/>
              <w:spacing w:before="120" w:after="120"/>
              <w:rPr>
                <w:rFonts w:cs="Arial"/>
                <w:lang w:eastAsia="en-NZ"/>
              </w:rPr>
            </w:pPr>
          </w:p>
        </w:tc>
        <w:tc>
          <w:tcPr>
            <w:tcW w:w="0" w:type="auto"/>
          </w:tcPr>
          <w:p w14:paraId="7D5966CF"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69CA1E7D" w14:textId="77777777" w:rsidR="005B1260" w:rsidRPr="00BE00C7" w:rsidRDefault="005B1260" w:rsidP="00BE00C7">
            <w:pPr>
              <w:pStyle w:val="OutcomeDescription"/>
              <w:spacing w:before="120" w:after="120"/>
              <w:rPr>
                <w:rFonts w:cs="Arial"/>
                <w:lang w:eastAsia="en-NZ"/>
              </w:rPr>
            </w:pPr>
            <w:r w:rsidRPr="00BE00C7">
              <w:rPr>
                <w:rFonts w:cs="Arial"/>
                <w:lang w:eastAsia="en-NZ"/>
              </w:rPr>
              <w:t>Enliven Castlewood is implementing their quality and risk management programme. The quality and risk management systems include performance monitoring through internal audits and through the collection of clinical indicator data. Internal audits, satisfaction survey results and the collation of data are documented and analysed at support office, where the data is benchmarked within the PSO organisation and with the other Presbyterian Support organisations nationally, with the results shared in staff meeting</w:t>
            </w:r>
            <w:r w:rsidRPr="00BE00C7">
              <w:rPr>
                <w:rFonts w:cs="Arial"/>
                <w:lang w:eastAsia="en-NZ"/>
              </w:rPr>
              <w:t xml:space="preserve">s. Quality data and trends in data are posted in the office. On interview, staff were aware of quality data indicator results. </w:t>
            </w:r>
          </w:p>
          <w:p w14:paraId="0A009507"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Meetings are held including quality, health and safety and infection control and staff meetings bimonthly, and clinical meetings monthly. Discussions include (but are not limited to) quality data, including falls; infections; use of restraint; adverse event data; health and safety; infection control/pandemic strategies; complaints received (if any); staffing; and education. Audit outcomes were reviewed, and required corrective action was followed up, showing service improvements. Results were analysed, and </w:t>
            </w:r>
            <w:r w:rsidRPr="00BE00C7">
              <w:rPr>
                <w:rFonts w:cs="Arial"/>
                <w:lang w:eastAsia="en-NZ"/>
              </w:rPr>
              <w:t>a summary report was shared with staff, residents and families/whānau.</w:t>
            </w:r>
          </w:p>
          <w:p w14:paraId="5361EB6F" w14:textId="77777777" w:rsidR="005B1260" w:rsidRPr="00BE00C7" w:rsidRDefault="005B1260" w:rsidP="00BE00C7">
            <w:pPr>
              <w:pStyle w:val="OutcomeDescription"/>
              <w:spacing w:before="120" w:after="120"/>
              <w:rPr>
                <w:rFonts w:cs="Arial"/>
                <w:lang w:eastAsia="en-NZ"/>
              </w:rPr>
            </w:pPr>
            <w:r w:rsidRPr="00BE00C7">
              <w:rPr>
                <w:rFonts w:cs="Arial"/>
                <w:lang w:eastAsia="en-NZ"/>
              </w:rPr>
              <w:t>Discussion with staff and review of records demonstrated that all subsequent learnings from audits and accidents/incidents were reviewed through the head office in a meaningful way to identify trends and opportunities that could be used to affect change or influence practice. Internal audits were completed as scheduled, and outcomes show a high level of compliance with the PSO policies and procedures. Corrective actions are documented to address any improvements with evidence of progress and sign off when a</w:t>
            </w:r>
            <w:r w:rsidRPr="00BE00C7">
              <w:rPr>
                <w:rFonts w:cs="Arial"/>
                <w:lang w:eastAsia="en-NZ"/>
              </w:rPr>
              <w:t xml:space="preserve">chieved. All staff have completed training on </w:t>
            </w:r>
            <w:r w:rsidRPr="00BE00C7">
              <w:rPr>
                <w:rFonts w:cs="Arial"/>
                <w:lang w:eastAsia="en-NZ"/>
              </w:rPr>
              <w:lastRenderedPageBreak/>
              <w:t xml:space="preserve">cultural safety, te reo Māori, and Te Tiriti o Waitangi in 2024. The previous shortfall (2.2.7) has been addressed. </w:t>
            </w:r>
          </w:p>
          <w:p w14:paraId="6E91DC82"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Resident and families/whānau satisfaction surveys are completed annually and the latest surveys were completed in June 2023. The surveys reflected high satisfaction levels with surroundings, rooms/grounds, privacy/dignity, respect and hygiene/cleanliness. Results were analysed, and a summary report was shared with staff, residents and families/whānau. </w:t>
            </w:r>
          </w:p>
          <w:p w14:paraId="6CC56999"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Hazard identification forms and an up-to-date electronic hazard and risk register were sighted. </w:t>
            </w:r>
          </w:p>
          <w:p w14:paraId="6C7114E1" w14:textId="77777777" w:rsidR="005B1260" w:rsidRPr="00BE00C7" w:rsidRDefault="005B1260" w:rsidP="00BE00C7">
            <w:pPr>
              <w:pStyle w:val="OutcomeDescription"/>
              <w:spacing w:before="120" w:after="120"/>
              <w:rPr>
                <w:rFonts w:cs="Arial"/>
                <w:lang w:eastAsia="en-NZ"/>
              </w:rPr>
            </w:pPr>
            <w:r w:rsidRPr="00BE00C7">
              <w:rPr>
                <w:rFonts w:cs="Arial"/>
                <w:lang w:eastAsia="en-NZ"/>
              </w:rPr>
              <w:t>All resident incidents and accidents are recorded on the electronic system. Fourteen accident/incident forms reviewed evidenced immediate action noted and any follow-up action(s) required. Families/whānau were notified of each incident. Each event involving a resident reflected a clinical assessment and follow up by a registered nurse. Opportunities to minimise future risks are identified by the clinical manager who reviews every adverse event. Incident and accident data is collated monthly and analysed. Re</w:t>
            </w:r>
            <w:r w:rsidRPr="00BE00C7">
              <w:rPr>
                <w:rFonts w:cs="Arial"/>
                <w:lang w:eastAsia="en-NZ"/>
              </w:rPr>
              <w:t xml:space="preserve">sults are discussed in the quality and staff meetings and at handovers. </w:t>
            </w:r>
          </w:p>
          <w:p w14:paraId="493AF725"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Discussions with the quality advisor and the facility manager evidenced awareness of their requirement to notify relevant authorities in relation to essential notifications. There have been no section 31, outbreaks or Health Safety Quality Commission notifications since the last audit. </w:t>
            </w:r>
          </w:p>
          <w:p w14:paraId="76282692" w14:textId="77777777" w:rsidR="005B1260" w:rsidRPr="00BE00C7" w:rsidRDefault="005B1260" w:rsidP="00BE00C7">
            <w:pPr>
              <w:pStyle w:val="OutcomeDescription"/>
              <w:spacing w:before="120" w:after="120"/>
              <w:rPr>
                <w:rFonts w:cs="Arial"/>
                <w:lang w:eastAsia="en-NZ"/>
              </w:rPr>
            </w:pPr>
          </w:p>
        </w:tc>
      </w:tr>
      <w:tr w:rsidR="00F74E35" w14:paraId="651F8D67" w14:textId="77777777">
        <w:tc>
          <w:tcPr>
            <w:tcW w:w="0" w:type="auto"/>
          </w:tcPr>
          <w:p w14:paraId="67FDCC5E"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962DDC"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26A0021" w14:textId="77777777" w:rsidR="005B1260" w:rsidRPr="00BE00C7" w:rsidRDefault="005B1260" w:rsidP="00BE00C7">
            <w:pPr>
              <w:pStyle w:val="OutcomeDescription"/>
              <w:spacing w:before="120" w:after="120"/>
              <w:rPr>
                <w:rFonts w:cs="Arial"/>
                <w:lang w:eastAsia="en-NZ"/>
              </w:rPr>
            </w:pPr>
          </w:p>
        </w:tc>
        <w:tc>
          <w:tcPr>
            <w:tcW w:w="0" w:type="auto"/>
          </w:tcPr>
          <w:p w14:paraId="2793B61A"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DBB31" w14:textId="77777777" w:rsidR="005B1260" w:rsidRPr="00BE00C7" w:rsidRDefault="005B1260" w:rsidP="00BE00C7">
            <w:pPr>
              <w:pStyle w:val="OutcomeDescription"/>
              <w:spacing w:before="120" w:after="120"/>
              <w:rPr>
                <w:rFonts w:cs="Arial"/>
                <w:lang w:eastAsia="en-NZ"/>
              </w:rPr>
            </w:pPr>
            <w:r w:rsidRPr="00BE00C7">
              <w:rPr>
                <w:rFonts w:cs="Arial"/>
                <w:lang w:eastAsia="en-NZ"/>
              </w:rPr>
              <w:t>There are part time and casual staff that are shared between Enliven Castlewood and its sister facility in Alexandra to support planned and unplanned absences. The roster provides sufficient and appropriate coverage and the RNs are supportive and approachable. Interviews with residents and families/whānau indicated that overall, there are sufficient staff to meet resident needs. Kitchen, laundry and cleaning duties are shared roles amongst the healthcare assistants.</w:t>
            </w:r>
          </w:p>
          <w:p w14:paraId="51C32609"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 education and training schedule is in place for 2023 and 2024. The education and training schedule lists all mandatory topics and </w:t>
            </w:r>
            <w:r w:rsidRPr="00BE00C7">
              <w:rPr>
                <w:rFonts w:cs="Arial"/>
                <w:lang w:eastAsia="en-NZ"/>
              </w:rPr>
              <w:lastRenderedPageBreak/>
              <w:t>competencies. Staff are provided with opportunities to attend in-services, complete online training, and attend toolbox talks. Online training completion is recorded in the electronic system and monitored by the clinical advisor and facility manager. Enliven Castlewood supports healthcare assistants to obtain a New Zealand Qualification Authority (NZQA) qualification. Enliven Castlewood has eight dedicated healthcare assistants. Five of the eight healthcare assistants have a level four NZQA qualification an</w:t>
            </w:r>
            <w:r w:rsidRPr="00BE00C7">
              <w:rPr>
                <w:rFonts w:cs="Arial"/>
                <w:lang w:eastAsia="en-NZ"/>
              </w:rPr>
              <w:t>d two are working on the level three NZQA qualification. There are four casual staff that are employed at the sister site who work on casual shifts at Enliven Castlewood, they all have level four NZQA qualification.</w:t>
            </w:r>
          </w:p>
          <w:p w14:paraId="4696FBF0"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All healthcare assistants are required to complete annual competencies for skin care; restraint minimisation; infection control; medication administration (if medication competent); and moving and handling. A record of completion is maintained. Additional RN specific competencies include syringe driver, and interRAI assessment competency. The registered nurse at Enliven Castlewood is interRAI trained and is supported by </w:t>
            </w:r>
            <w:r w:rsidRPr="00BE00C7">
              <w:rPr>
                <w:rFonts w:cs="Arial"/>
                <w:lang w:eastAsia="en-NZ"/>
              </w:rPr>
              <w:t xml:space="preserve">other interRAI trained nurses at the sister facility. All care staff are encouraged to also attend external training, webinars and zoom training where available. All staff attend relevant bimonthly quality staff meetings and monthly clinical meetings when possible. </w:t>
            </w:r>
          </w:p>
          <w:p w14:paraId="294C09C5" w14:textId="77777777" w:rsidR="005B1260" w:rsidRPr="00BE00C7" w:rsidRDefault="005B1260" w:rsidP="00BE00C7">
            <w:pPr>
              <w:pStyle w:val="OutcomeDescription"/>
              <w:spacing w:before="120" w:after="120"/>
              <w:rPr>
                <w:rFonts w:cs="Arial"/>
                <w:lang w:eastAsia="en-NZ"/>
              </w:rPr>
            </w:pPr>
          </w:p>
        </w:tc>
      </w:tr>
      <w:tr w:rsidR="00F74E35" w14:paraId="61633573" w14:textId="77777777">
        <w:tc>
          <w:tcPr>
            <w:tcW w:w="0" w:type="auto"/>
          </w:tcPr>
          <w:p w14:paraId="06808329"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346E1A"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r w:rsidRPr="00BE00C7">
              <w:rPr>
                <w:rFonts w:cs="Arial"/>
                <w:lang w:eastAsia="en-NZ"/>
              </w:rPr>
              <w:t>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75708361" w14:textId="77777777" w:rsidR="005B1260" w:rsidRPr="00BE00C7" w:rsidRDefault="005B1260" w:rsidP="00BE00C7">
            <w:pPr>
              <w:pStyle w:val="OutcomeDescription"/>
              <w:spacing w:before="120" w:after="120"/>
              <w:rPr>
                <w:rFonts w:cs="Arial"/>
                <w:lang w:eastAsia="en-NZ"/>
              </w:rPr>
            </w:pPr>
          </w:p>
        </w:tc>
        <w:tc>
          <w:tcPr>
            <w:tcW w:w="0" w:type="auto"/>
          </w:tcPr>
          <w:p w14:paraId="786D1952"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714D03"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71A4270E"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is maintained for registered nurses, and other registered health professionals. </w:t>
            </w:r>
          </w:p>
          <w:p w14:paraId="417B426A"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All staff records reviewed evidenced completed induction and orientation. A total of five staff files (one registered nurse, three healthcare assistants and a kitchen hand) were reviewed. Staff files included reference checks; police vetting, competencies; individual training plans; professional qualifications; orientation; employment agreements; and position </w:t>
            </w:r>
            <w:r w:rsidRPr="00BE00C7">
              <w:rPr>
                <w:rFonts w:cs="Arial"/>
                <w:lang w:eastAsia="en-NZ"/>
              </w:rPr>
              <w:lastRenderedPageBreak/>
              <w:t xml:space="preserve">descriptions. Files evidenced that staff who had been employed for over one year, had an up-to-date annual performance appraisal. </w:t>
            </w:r>
          </w:p>
          <w:p w14:paraId="30AFBFF0" w14:textId="77777777" w:rsidR="005B1260" w:rsidRPr="00BE00C7" w:rsidRDefault="005B1260" w:rsidP="00BE00C7">
            <w:pPr>
              <w:pStyle w:val="OutcomeDescription"/>
              <w:spacing w:before="120" w:after="120"/>
              <w:rPr>
                <w:rFonts w:cs="Arial"/>
                <w:lang w:eastAsia="en-NZ"/>
              </w:rPr>
            </w:pPr>
          </w:p>
        </w:tc>
      </w:tr>
      <w:tr w:rsidR="00F74E35" w14:paraId="5E3D0197" w14:textId="77777777">
        <w:tc>
          <w:tcPr>
            <w:tcW w:w="0" w:type="auto"/>
          </w:tcPr>
          <w:p w14:paraId="36065FC2"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D946D4B"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231AB97" w14:textId="77777777" w:rsidR="005B1260" w:rsidRPr="00BE00C7" w:rsidRDefault="005B1260" w:rsidP="00BE00C7">
            <w:pPr>
              <w:pStyle w:val="OutcomeDescription"/>
              <w:spacing w:before="120" w:after="120"/>
              <w:rPr>
                <w:rFonts w:cs="Arial"/>
                <w:lang w:eastAsia="en-NZ"/>
              </w:rPr>
            </w:pPr>
          </w:p>
        </w:tc>
        <w:tc>
          <w:tcPr>
            <w:tcW w:w="0" w:type="auto"/>
          </w:tcPr>
          <w:p w14:paraId="3690956D" w14:textId="77777777" w:rsidR="005B1260" w:rsidRPr="00BE00C7" w:rsidRDefault="005B1260" w:rsidP="00BE00C7">
            <w:pPr>
              <w:pStyle w:val="OutcomeDescription"/>
              <w:spacing w:before="120" w:after="120"/>
              <w:rPr>
                <w:rFonts w:cs="Arial"/>
                <w:lang w:eastAsia="en-NZ"/>
              </w:rPr>
            </w:pPr>
            <w:r w:rsidRPr="00BE00C7">
              <w:rPr>
                <w:rFonts w:cs="Arial"/>
                <w:lang w:eastAsia="en-NZ"/>
              </w:rPr>
              <w:t>PA Low</w:t>
            </w:r>
          </w:p>
        </w:tc>
        <w:tc>
          <w:tcPr>
            <w:tcW w:w="0" w:type="auto"/>
          </w:tcPr>
          <w:p w14:paraId="63C13AB5"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Five rest home resident files were reviewed. The RNs are responsible for conducting all assessments and for </w:t>
            </w:r>
            <w:r w:rsidRPr="00BE00C7">
              <w:rPr>
                <w:rFonts w:cs="Arial"/>
                <w:lang w:eastAsia="en-NZ"/>
              </w:rPr>
              <w:t>the development of care plans. There was evidence of resident and families/whānau involvement in the interRAI assessments and long-term care plans reviewed and this was documented in progress notes, six-monthly care review electronic form, and families/whānau contact notes. Families/whānau interviewed stated they are involved in the development and evaluation of the care plan.</w:t>
            </w:r>
          </w:p>
          <w:p w14:paraId="06F60FDE"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All residents have assessment information collected, and an interim care plan completed at time of admission. Initial interRAI assessments were completed and the initial long-term care plan were completed within three weeks of admission. Additionally, all files had a suite of risk assessments, activities, nutritional, and cultural assessments completed. Additional risk assessment tools include behaviour and wound assessments as applicable. The outcomes of risk assessments formulate the basis of the initial </w:t>
            </w:r>
            <w:r w:rsidRPr="00BE00C7">
              <w:rPr>
                <w:rFonts w:cs="Arial"/>
                <w:lang w:eastAsia="en-NZ"/>
              </w:rPr>
              <w:t>care plan and or long-term care plan. The care plans are holistic and align with the service’s model of person-centred care. Care plans include interventions to guide care delivery. Care plan evaluations are completed and evidenced updates as needs changed. These had been completed within required timeframes. Evaluations reviewed documented progress against the set goals. Short-term care plans for infections, and wounds were well utilised. Interventions were transferred to the long-term care plan in a timel</w:t>
            </w:r>
            <w:r w:rsidRPr="00BE00C7">
              <w:rPr>
                <w:rFonts w:cs="Arial"/>
                <w:lang w:eastAsia="en-NZ"/>
              </w:rPr>
              <w:t>y manner. Care plans include allied health and external service provider involvement. Other available information such as consultation with residents, families/whānau or significant others are included in the resident electronic file.</w:t>
            </w:r>
          </w:p>
          <w:p w14:paraId="28CB7085" w14:textId="77777777" w:rsidR="005B1260" w:rsidRPr="00BE00C7" w:rsidRDefault="005B1260" w:rsidP="00BE00C7">
            <w:pPr>
              <w:pStyle w:val="OutcomeDescription"/>
              <w:spacing w:before="120" w:after="120"/>
              <w:rPr>
                <w:rFonts w:cs="Arial"/>
                <w:lang w:eastAsia="en-NZ"/>
              </w:rPr>
            </w:pPr>
            <w:r w:rsidRPr="00BE00C7">
              <w:rPr>
                <w:rFonts w:cs="Arial"/>
                <w:lang w:eastAsia="en-NZ"/>
              </w:rPr>
              <w:t>When a resident's condition alters, the RNs initiate a review and, if required, a GP visit or referral to nurse specialist consultants occurs. The wound care plan and infection plans integrate cares to reflect resident needs. Short-term interventions are added to the long-term care plan when appropriate and removed when resolved.</w:t>
            </w:r>
          </w:p>
          <w:p w14:paraId="1FA872FD"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Residents go to the GP as necessary and </w:t>
            </w:r>
            <w:r w:rsidRPr="00BE00C7">
              <w:rPr>
                <w:rFonts w:cs="Arial"/>
                <w:lang w:eastAsia="en-NZ"/>
              </w:rPr>
              <w:lastRenderedPageBreak/>
              <w:t xml:space="preserve">have three-monthly reviews. Residents are able to keep their GP of choice. The GP interviewed stated they are notified via phone, text, or email in a timely manner for any residents with health concerns between the hours of 9am and 5pm. Further to this they are available at any time for their palliative patients. Afterhours service is provided by the staff calling the ambulance. All GP notes are entered into the electronic system. The GP commented positively on the care the residents receive. </w:t>
            </w:r>
          </w:p>
          <w:p w14:paraId="1C501121"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 service has a contract with a physiotherapist. A clinical nurse specialist from the local hospice visits regularly and as required. Specialist services including mental health, dietitian, speech language therapist, wound care and continence nurse specialists are available as required through Health New Zealand. Families/whānau are invited to attend GP reviews, if they are unable to attend, they are updated of any changes. </w:t>
            </w:r>
          </w:p>
          <w:p w14:paraId="46ADE1D3" w14:textId="77777777" w:rsidR="005B1260" w:rsidRPr="00BE00C7" w:rsidRDefault="005B126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HCAs. The documentation responsibilities resident file policy details the requirements for RNs to complete progress notes. At Castlewood, the RNs add to the progress notes when there are any incidents or changes in health status; however, it was evident that the RNs had not recorded all cha</w:t>
            </w:r>
            <w:r w:rsidRPr="00BE00C7">
              <w:rPr>
                <w:rFonts w:cs="Arial"/>
                <w:lang w:eastAsia="en-NZ"/>
              </w:rPr>
              <w:t>nges in health status and updates in the progress notes as per policy.</w:t>
            </w:r>
          </w:p>
          <w:p w14:paraId="17BD3665" w14:textId="77777777" w:rsidR="005B1260" w:rsidRPr="00BE00C7" w:rsidRDefault="005B1260" w:rsidP="00BE00C7">
            <w:pPr>
              <w:pStyle w:val="OutcomeDescription"/>
              <w:spacing w:before="120" w:after="120"/>
              <w:rPr>
                <w:rFonts w:cs="Arial"/>
                <w:lang w:eastAsia="en-NZ"/>
              </w:rPr>
            </w:pPr>
            <w:r w:rsidRPr="00BE00C7">
              <w:rPr>
                <w:rFonts w:cs="Arial"/>
                <w:lang w:eastAsia="en-NZ"/>
              </w:rPr>
              <w:t>Residents interviewed reported their needs and expectations were being met. Families/whānau stated they were notified of all changes to health, including infections, accident/incidents, GP visit, medication changes and any changes to health status, and this was consistently documented on the electronic resident record.</w:t>
            </w:r>
          </w:p>
          <w:p w14:paraId="50DC72E5"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There were no current wounds. An electronic wound register is available. </w:t>
            </w:r>
          </w:p>
          <w:p w14:paraId="3430897E"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Healthcare assistants and RNs interviewed stated there are </w:t>
            </w:r>
            <w:r w:rsidRPr="00BE00C7">
              <w:rPr>
                <w:rFonts w:cs="Arial"/>
                <w:lang w:eastAsia="en-NZ"/>
              </w:rPr>
              <w:t>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4517797F"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Healthcare assistants and the RNs complete monitoring charts, including bowels, repositioning intentional rounding; vital signs; weight; food and fluid chart; blood glucose levels; and behaviour as required. All charts </w:t>
            </w:r>
            <w:r w:rsidRPr="00BE00C7">
              <w:rPr>
                <w:rFonts w:cs="Arial"/>
                <w:lang w:eastAsia="en-NZ"/>
              </w:rPr>
              <w:lastRenderedPageBreak/>
              <w:t>were completed in required timeframes. Neurological observations have been completed as per the falls management policy and neurological observation policy.</w:t>
            </w:r>
          </w:p>
          <w:p w14:paraId="447BD8E7" w14:textId="77777777" w:rsidR="005B1260" w:rsidRPr="00BE00C7" w:rsidRDefault="005B1260" w:rsidP="005B1260">
            <w:pPr>
              <w:pStyle w:val="OutcomeDescription"/>
              <w:spacing w:before="120" w:after="120"/>
              <w:rPr>
                <w:rFonts w:cs="Arial"/>
                <w:lang w:eastAsia="en-NZ"/>
              </w:rPr>
            </w:pPr>
          </w:p>
        </w:tc>
      </w:tr>
      <w:tr w:rsidR="00F74E35" w14:paraId="3AFFC205" w14:textId="77777777">
        <w:tc>
          <w:tcPr>
            <w:tcW w:w="0" w:type="auto"/>
          </w:tcPr>
          <w:p w14:paraId="6572E6C1"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3.4: My medication</w:t>
            </w:r>
          </w:p>
          <w:p w14:paraId="040B5F58"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5575A8" w14:textId="77777777" w:rsidR="005B1260" w:rsidRPr="00BE00C7" w:rsidRDefault="005B1260" w:rsidP="00BE00C7">
            <w:pPr>
              <w:pStyle w:val="OutcomeDescription"/>
              <w:spacing w:before="120" w:after="120"/>
              <w:rPr>
                <w:rFonts w:cs="Arial"/>
                <w:lang w:eastAsia="en-NZ"/>
              </w:rPr>
            </w:pPr>
          </w:p>
        </w:tc>
        <w:tc>
          <w:tcPr>
            <w:tcW w:w="0" w:type="auto"/>
          </w:tcPr>
          <w:p w14:paraId="408F7AD5"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5B681E2F"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have been assessed for competency on an annual basis. Education around safe medication administration has been provided. </w:t>
            </w:r>
          </w:p>
          <w:p w14:paraId="445AE4FD" w14:textId="77777777" w:rsidR="005B1260" w:rsidRPr="00BE00C7" w:rsidRDefault="005B1260" w:rsidP="00BE00C7">
            <w:pPr>
              <w:pStyle w:val="OutcomeDescription"/>
              <w:spacing w:before="120" w:after="120"/>
              <w:rPr>
                <w:rFonts w:cs="Arial"/>
                <w:lang w:eastAsia="en-NZ"/>
              </w:rPr>
            </w:pPr>
            <w:r w:rsidRPr="00BE00C7">
              <w:rPr>
                <w:rFonts w:cs="Arial"/>
                <w:lang w:eastAsia="en-NZ"/>
              </w:rPr>
              <w:t>All medication charts and signing sheets (except for the respite resident) are electronic. Staff were observed to be safely administering medications. The RNs and healthcare assistants interviewed could describe their role regarding medication administration. The service uses robotic packaging for all regular medications and ‘as required’ medicines. All medications are checked on delivery against the medication chart and any discrepancies are fed back to the supplying pharmacy. The effectiveness of ‘as requ</w:t>
            </w:r>
            <w:r w:rsidRPr="00BE00C7">
              <w:rPr>
                <w:rFonts w:cs="Arial"/>
                <w:lang w:eastAsia="en-NZ"/>
              </w:rPr>
              <w:t xml:space="preserve">ired’ medications is recorded in the electronic medication system. </w:t>
            </w:r>
          </w:p>
          <w:p w14:paraId="6E0F97AC" w14:textId="77777777" w:rsidR="005B1260" w:rsidRPr="00BE00C7" w:rsidRDefault="005B1260" w:rsidP="00BE00C7">
            <w:pPr>
              <w:pStyle w:val="OutcomeDescription"/>
              <w:spacing w:before="120" w:after="120"/>
              <w:rPr>
                <w:rFonts w:cs="Arial"/>
                <w:lang w:eastAsia="en-NZ"/>
              </w:rPr>
            </w:pPr>
            <w:r w:rsidRPr="00BE00C7">
              <w:rPr>
                <w:rFonts w:cs="Arial"/>
                <w:lang w:eastAsia="en-NZ"/>
              </w:rPr>
              <w:t>Medications were appropriately stored in the medication trollies and the medication room. The fridge where medication is stored, and medication room temperatures are monitored daily were all within required ranges. All eyedrops and creams have been dated on opening. Controlled drugs are stored appropriately, and weekly stock check have been completed regularly by medication competent staff. Medication incidents were completed in the event of a drug error and corrective actions implemented. Expired medicines</w:t>
            </w:r>
            <w:r w:rsidRPr="00BE00C7">
              <w:rPr>
                <w:rFonts w:cs="Arial"/>
                <w:lang w:eastAsia="en-NZ"/>
              </w:rPr>
              <w:t xml:space="preserve"> were placed in a receptacle for return to the pharmacy. </w:t>
            </w:r>
          </w:p>
          <w:p w14:paraId="673A928D" w14:textId="77777777" w:rsidR="005B1260" w:rsidRPr="00BE00C7" w:rsidRDefault="005B1260" w:rsidP="00BE00C7">
            <w:pPr>
              <w:pStyle w:val="OutcomeDescription"/>
              <w:spacing w:before="120" w:after="120"/>
              <w:rPr>
                <w:rFonts w:cs="Arial"/>
                <w:lang w:eastAsia="en-NZ"/>
              </w:rPr>
            </w:pPr>
            <w:r w:rsidRPr="00BE00C7">
              <w:rPr>
                <w:rFonts w:cs="Arial"/>
                <w:lang w:eastAsia="en-NZ"/>
              </w:rPr>
              <w:t>Ten electronic medication charts were reviewed. These medication charts verified that the GP had reviewed all resident medication charts three-monthly, and each medication chart has photographic identification and allergy status identified. There was one resident self-administering medications all their medications. The resident had a secure drawer and was aware of the requirements of self-medicating and had been assessed and reviewed for this as per policy. There are no standing orders in use.</w:t>
            </w:r>
          </w:p>
          <w:p w14:paraId="4D1508CF" w14:textId="77777777" w:rsidR="005B1260" w:rsidRPr="00BE00C7" w:rsidRDefault="005B1260" w:rsidP="00BE00C7">
            <w:pPr>
              <w:pStyle w:val="OutcomeDescription"/>
              <w:spacing w:before="120" w:after="120"/>
              <w:rPr>
                <w:rFonts w:cs="Arial"/>
                <w:lang w:eastAsia="en-NZ"/>
              </w:rPr>
            </w:pPr>
          </w:p>
        </w:tc>
      </w:tr>
      <w:tr w:rsidR="00F74E35" w14:paraId="5A6E44EB" w14:textId="77777777">
        <w:tc>
          <w:tcPr>
            <w:tcW w:w="0" w:type="auto"/>
          </w:tcPr>
          <w:p w14:paraId="00C304F9" w14:textId="77777777" w:rsidR="005B1260" w:rsidRPr="00BE00C7" w:rsidRDefault="005B1260" w:rsidP="00BE00C7">
            <w:pPr>
              <w:pStyle w:val="OutcomeDescription"/>
              <w:spacing w:before="120" w:after="120"/>
              <w:rPr>
                <w:rFonts w:cs="Arial"/>
                <w:lang w:eastAsia="en-NZ"/>
              </w:rPr>
            </w:pPr>
            <w:r w:rsidRPr="00BE00C7">
              <w:rPr>
                <w:rFonts w:cs="Arial"/>
                <w:lang w:eastAsia="en-NZ"/>
              </w:rPr>
              <w:t>Subsection 3.5: Nutrition to support wellbeing</w:t>
            </w:r>
          </w:p>
          <w:p w14:paraId="54A27F0D"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 xml:space="preserve">Te Tiriti: Menu development respects and supports </w:t>
            </w:r>
            <w:r w:rsidRPr="00BE00C7">
              <w:rPr>
                <w:rFonts w:cs="Arial"/>
                <w:lang w:eastAsia="en-NZ"/>
              </w:rPr>
              <w:t>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8F0F135" w14:textId="77777777" w:rsidR="005B1260" w:rsidRPr="00BE00C7" w:rsidRDefault="005B1260" w:rsidP="00BE00C7">
            <w:pPr>
              <w:pStyle w:val="OutcomeDescription"/>
              <w:spacing w:before="120" w:after="120"/>
              <w:rPr>
                <w:rFonts w:cs="Arial"/>
                <w:lang w:eastAsia="en-NZ"/>
              </w:rPr>
            </w:pPr>
          </w:p>
        </w:tc>
        <w:tc>
          <w:tcPr>
            <w:tcW w:w="0" w:type="auto"/>
          </w:tcPr>
          <w:p w14:paraId="4E62819A"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412DAD2"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 and families/whānau. The </w:t>
            </w:r>
            <w:r w:rsidRPr="00BE00C7">
              <w:rPr>
                <w:rFonts w:cs="Arial"/>
                <w:lang w:eastAsia="en-NZ"/>
              </w:rPr>
              <w:lastRenderedPageBreak/>
              <w:t xml:space="preserve">nutritional assessments identify resident’s personal food preferences, allergies, intolerances, any special diets, cultural preferences, and modified texture requirements. Food is transported to Castlewood from the sister site for the morning and afternoon teas, lunch and evening meals. The HCAs receiving it have a written process to measure and record the temperature; however, the process has not always been followed. </w:t>
            </w:r>
          </w:p>
          <w:p w14:paraId="52617704" w14:textId="77777777" w:rsidR="005B1260" w:rsidRPr="00BE00C7" w:rsidRDefault="005B1260" w:rsidP="00BE00C7">
            <w:pPr>
              <w:pStyle w:val="OutcomeDescription"/>
              <w:spacing w:before="120" w:after="120"/>
              <w:rPr>
                <w:rFonts w:cs="Arial"/>
                <w:lang w:eastAsia="en-NZ"/>
              </w:rPr>
            </w:pPr>
            <w:r w:rsidRPr="00BE00C7">
              <w:rPr>
                <w:rFonts w:cs="Arial"/>
                <w:lang w:eastAsia="en-NZ"/>
              </w:rPr>
              <w:t>A whiteboard with individual likes dislikes and dietary requirements is maintained ensuring resident’s dietary needs are met. Copies of individual dietary preferences were available in the kitchen folder. A food control plan is in place and expires 11 September 2025.</w:t>
            </w:r>
          </w:p>
          <w:p w14:paraId="001FAE4C" w14:textId="77777777" w:rsidR="005B1260" w:rsidRPr="00BE00C7" w:rsidRDefault="005B1260" w:rsidP="00BE00C7">
            <w:pPr>
              <w:pStyle w:val="OutcomeDescription"/>
              <w:spacing w:before="120" w:after="120"/>
              <w:rPr>
                <w:rFonts w:cs="Arial"/>
                <w:lang w:eastAsia="en-NZ"/>
              </w:rPr>
            </w:pPr>
          </w:p>
        </w:tc>
      </w:tr>
      <w:tr w:rsidR="00F74E35" w14:paraId="135B8B49" w14:textId="77777777">
        <w:tc>
          <w:tcPr>
            <w:tcW w:w="0" w:type="auto"/>
          </w:tcPr>
          <w:p w14:paraId="5356C4C3"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2C74974"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59AE18" w14:textId="77777777" w:rsidR="005B1260" w:rsidRPr="00BE00C7" w:rsidRDefault="005B1260" w:rsidP="00BE00C7">
            <w:pPr>
              <w:pStyle w:val="OutcomeDescription"/>
              <w:spacing w:before="120" w:after="120"/>
              <w:rPr>
                <w:rFonts w:cs="Arial"/>
                <w:lang w:eastAsia="en-NZ"/>
              </w:rPr>
            </w:pPr>
          </w:p>
        </w:tc>
        <w:tc>
          <w:tcPr>
            <w:tcW w:w="0" w:type="auto"/>
          </w:tcPr>
          <w:p w14:paraId="7578CF71"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36BB24A7"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There is a documented process in the management of the early discharge/ transfer from the service. Residents have a documented transition, transfer, or discharge plan, which includes current needs and risk mitigation. Planned discharges or transfers were coordinated in collaboration with the resident (where appropriate), families/whānau and other service providers to ensure continuity of care. </w:t>
            </w:r>
          </w:p>
          <w:p w14:paraId="4479E539" w14:textId="77777777" w:rsidR="005B1260" w:rsidRPr="00BE00C7" w:rsidRDefault="005B1260" w:rsidP="00BE00C7">
            <w:pPr>
              <w:pStyle w:val="OutcomeDescription"/>
              <w:spacing w:before="120" w:after="120"/>
              <w:rPr>
                <w:rFonts w:cs="Arial"/>
                <w:lang w:eastAsia="en-NZ"/>
              </w:rPr>
            </w:pPr>
          </w:p>
        </w:tc>
      </w:tr>
      <w:tr w:rsidR="00F74E35" w14:paraId="3D826BB4" w14:textId="77777777">
        <w:tc>
          <w:tcPr>
            <w:tcW w:w="0" w:type="auto"/>
          </w:tcPr>
          <w:p w14:paraId="39FB1F40" w14:textId="77777777" w:rsidR="005B1260" w:rsidRPr="00BE00C7" w:rsidRDefault="005B1260" w:rsidP="00BE00C7">
            <w:pPr>
              <w:pStyle w:val="OutcomeDescription"/>
              <w:spacing w:before="120" w:after="120"/>
              <w:rPr>
                <w:rFonts w:cs="Arial"/>
                <w:lang w:eastAsia="en-NZ"/>
              </w:rPr>
            </w:pPr>
            <w:r w:rsidRPr="00BE00C7">
              <w:rPr>
                <w:rFonts w:cs="Arial"/>
                <w:lang w:eastAsia="en-NZ"/>
              </w:rPr>
              <w:t>Subsection 4.1: The facility</w:t>
            </w:r>
          </w:p>
          <w:p w14:paraId="71EAA8C6"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52599B8E" w14:textId="77777777" w:rsidR="005B1260" w:rsidRPr="00BE00C7" w:rsidRDefault="005B1260" w:rsidP="00BE00C7">
            <w:pPr>
              <w:pStyle w:val="OutcomeDescription"/>
              <w:spacing w:before="120" w:after="120"/>
              <w:rPr>
                <w:rFonts w:cs="Arial"/>
                <w:lang w:eastAsia="en-NZ"/>
              </w:rPr>
            </w:pPr>
          </w:p>
        </w:tc>
        <w:tc>
          <w:tcPr>
            <w:tcW w:w="0" w:type="auto"/>
          </w:tcPr>
          <w:p w14:paraId="52B17884"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69494D" w14:textId="77777777" w:rsidR="005B1260" w:rsidRPr="00BE00C7" w:rsidRDefault="005B1260" w:rsidP="00BE00C7">
            <w:pPr>
              <w:pStyle w:val="OutcomeDescription"/>
              <w:spacing w:before="120" w:after="120"/>
              <w:rPr>
                <w:rFonts w:cs="Arial"/>
                <w:lang w:eastAsia="en-NZ"/>
              </w:rPr>
            </w:pPr>
            <w:r w:rsidRPr="00BE00C7">
              <w:rPr>
                <w:rFonts w:cs="Arial"/>
                <w:lang w:eastAsia="en-NZ"/>
              </w:rPr>
              <w:t>Systems are in place to ensure the resident’s physical environment and facilities are appropriate. The buildings, plant, and equipment are fit for purpose at Enliven Castlewood and comply with legislation relevant to the services being provided. The current building warrant of fitness expires 7 September 2025. There is an annual maintenance plan that includes electrical testing and tagging, resident’s equipment checks, call bell checks, calibration of medical equipment, and monthly testing of hot water temp</w:t>
            </w:r>
            <w:r w:rsidRPr="00BE00C7">
              <w:rPr>
                <w:rFonts w:cs="Arial"/>
                <w:lang w:eastAsia="en-NZ"/>
              </w:rPr>
              <w:t xml:space="preserve">eratures. Residents are encouraged to bring their own possessions including those with cultural or spiritual significance into the home and can personalise their room. </w:t>
            </w:r>
          </w:p>
          <w:p w14:paraId="4B2DF7A6" w14:textId="77777777" w:rsidR="005B1260" w:rsidRPr="00BE00C7" w:rsidRDefault="005B1260" w:rsidP="00BE00C7">
            <w:pPr>
              <w:pStyle w:val="OutcomeDescription"/>
              <w:spacing w:before="120" w:after="120"/>
              <w:rPr>
                <w:rFonts w:cs="Arial"/>
                <w:lang w:eastAsia="en-NZ"/>
              </w:rPr>
            </w:pPr>
          </w:p>
        </w:tc>
      </w:tr>
      <w:tr w:rsidR="00F74E35" w14:paraId="67146E1C" w14:textId="77777777">
        <w:tc>
          <w:tcPr>
            <w:tcW w:w="0" w:type="auto"/>
          </w:tcPr>
          <w:p w14:paraId="4F6AAE68"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AB1B9B3"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w:t>
            </w:r>
            <w:r w:rsidRPr="00BE00C7">
              <w:rPr>
                <w:rFonts w:cs="Arial"/>
                <w:lang w:eastAsia="en-NZ"/>
              </w:rPr>
              <w:t>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F2DF3C7" w14:textId="77777777" w:rsidR="005B1260" w:rsidRPr="00BE00C7" w:rsidRDefault="005B1260" w:rsidP="00BE00C7">
            <w:pPr>
              <w:pStyle w:val="OutcomeDescription"/>
              <w:spacing w:before="120" w:after="120"/>
              <w:rPr>
                <w:rFonts w:cs="Arial"/>
                <w:lang w:eastAsia="en-NZ"/>
              </w:rPr>
            </w:pPr>
          </w:p>
        </w:tc>
        <w:tc>
          <w:tcPr>
            <w:tcW w:w="0" w:type="auto"/>
          </w:tcPr>
          <w:p w14:paraId="40EDD469"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7EFAA60B" w14:textId="77777777" w:rsidR="005B1260" w:rsidRPr="00BE00C7" w:rsidRDefault="005B1260" w:rsidP="00BE00C7">
            <w:pPr>
              <w:pStyle w:val="OutcomeDescription"/>
              <w:spacing w:before="120" w:after="120"/>
              <w:rPr>
                <w:rFonts w:cs="Arial"/>
                <w:lang w:eastAsia="en-NZ"/>
              </w:rPr>
            </w:pPr>
            <w:r w:rsidRPr="00BE00C7">
              <w:rPr>
                <w:rFonts w:cs="Arial"/>
                <w:lang w:eastAsia="en-NZ"/>
              </w:rPr>
              <w:t>The infection prevention and control manual outlines a comprehensive range of policies, standards and guidelines and includes defining roles, responsibilities and oversight, and training and education of staff. Policies and procedures are provided by the clinical nurse advisor, with input from infection prevention and control specialists and approved by the clinical governance advisory group. Policies are available to staff and linked to the quality system. Infection control is included in the internal audi</w:t>
            </w:r>
            <w:r w:rsidRPr="00BE00C7">
              <w:rPr>
                <w:rFonts w:cs="Arial"/>
                <w:lang w:eastAsia="en-NZ"/>
              </w:rPr>
              <w:t xml:space="preserve">t schedule. The infection control programme is reviewed and reported on annually. </w:t>
            </w:r>
          </w:p>
          <w:p w14:paraId="70C0F565" w14:textId="77777777" w:rsidR="005B1260" w:rsidRPr="00BE00C7" w:rsidRDefault="005B1260" w:rsidP="00BE00C7">
            <w:pPr>
              <w:pStyle w:val="OutcomeDescription"/>
              <w:spacing w:before="120" w:after="120"/>
              <w:rPr>
                <w:rFonts w:cs="Arial"/>
                <w:lang w:eastAsia="en-NZ"/>
              </w:rPr>
            </w:pPr>
            <w:r w:rsidRPr="00BE00C7">
              <w:rPr>
                <w:rFonts w:cs="Arial"/>
                <w:lang w:eastAsia="en-NZ"/>
              </w:rPr>
              <w:t>The infection control policy states that Enliven Castlewood is committed to the ongoing education of staff and residents. Infection prevention and control is part of staff orientation and included in the training plan. The infection control coordinator has undertaken recent education, including specific training on aged residential care infection control and has additional support (as required) from Health New Zealand. All staff have completed infection prevention and control in-services and associated trai</w:t>
            </w:r>
            <w:r w:rsidRPr="00BE00C7">
              <w:rPr>
                <w:rFonts w:cs="Arial"/>
                <w:lang w:eastAsia="en-NZ"/>
              </w:rPr>
              <w:t>ning, including hand hygiene and the use of personal protective equipment.</w:t>
            </w:r>
          </w:p>
          <w:p w14:paraId="35931835" w14:textId="77777777" w:rsidR="005B1260" w:rsidRPr="00BE00C7" w:rsidRDefault="005B1260" w:rsidP="00BE00C7">
            <w:pPr>
              <w:pStyle w:val="OutcomeDescription"/>
              <w:spacing w:before="120" w:after="120"/>
              <w:rPr>
                <w:rFonts w:cs="Arial"/>
                <w:lang w:eastAsia="en-NZ"/>
              </w:rPr>
            </w:pPr>
          </w:p>
        </w:tc>
      </w:tr>
      <w:tr w:rsidR="00F74E35" w14:paraId="57DCD938" w14:textId="77777777">
        <w:tc>
          <w:tcPr>
            <w:tcW w:w="0" w:type="auto"/>
          </w:tcPr>
          <w:p w14:paraId="15D1259B"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Subsection 5.4: Surveillance of health </w:t>
            </w:r>
            <w:r w:rsidRPr="00BE00C7">
              <w:rPr>
                <w:rFonts w:cs="Arial"/>
                <w:lang w:eastAsia="en-NZ"/>
              </w:rPr>
              <w:t>care-associated infection (HAI)</w:t>
            </w:r>
          </w:p>
          <w:p w14:paraId="139C6156"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4ED24B" w14:textId="77777777" w:rsidR="005B1260" w:rsidRPr="00BE00C7" w:rsidRDefault="005B1260" w:rsidP="00BE00C7">
            <w:pPr>
              <w:pStyle w:val="OutcomeDescription"/>
              <w:spacing w:before="120" w:after="120"/>
              <w:rPr>
                <w:rFonts w:cs="Arial"/>
                <w:lang w:eastAsia="en-NZ"/>
              </w:rPr>
            </w:pPr>
          </w:p>
        </w:tc>
        <w:tc>
          <w:tcPr>
            <w:tcW w:w="0" w:type="auto"/>
          </w:tcPr>
          <w:p w14:paraId="77E66DF8"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5E15C47E" w14:textId="77777777" w:rsidR="005B1260" w:rsidRPr="00BE00C7" w:rsidRDefault="005B1260" w:rsidP="00BE00C7">
            <w:pPr>
              <w:pStyle w:val="OutcomeDescription"/>
              <w:spacing w:before="120" w:after="120"/>
              <w:rPr>
                <w:rFonts w:cs="Arial"/>
                <w:lang w:eastAsia="en-NZ"/>
              </w:rPr>
            </w:pPr>
            <w:r w:rsidRPr="00BE00C7">
              <w:rPr>
                <w:rFonts w:cs="Arial"/>
                <w:lang w:eastAsia="en-NZ"/>
              </w:rPr>
              <w:t>The infection prevention and control policy describes surveillance as an integral part of the infection prevention control programme. Monthly infection data is collected for all infections based on signs, symptoms, 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six-mo</w:t>
            </w:r>
            <w:r w:rsidRPr="00BE00C7">
              <w:rPr>
                <w:rFonts w:cs="Arial"/>
                <w:lang w:eastAsia="en-NZ"/>
              </w:rPr>
              <w:t xml:space="preserve">nthly and annually. Enliven Castlewood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w:t>
            </w:r>
          </w:p>
          <w:p w14:paraId="04200A4A"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 xml:space="preserve">Enliven Castlewood receives regular notifications and alerts from Health New Zealand for any community concerns. There have been no outbreaks since the previous audit. The infection control coordinator could describe precautions and actions that would be taken if an outbreak was declared. Staff interviewed were familiar with isolation processes. </w:t>
            </w:r>
          </w:p>
          <w:p w14:paraId="5C377DAA" w14:textId="77777777" w:rsidR="005B1260" w:rsidRPr="00BE00C7" w:rsidRDefault="005B1260" w:rsidP="00BE00C7">
            <w:pPr>
              <w:pStyle w:val="OutcomeDescription"/>
              <w:spacing w:before="120" w:after="120"/>
              <w:rPr>
                <w:rFonts w:cs="Arial"/>
                <w:lang w:eastAsia="en-NZ"/>
              </w:rPr>
            </w:pPr>
          </w:p>
        </w:tc>
      </w:tr>
      <w:tr w:rsidR="00F74E35" w14:paraId="61CE5F6A" w14:textId="77777777">
        <w:tc>
          <w:tcPr>
            <w:tcW w:w="0" w:type="auto"/>
          </w:tcPr>
          <w:p w14:paraId="4E8619DA"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99A983D" w14:textId="77777777" w:rsidR="005B1260" w:rsidRPr="00BE00C7" w:rsidRDefault="005B126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ACF200C" w14:textId="77777777" w:rsidR="005B1260" w:rsidRPr="00BE00C7" w:rsidRDefault="005B1260" w:rsidP="00BE00C7">
            <w:pPr>
              <w:pStyle w:val="OutcomeDescription"/>
              <w:spacing w:before="120" w:after="120"/>
              <w:rPr>
                <w:rFonts w:cs="Arial"/>
                <w:lang w:eastAsia="en-NZ"/>
              </w:rPr>
            </w:pPr>
          </w:p>
        </w:tc>
        <w:tc>
          <w:tcPr>
            <w:tcW w:w="0" w:type="auto"/>
          </w:tcPr>
          <w:p w14:paraId="470D3590" w14:textId="77777777" w:rsidR="005B1260" w:rsidRPr="00BE00C7" w:rsidRDefault="005B1260" w:rsidP="00BE00C7">
            <w:pPr>
              <w:pStyle w:val="OutcomeDescription"/>
              <w:spacing w:before="120" w:after="120"/>
              <w:rPr>
                <w:rFonts w:cs="Arial"/>
                <w:lang w:eastAsia="en-NZ"/>
              </w:rPr>
            </w:pPr>
            <w:r w:rsidRPr="00BE00C7">
              <w:rPr>
                <w:rFonts w:cs="Arial"/>
                <w:lang w:eastAsia="en-NZ"/>
              </w:rPr>
              <w:t>FA</w:t>
            </w:r>
          </w:p>
        </w:tc>
        <w:tc>
          <w:tcPr>
            <w:tcW w:w="0" w:type="auto"/>
          </w:tcPr>
          <w:p w14:paraId="60CCC0E8"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During interviews, the clinical manager (from the sister site) and quality advisor described the organisation’s commitment to restraint minimisation. This is supported by the governing body and policies and procedures. The facility has no residents using restraint. </w:t>
            </w:r>
          </w:p>
          <w:p w14:paraId="2A117E31" w14:textId="77777777" w:rsidR="005B1260" w:rsidRPr="00BE00C7" w:rsidRDefault="005B1260" w:rsidP="00BE00C7">
            <w:pPr>
              <w:pStyle w:val="OutcomeDescription"/>
              <w:spacing w:before="120" w:after="120"/>
              <w:rPr>
                <w:rFonts w:cs="Arial"/>
                <w:lang w:eastAsia="en-NZ"/>
              </w:rPr>
            </w:pPr>
            <w:r w:rsidRPr="00BE00C7">
              <w:rPr>
                <w:rFonts w:cs="Arial"/>
                <w:lang w:eastAsia="en-NZ"/>
              </w:rPr>
              <w:t>Staff complete online training in behaviours that challenge and de-escalation techniques. Alternatives to restraint, behaviours that challenge, and residents who are a high falls risk are discussed at combined quality and staff meetings and clinical meetings. Any use of restraint and how it is being monitored and analysed, is reported at these meetings. The clinical manager described ways they work in partnership with Māori, to promote and ensure services are mana enhancing, whenever restraint is considered</w:t>
            </w:r>
            <w:r w:rsidRPr="00BE00C7">
              <w:rPr>
                <w:rFonts w:cs="Arial"/>
                <w:lang w:eastAsia="en-NZ"/>
              </w:rPr>
              <w:t xml:space="preserve">. </w:t>
            </w:r>
          </w:p>
          <w:p w14:paraId="7C22E594" w14:textId="77777777" w:rsidR="005B1260" w:rsidRPr="00BE00C7" w:rsidRDefault="005B1260" w:rsidP="00BE00C7">
            <w:pPr>
              <w:pStyle w:val="OutcomeDescription"/>
              <w:spacing w:before="120" w:after="120"/>
              <w:rPr>
                <w:rFonts w:cs="Arial"/>
                <w:lang w:eastAsia="en-NZ"/>
              </w:rPr>
            </w:pPr>
          </w:p>
        </w:tc>
      </w:tr>
    </w:tbl>
    <w:p w14:paraId="452F6111" w14:textId="77777777" w:rsidR="005B1260" w:rsidRPr="00BE00C7" w:rsidRDefault="005B1260" w:rsidP="00BE00C7">
      <w:pPr>
        <w:pStyle w:val="OutcomeDescription"/>
        <w:spacing w:before="120" w:after="120"/>
        <w:rPr>
          <w:rFonts w:cs="Arial"/>
          <w:lang w:eastAsia="en-NZ"/>
        </w:rPr>
      </w:pPr>
      <w:bookmarkStart w:id="56" w:name="AuditSummaryAttainment"/>
      <w:bookmarkEnd w:id="56"/>
    </w:p>
    <w:p w14:paraId="45AB90CF" w14:textId="77777777" w:rsidR="005B1260" w:rsidRDefault="005B1260">
      <w:pPr>
        <w:pStyle w:val="Heading1"/>
        <w:rPr>
          <w:rFonts w:cs="Arial"/>
        </w:rPr>
      </w:pPr>
      <w:r>
        <w:rPr>
          <w:rFonts w:cs="Arial"/>
        </w:rPr>
        <w:lastRenderedPageBreak/>
        <w:t>Specific results for criterion where corrective actions are required</w:t>
      </w:r>
    </w:p>
    <w:p w14:paraId="61DF218D" w14:textId="77777777" w:rsidR="005B1260" w:rsidRDefault="005B126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816FB95" w14:textId="77777777" w:rsidR="005B1260" w:rsidRDefault="005B126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4BE6968" w14:textId="77777777" w:rsidR="005B1260" w:rsidRDefault="005B126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329"/>
        <w:gridCol w:w="4535"/>
        <w:gridCol w:w="2793"/>
        <w:gridCol w:w="2057"/>
      </w:tblGrid>
      <w:tr w:rsidR="00F74E35" w14:paraId="3BFDC222" w14:textId="77777777">
        <w:tc>
          <w:tcPr>
            <w:tcW w:w="0" w:type="auto"/>
          </w:tcPr>
          <w:p w14:paraId="07DE924D" w14:textId="77777777" w:rsidR="005B1260" w:rsidRPr="00BE00C7" w:rsidRDefault="005B126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09F4D72" w14:textId="77777777" w:rsidR="005B1260" w:rsidRPr="00BE00C7" w:rsidRDefault="005B126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6ACE1A" w14:textId="77777777" w:rsidR="005B1260" w:rsidRPr="00BE00C7" w:rsidRDefault="005B126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E71A46B" w14:textId="77777777" w:rsidR="005B1260" w:rsidRPr="00BE00C7" w:rsidRDefault="005B126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8BD94AF" w14:textId="77777777" w:rsidR="005B1260" w:rsidRPr="00BE00C7" w:rsidRDefault="005B126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74E35" w14:paraId="51705643" w14:textId="77777777">
        <w:tc>
          <w:tcPr>
            <w:tcW w:w="0" w:type="auto"/>
          </w:tcPr>
          <w:p w14:paraId="110D73E9" w14:textId="77777777" w:rsidR="005B1260" w:rsidRPr="00BE00C7" w:rsidRDefault="005B1260" w:rsidP="00BE00C7">
            <w:pPr>
              <w:pStyle w:val="OutcomeDescription"/>
              <w:spacing w:before="120" w:after="120"/>
              <w:rPr>
                <w:rFonts w:cs="Arial"/>
                <w:lang w:eastAsia="en-NZ"/>
              </w:rPr>
            </w:pPr>
            <w:r w:rsidRPr="00BE00C7">
              <w:rPr>
                <w:rFonts w:cs="Arial"/>
                <w:lang w:eastAsia="en-NZ"/>
              </w:rPr>
              <w:t>Criterion 3.2.5</w:t>
            </w:r>
          </w:p>
          <w:p w14:paraId="4C247827"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Planned </w:t>
            </w:r>
            <w:r w:rsidRPr="00BE00C7">
              <w:rPr>
                <w:rFonts w:cs="Arial"/>
                <w:lang w:eastAsia="en-NZ"/>
              </w:rPr>
              <w:t>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w:t>
            </w:r>
            <w:r w:rsidRPr="00BE00C7">
              <w:rPr>
                <w:rFonts w:cs="Arial"/>
                <w:lang w:eastAsia="en-NZ"/>
              </w:rPr>
              <w:lastRenderedPageBreak/>
              <w:t xml:space="preserve">assessment and review process, and ensure </w:t>
            </w:r>
            <w:r w:rsidRPr="00BE00C7">
              <w:rPr>
                <w:rFonts w:cs="Arial"/>
                <w:lang w:eastAsia="en-NZ"/>
              </w:rPr>
              <w:t>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E224716" w14:textId="77777777" w:rsidR="005B1260" w:rsidRPr="00BE00C7" w:rsidRDefault="005B1260" w:rsidP="00BE00C7">
            <w:pPr>
              <w:pStyle w:val="OutcomeDescription"/>
              <w:spacing w:before="120" w:after="120"/>
              <w:rPr>
                <w:rFonts w:cs="Arial"/>
                <w:lang w:eastAsia="en-NZ"/>
              </w:rPr>
            </w:pPr>
          </w:p>
        </w:tc>
        <w:tc>
          <w:tcPr>
            <w:tcW w:w="0" w:type="auto"/>
          </w:tcPr>
          <w:p w14:paraId="740DE570"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42800B5"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Care plans are formally evaluated six monthly following the interRAI reassessment. Care plan evaluations document residents progression towards meeting goals. There was evidence of resident and family/whānau input to care plan evaluations and goal setting. Where there are changes to the residents condition, a short term care plan is implemented, reviewed and either resolved or interventions are added to the long term care plan. </w:t>
            </w:r>
          </w:p>
          <w:p w14:paraId="1DB005E2" w14:textId="77777777" w:rsidR="005B1260" w:rsidRPr="00BE00C7" w:rsidRDefault="005B1260" w:rsidP="00BE00C7">
            <w:pPr>
              <w:pStyle w:val="OutcomeDescription"/>
              <w:spacing w:before="120" w:after="120"/>
              <w:rPr>
                <w:rFonts w:cs="Arial"/>
                <w:lang w:eastAsia="en-NZ"/>
              </w:rPr>
            </w:pPr>
            <w:r w:rsidRPr="00BE00C7">
              <w:rPr>
                <w:rFonts w:cs="Arial"/>
                <w:lang w:eastAsia="en-NZ"/>
              </w:rPr>
              <w:t>Progress notes are written electronically every shift and as necessary by HCAs. The RNs further add to the progress notes when there are any incidents or changes in health status. However, it was evident that the RNs had not recorded all changes in health status and updates in the progress notes as per policy.</w:t>
            </w:r>
          </w:p>
          <w:p w14:paraId="04DE78AF" w14:textId="77777777" w:rsidR="005B1260" w:rsidRPr="00BE00C7" w:rsidRDefault="005B1260" w:rsidP="00BE00C7">
            <w:pPr>
              <w:pStyle w:val="OutcomeDescription"/>
              <w:spacing w:before="120" w:after="120"/>
              <w:rPr>
                <w:rFonts w:cs="Arial"/>
                <w:lang w:eastAsia="en-NZ"/>
              </w:rPr>
            </w:pPr>
          </w:p>
        </w:tc>
        <w:tc>
          <w:tcPr>
            <w:tcW w:w="0" w:type="auto"/>
          </w:tcPr>
          <w:p w14:paraId="65C89349" w14:textId="77777777" w:rsidR="005B1260" w:rsidRPr="00BE00C7" w:rsidRDefault="005B1260" w:rsidP="00BE00C7">
            <w:pPr>
              <w:pStyle w:val="OutcomeDescription"/>
              <w:spacing w:before="120" w:after="120"/>
              <w:rPr>
                <w:rFonts w:cs="Arial"/>
                <w:lang w:eastAsia="en-NZ"/>
              </w:rPr>
            </w:pPr>
            <w:r w:rsidRPr="00BE00C7">
              <w:rPr>
                <w:rFonts w:cs="Arial"/>
                <w:lang w:eastAsia="en-NZ"/>
              </w:rPr>
              <w:lastRenderedPageBreak/>
              <w:t xml:space="preserve">In three of the fives files reviewed the RNs had not recorded acute changes and updates regarding a residents’ care and support needs as per the policy requirements, </w:t>
            </w:r>
          </w:p>
          <w:p w14:paraId="5AC73CD2" w14:textId="77777777" w:rsidR="005B1260" w:rsidRPr="00BE00C7" w:rsidRDefault="005B1260" w:rsidP="00BE00C7">
            <w:pPr>
              <w:pStyle w:val="OutcomeDescription"/>
              <w:spacing w:before="120" w:after="120"/>
              <w:rPr>
                <w:rFonts w:cs="Arial"/>
                <w:lang w:eastAsia="en-NZ"/>
              </w:rPr>
            </w:pPr>
          </w:p>
        </w:tc>
        <w:tc>
          <w:tcPr>
            <w:tcW w:w="0" w:type="auto"/>
          </w:tcPr>
          <w:p w14:paraId="2875344F"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Ensure RNs follow policy and procedure in the management of residents’ progress notes. </w:t>
            </w:r>
          </w:p>
          <w:p w14:paraId="33648361" w14:textId="77777777" w:rsidR="005B1260" w:rsidRPr="00BE00C7" w:rsidRDefault="005B1260" w:rsidP="00BE00C7">
            <w:pPr>
              <w:pStyle w:val="OutcomeDescription"/>
              <w:spacing w:before="120" w:after="120"/>
              <w:rPr>
                <w:rFonts w:cs="Arial"/>
                <w:lang w:eastAsia="en-NZ"/>
              </w:rPr>
            </w:pPr>
          </w:p>
          <w:p w14:paraId="3211016C" w14:textId="77777777" w:rsidR="005B1260" w:rsidRPr="00BE00C7" w:rsidRDefault="005B1260" w:rsidP="00BE00C7">
            <w:pPr>
              <w:pStyle w:val="OutcomeDescription"/>
              <w:spacing w:before="120" w:after="120"/>
              <w:rPr>
                <w:rFonts w:cs="Arial"/>
                <w:lang w:eastAsia="en-NZ"/>
              </w:rPr>
            </w:pPr>
            <w:r w:rsidRPr="00BE00C7">
              <w:rPr>
                <w:rFonts w:cs="Arial"/>
                <w:lang w:eastAsia="en-NZ"/>
              </w:rPr>
              <w:t>90 days</w:t>
            </w:r>
          </w:p>
        </w:tc>
      </w:tr>
      <w:tr w:rsidR="00F74E35" w14:paraId="4D2FB3F3" w14:textId="77777777">
        <w:tc>
          <w:tcPr>
            <w:tcW w:w="0" w:type="auto"/>
          </w:tcPr>
          <w:p w14:paraId="5DAA33DC" w14:textId="77777777" w:rsidR="005B1260" w:rsidRPr="00BE00C7" w:rsidRDefault="005B1260" w:rsidP="00BE00C7">
            <w:pPr>
              <w:pStyle w:val="OutcomeDescription"/>
              <w:spacing w:before="120" w:after="120"/>
              <w:rPr>
                <w:rFonts w:cs="Arial"/>
                <w:lang w:eastAsia="en-NZ"/>
              </w:rPr>
            </w:pPr>
            <w:r w:rsidRPr="00BE00C7">
              <w:rPr>
                <w:rFonts w:cs="Arial"/>
                <w:lang w:eastAsia="en-NZ"/>
              </w:rPr>
              <w:t>Criterion 3.5.5</w:t>
            </w:r>
          </w:p>
          <w:p w14:paraId="659471DC" w14:textId="77777777" w:rsidR="005B1260" w:rsidRPr="00BE00C7" w:rsidRDefault="005B126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0AE0F731" w14:textId="77777777" w:rsidR="005B1260" w:rsidRPr="00BE00C7" w:rsidRDefault="005B1260" w:rsidP="00BE00C7">
            <w:pPr>
              <w:pStyle w:val="OutcomeDescription"/>
              <w:spacing w:before="120" w:after="120"/>
              <w:rPr>
                <w:rFonts w:cs="Arial"/>
                <w:lang w:eastAsia="en-NZ"/>
              </w:rPr>
            </w:pPr>
            <w:r w:rsidRPr="00BE00C7">
              <w:rPr>
                <w:rFonts w:cs="Arial"/>
                <w:lang w:eastAsia="en-NZ"/>
              </w:rPr>
              <w:t>PA Low</w:t>
            </w:r>
          </w:p>
        </w:tc>
        <w:tc>
          <w:tcPr>
            <w:tcW w:w="0" w:type="auto"/>
          </w:tcPr>
          <w:p w14:paraId="7377C659"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A food control plan is in place and expires 11 September 2024. Temperature monitoring procedures are in place; however, evidence of temperature monitoring of the lunch time meals was not recorded on six days of the previous month. </w:t>
            </w:r>
          </w:p>
          <w:p w14:paraId="55014356" w14:textId="77777777" w:rsidR="005B1260" w:rsidRPr="00BE00C7" w:rsidRDefault="005B1260" w:rsidP="00BE00C7">
            <w:pPr>
              <w:pStyle w:val="OutcomeDescription"/>
              <w:spacing w:before="120" w:after="120"/>
              <w:rPr>
                <w:rFonts w:cs="Arial"/>
                <w:lang w:eastAsia="en-NZ"/>
              </w:rPr>
            </w:pPr>
          </w:p>
        </w:tc>
        <w:tc>
          <w:tcPr>
            <w:tcW w:w="0" w:type="auto"/>
          </w:tcPr>
          <w:p w14:paraId="2C810F96" w14:textId="77777777" w:rsidR="005B1260" w:rsidRPr="00BE00C7" w:rsidRDefault="005B1260" w:rsidP="00BE00C7">
            <w:pPr>
              <w:pStyle w:val="OutcomeDescription"/>
              <w:spacing w:before="120" w:after="120"/>
              <w:rPr>
                <w:rFonts w:cs="Arial"/>
                <w:lang w:eastAsia="en-NZ"/>
              </w:rPr>
            </w:pPr>
            <w:r w:rsidRPr="00BE00C7">
              <w:rPr>
                <w:rFonts w:cs="Arial"/>
                <w:lang w:eastAsia="en-NZ"/>
              </w:rPr>
              <w:t>Temperature monitoring of the lunch time meals was not recorded on six days of the previous month.</w:t>
            </w:r>
          </w:p>
          <w:p w14:paraId="6E3FC30F" w14:textId="77777777" w:rsidR="005B1260" w:rsidRPr="00BE00C7" w:rsidRDefault="005B1260" w:rsidP="00BE00C7">
            <w:pPr>
              <w:pStyle w:val="OutcomeDescription"/>
              <w:spacing w:before="120" w:after="120"/>
              <w:rPr>
                <w:rFonts w:cs="Arial"/>
                <w:lang w:eastAsia="en-NZ"/>
              </w:rPr>
            </w:pPr>
          </w:p>
        </w:tc>
        <w:tc>
          <w:tcPr>
            <w:tcW w:w="0" w:type="auto"/>
          </w:tcPr>
          <w:p w14:paraId="1F2B00ED" w14:textId="77777777" w:rsidR="005B1260" w:rsidRPr="00BE00C7" w:rsidRDefault="005B1260" w:rsidP="00BE00C7">
            <w:pPr>
              <w:pStyle w:val="OutcomeDescription"/>
              <w:spacing w:before="120" w:after="120"/>
              <w:rPr>
                <w:rFonts w:cs="Arial"/>
                <w:lang w:eastAsia="en-NZ"/>
              </w:rPr>
            </w:pPr>
            <w:r w:rsidRPr="00BE00C7">
              <w:rPr>
                <w:rFonts w:cs="Arial"/>
                <w:lang w:eastAsia="en-NZ"/>
              </w:rPr>
              <w:t xml:space="preserve">Ensure temperature monitoring is completed as per procedure </w:t>
            </w:r>
          </w:p>
          <w:p w14:paraId="4FCF3BEB" w14:textId="77777777" w:rsidR="005B1260" w:rsidRPr="00BE00C7" w:rsidRDefault="005B1260" w:rsidP="00BE00C7">
            <w:pPr>
              <w:pStyle w:val="OutcomeDescription"/>
              <w:spacing w:before="120" w:after="120"/>
              <w:rPr>
                <w:rFonts w:cs="Arial"/>
                <w:lang w:eastAsia="en-NZ"/>
              </w:rPr>
            </w:pPr>
          </w:p>
          <w:p w14:paraId="5C3A8C92" w14:textId="77777777" w:rsidR="005B1260" w:rsidRPr="00BE00C7" w:rsidRDefault="005B1260" w:rsidP="00BE00C7">
            <w:pPr>
              <w:pStyle w:val="OutcomeDescription"/>
              <w:spacing w:before="120" w:after="120"/>
              <w:rPr>
                <w:rFonts w:cs="Arial"/>
                <w:lang w:eastAsia="en-NZ"/>
              </w:rPr>
            </w:pPr>
            <w:r w:rsidRPr="00BE00C7">
              <w:rPr>
                <w:rFonts w:cs="Arial"/>
                <w:lang w:eastAsia="en-NZ"/>
              </w:rPr>
              <w:t>90 days</w:t>
            </w:r>
          </w:p>
        </w:tc>
      </w:tr>
    </w:tbl>
    <w:p w14:paraId="3A17553B" w14:textId="77777777" w:rsidR="005B1260" w:rsidRPr="00BE00C7" w:rsidRDefault="005B1260" w:rsidP="00BE00C7">
      <w:pPr>
        <w:pStyle w:val="OutcomeDescription"/>
        <w:spacing w:before="120" w:after="120"/>
        <w:rPr>
          <w:rFonts w:cs="Arial"/>
          <w:lang w:eastAsia="en-NZ"/>
        </w:rPr>
      </w:pPr>
      <w:bookmarkStart w:id="57" w:name="AuditSummaryCAMCriterion"/>
      <w:bookmarkEnd w:id="57"/>
    </w:p>
    <w:p w14:paraId="2C2D9E1D" w14:textId="77777777" w:rsidR="005B1260" w:rsidRDefault="005B1260">
      <w:pPr>
        <w:pStyle w:val="Heading1"/>
        <w:rPr>
          <w:rFonts w:cs="Arial"/>
        </w:rPr>
      </w:pPr>
      <w:r>
        <w:rPr>
          <w:rFonts w:cs="Arial"/>
        </w:rPr>
        <w:lastRenderedPageBreak/>
        <w:t>Specific results for criterion where a continuous improvement has been recorded</w:t>
      </w:r>
    </w:p>
    <w:p w14:paraId="6D1784AA" w14:textId="77777777" w:rsidR="005B1260" w:rsidRDefault="005B126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496E8F" w14:textId="77777777" w:rsidR="005B1260" w:rsidRDefault="005B126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E234715" w14:textId="77777777" w:rsidR="005B1260" w:rsidRDefault="005B126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4E35" w14:paraId="09EF7CEC" w14:textId="77777777">
        <w:tc>
          <w:tcPr>
            <w:tcW w:w="0" w:type="auto"/>
          </w:tcPr>
          <w:p w14:paraId="1A6AB005" w14:textId="77777777" w:rsidR="005B1260" w:rsidRPr="00BE00C7" w:rsidRDefault="005B1260" w:rsidP="00BE00C7">
            <w:pPr>
              <w:pStyle w:val="OutcomeDescription"/>
              <w:spacing w:before="120" w:after="120"/>
              <w:rPr>
                <w:rFonts w:cs="Arial"/>
                <w:lang w:eastAsia="en-NZ"/>
              </w:rPr>
            </w:pPr>
            <w:r w:rsidRPr="00BE00C7">
              <w:rPr>
                <w:rFonts w:cs="Arial"/>
                <w:lang w:eastAsia="en-NZ"/>
              </w:rPr>
              <w:t>No data to display</w:t>
            </w:r>
          </w:p>
        </w:tc>
      </w:tr>
    </w:tbl>
    <w:p w14:paraId="439819B0" w14:textId="77777777" w:rsidR="005B1260" w:rsidRPr="00BE00C7" w:rsidRDefault="005B1260" w:rsidP="00BE00C7">
      <w:pPr>
        <w:pStyle w:val="OutcomeDescription"/>
        <w:spacing w:before="120" w:after="120"/>
        <w:rPr>
          <w:rFonts w:cs="Arial"/>
          <w:lang w:eastAsia="en-NZ"/>
        </w:rPr>
      </w:pPr>
      <w:bookmarkStart w:id="58" w:name="AuditSummaryCAMImprovment"/>
      <w:bookmarkEnd w:id="58"/>
    </w:p>
    <w:p w14:paraId="3D1E585E" w14:textId="77777777" w:rsidR="005B1260" w:rsidRDefault="005B126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7B42" w14:textId="77777777" w:rsidR="005B1260" w:rsidRDefault="005B1260">
      <w:r>
        <w:separator/>
      </w:r>
    </w:p>
  </w:endnote>
  <w:endnote w:type="continuationSeparator" w:id="0">
    <w:p w14:paraId="021842B5" w14:textId="77777777" w:rsidR="005B1260" w:rsidRDefault="005B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9B4C" w14:textId="77777777" w:rsidR="005B1260" w:rsidRDefault="005B1260">
    <w:pPr>
      <w:pStyle w:val="Footer"/>
    </w:pPr>
  </w:p>
  <w:p w14:paraId="49B36CFA" w14:textId="77777777" w:rsidR="005B1260" w:rsidRDefault="005B1260"/>
  <w:p w14:paraId="03689FC5" w14:textId="77777777" w:rsidR="005B1260" w:rsidRDefault="005B126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3CAF" w14:textId="77777777" w:rsidR="005B1260" w:rsidRPr="000B00BC" w:rsidRDefault="005B126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Otago Incorporated - Enliven CastleWood</w:t>
    </w:r>
    <w:bookmarkEnd w:id="59"/>
    <w:r>
      <w:rPr>
        <w:rFonts w:cs="Arial"/>
        <w:sz w:val="16"/>
        <w:szCs w:val="20"/>
      </w:rPr>
      <w:tab/>
      <w:t xml:space="preserve">Date of Audit: </w:t>
    </w:r>
    <w:bookmarkStart w:id="60" w:name="AuditStartDate1"/>
    <w:r>
      <w:rPr>
        <w:rFonts w:cs="Arial"/>
        <w:sz w:val="16"/>
        <w:szCs w:val="20"/>
      </w:rPr>
      <w:t>15 October 2024</w:t>
    </w:r>
    <w:bookmarkEnd w:id="60"/>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6AE69B" w14:textId="77777777" w:rsidR="005B1260" w:rsidRDefault="005B12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1DAA" w14:textId="77777777" w:rsidR="005B1260" w:rsidRDefault="005B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E969" w14:textId="77777777" w:rsidR="005B1260" w:rsidRDefault="005B1260">
      <w:r>
        <w:separator/>
      </w:r>
    </w:p>
  </w:footnote>
  <w:footnote w:type="continuationSeparator" w:id="0">
    <w:p w14:paraId="1D7D5772" w14:textId="77777777" w:rsidR="005B1260" w:rsidRDefault="005B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3AFF" w14:textId="77777777" w:rsidR="005B1260" w:rsidRDefault="005B1260">
    <w:pPr>
      <w:pStyle w:val="Header"/>
    </w:pPr>
  </w:p>
  <w:p w14:paraId="643B1630" w14:textId="77777777" w:rsidR="005B1260" w:rsidRDefault="005B1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DA99" w14:textId="77777777" w:rsidR="005B1260" w:rsidRDefault="005B1260">
    <w:pPr>
      <w:pStyle w:val="Header"/>
    </w:pPr>
  </w:p>
  <w:p w14:paraId="03EED6BC" w14:textId="77777777" w:rsidR="005B1260" w:rsidRDefault="005B1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EE9A" w14:textId="77777777" w:rsidR="005B1260" w:rsidRDefault="005B1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B50CBC8">
      <w:start w:val="1"/>
      <w:numFmt w:val="decimal"/>
      <w:lvlText w:val="%1."/>
      <w:lvlJc w:val="left"/>
      <w:pPr>
        <w:ind w:left="360" w:hanging="360"/>
      </w:pPr>
    </w:lvl>
    <w:lvl w:ilvl="1" w:tplc="5734B988" w:tentative="1">
      <w:start w:val="1"/>
      <w:numFmt w:val="lowerLetter"/>
      <w:lvlText w:val="%2."/>
      <w:lvlJc w:val="left"/>
      <w:pPr>
        <w:ind w:left="1080" w:hanging="360"/>
      </w:pPr>
    </w:lvl>
    <w:lvl w:ilvl="2" w:tplc="27C4CF62" w:tentative="1">
      <w:start w:val="1"/>
      <w:numFmt w:val="lowerRoman"/>
      <w:lvlText w:val="%3."/>
      <w:lvlJc w:val="right"/>
      <w:pPr>
        <w:ind w:left="1800" w:hanging="180"/>
      </w:pPr>
    </w:lvl>
    <w:lvl w:ilvl="3" w:tplc="98FEC5CA" w:tentative="1">
      <w:start w:val="1"/>
      <w:numFmt w:val="decimal"/>
      <w:lvlText w:val="%4."/>
      <w:lvlJc w:val="left"/>
      <w:pPr>
        <w:ind w:left="2520" w:hanging="360"/>
      </w:pPr>
    </w:lvl>
    <w:lvl w:ilvl="4" w:tplc="5462A6DC" w:tentative="1">
      <w:start w:val="1"/>
      <w:numFmt w:val="lowerLetter"/>
      <w:lvlText w:val="%5."/>
      <w:lvlJc w:val="left"/>
      <w:pPr>
        <w:ind w:left="3240" w:hanging="360"/>
      </w:pPr>
    </w:lvl>
    <w:lvl w:ilvl="5" w:tplc="D4683BEA" w:tentative="1">
      <w:start w:val="1"/>
      <w:numFmt w:val="lowerRoman"/>
      <w:lvlText w:val="%6."/>
      <w:lvlJc w:val="right"/>
      <w:pPr>
        <w:ind w:left="3960" w:hanging="180"/>
      </w:pPr>
    </w:lvl>
    <w:lvl w:ilvl="6" w:tplc="02A4A66E" w:tentative="1">
      <w:start w:val="1"/>
      <w:numFmt w:val="decimal"/>
      <w:lvlText w:val="%7."/>
      <w:lvlJc w:val="left"/>
      <w:pPr>
        <w:ind w:left="4680" w:hanging="360"/>
      </w:pPr>
    </w:lvl>
    <w:lvl w:ilvl="7" w:tplc="3824197A" w:tentative="1">
      <w:start w:val="1"/>
      <w:numFmt w:val="lowerLetter"/>
      <w:lvlText w:val="%8."/>
      <w:lvlJc w:val="left"/>
      <w:pPr>
        <w:ind w:left="5400" w:hanging="360"/>
      </w:pPr>
    </w:lvl>
    <w:lvl w:ilvl="8" w:tplc="9B3A64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3261682">
      <w:start w:val="1"/>
      <w:numFmt w:val="bullet"/>
      <w:lvlText w:val=""/>
      <w:lvlJc w:val="left"/>
      <w:pPr>
        <w:ind w:left="720" w:hanging="360"/>
      </w:pPr>
      <w:rPr>
        <w:rFonts w:ascii="Symbol" w:hAnsi="Symbol" w:hint="default"/>
      </w:rPr>
    </w:lvl>
    <w:lvl w:ilvl="1" w:tplc="CBAE72E8" w:tentative="1">
      <w:start w:val="1"/>
      <w:numFmt w:val="bullet"/>
      <w:lvlText w:val="o"/>
      <w:lvlJc w:val="left"/>
      <w:pPr>
        <w:ind w:left="1440" w:hanging="360"/>
      </w:pPr>
      <w:rPr>
        <w:rFonts w:ascii="Courier New" w:hAnsi="Courier New" w:cs="Courier New" w:hint="default"/>
      </w:rPr>
    </w:lvl>
    <w:lvl w:ilvl="2" w:tplc="C0AAADC0" w:tentative="1">
      <w:start w:val="1"/>
      <w:numFmt w:val="bullet"/>
      <w:lvlText w:val=""/>
      <w:lvlJc w:val="left"/>
      <w:pPr>
        <w:ind w:left="2160" w:hanging="360"/>
      </w:pPr>
      <w:rPr>
        <w:rFonts w:ascii="Wingdings" w:hAnsi="Wingdings" w:hint="default"/>
      </w:rPr>
    </w:lvl>
    <w:lvl w:ilvl="3" w:tplc="2C38D4C6" w:tentative="1">
      <w:start w:val="1"/>
      <w:numFmt w:val="bullet"/>
      <w:lvlText w:val=""/>
      <w:lvlJc w:val="left"/>
      <w:pPr>
        <w:ind w:left="2880" w:hanging="360"/>
      </w:pPr>
      <w:rPr>
        <w:rFonts w:ascii="Symbol" w:hAnsi="Symbol" w:hint="default"/>
      </w:rPr>
    </w:lvl>
    <w:lvl w:ilvl="4" w:tplc="5B683960" w:tentative="1">
      <w:start w:val="1"/>
      <w:numFmt w:val="bullet"/>
      <w:lvlText w:val="o"/>
      <w:lvlJc w:val="left"/>
      <w:pPr>
        <w:ind w:left="3600" w:hanging="360"/>
      </w:pPr>
      <w:rPr>
        <w:rFonts w:ascii="Courier New" w:hAnsi="Courier New" w:cs="Courier New" w:hint="default"/>
      </w:rPr>
    </w:lvl>
    <w:lvl w:ilvl="5" w:tplc="9B58FEA4" w:tentative="1">
      <w:start w:val="1"/>
      <w:numFmt w:val="bullet"/>
      <w:lvlText w:val=""/>
      <w:lvlJc w:val="left"/>
      <w:pPr>
        <w:ind w:left="4320" w:hanging="360"/>
      </w:pPr>
      <w:rPr>
        <w:rFonts w:ascii="Wingdings" w:hAnsi="Wingdings" w:hint="default"/>
      </w:rPr>
    </w:lvl>
    <w:lvl w:ilvl="6" w:tplc="6052A12A" w:tentative="1">
      <w:start w:val="1"/>
      <w:numFmt w:val="bullet"/>
      <w:lvlText w:val=""/>
      <w:lvlJc w:val="left"/>
      <w:pPr>
        <w:ind w:left="5040" w:hanging="360"/>
      </w:pPr>
      <w:rPr>
        <w:rFonts w:ascii="Symbol" w:hAnsi="Symbol" w:hint="default"/>
      </w:rPr>
    </w:lvl>
    <w:lvl w:ilvl="7" w:tplc="3B688B54" w:tentative="1">
      <w:start w:val="1"/>
      <w:numFmt w:val="bullet"/>
      <w:lvlText w:val="o"/>
      <w:lvlJc w:val="left"/>
      <w:pPr>
        <w:ind w:left="5760" w:hanging="360"/>
      </w:pPr>
      <w:rPr>
        <w:rFonts w:ascii="Courier New" w:hAnsi="Courier New" w:cs="Courier New" w:hint="default"/>
      </w:rPr>
    </w:lvl>
    <w:lvl w:ilvl="8" w:tplc="9862958A" w:tentative="1">
      <w:start w:val="1"/>
      <w:numFmt w:val="bullet"/>
      <w:lvlText w:val=""/>
      <w:lvlJc w:val="left"/>
      <w:pPr>
        <w:ind w:left="6480" w:hanging="360"/>
      </w:pPr>
      <w:rPr>
        <w:rFonts w:ascii="Wingdings" w:hAnsi="Wingdings" w:hint="default"/>
      </w:rPr>
    </w:lvl>
  </w:abstractNum>
  <w:num w:numId="1" w16cid:durableId="1864322110">
    <w:abstractNumId w:val="1"/>
  </w:num>
  <w:num w:numId="2" w16cid:durableId="55281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35"/>
    <w:rsid w:val="005B1260"/>
    <w:rsid w:val="008B7CA9"/>
    <w:rsid w:val="00F74E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C28D"/>
  <w15:docId w15:val="{40CACB4A-16AF-4248-98D9-8E134FB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7567</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2024-12-01T22:08:00Z</dcterms:created>
  <dcterms:modified xsi:type="dcterms:W3CDTF">2024-12-01T22:11:00Z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