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865C" w14:textId="77777777" w:rsidR="004712A2" w:rsidRDefault="004712A2">
      <w:pPr>
        <w:pStyle w:val="Heading1"/>
        <w:rPr>
          <w:rFonts w:cs="Arial"/>
        </w:rPr>
      </w:pPr>
      <w:bookmarkStart w:id="0" w:name="PRMS_RIName"/>
      <w:r>
        <w:rPr>
          <w:rFonts w:cs="Arial"/>
        </w:rPr>
        <w:t>CHT Healthcare Trust - St Johns Hospital</w:t>
      </w:r>
      <w:bookmarkEnd w:id="0"/>
    </w:p>
    <w:p w14:paraId="18C25A41" w14:textId="77777777" w:rsidR="004712A2" w:rsidRDefault="004712A2">
      <w:pPr>
        <w:pStyle w:val="Heading2"/>
        <w:spacing w:after="0"/>
        <w:rPr>
          <w:rFonts w:cs="Arial"/>
        </w:rPr>
      </w:pPr>
      <w:r>
        <w:rPr>
          <w:rFonts w:cs="Arial"/>
        </w:rPr>
        <w:t>Introduction</w:t>
      </w:r>
    </w:p>
    <w:p w14:paraId="730D3991" w14:textId="77777777" w:rsidR="004712A2" w:rsidRDefault="004712A2">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D66543A" w14:textId="77777777" w:rsidR="004712A2" w:rsidRDefault="004712A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9BA2C48" w14:textId="77777777" w:rsidR="004712A2" w:rsidRDefault="004712A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6419F9F" w14:textId="77777777" w:rsidR="004712A2" w:rsidRDefault="004712A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E956BF5" w14:textId="77777777" w:rsidR="004712A2" w:rsidRDefault="004712A2">
      <w:pPr>
        <w:spacing w:before="240" w:after="240"/>
        <w:rPr>
          <w:rFonts w:cs="Arial"/>
          <w:lang w:eastAsia="en-NZ"/>
        </w:rPr>
      </w:pPr>
      <w:r>
        <w:rPr>
          <w:rFonts w:cs="Arial"/>
          <w:lang w:eastAsia="en-NZ"/>
        </w:rPr>
        <w:t>The specifics of this audit included:</w:t>
      </w:r>
    </w:p>
    <w:p w14:paraId="155B5DA3" w14:textId="77777777" w:rsidR="004712A2" w:rsidRPr="009D18F5" w:rsidRDefault="004712A2" w:rsidP="009D18F5">
      <w:pPr>
        <w:pBdr>
          <w:top w:val="single" w:sz="4" w:space="1" w:color="auto"/>
          <w:left w:val="single" w:sz="4" w:space="4" w:color="auto"/>
          <w:bottom w:val="single" w:sz="4" w:space="1" w:color="auto"/>
          <w:right w:val="single" w:sz="4" w:space="4" w:color="auto"/>
        </w:pBdr>
        <w:rPr>
          <w:rFonts w:cs="Arial"/>
        </w:rPr>
      </w:pPr>
    </w:p>
    <w:p w14:paraId="6D240290" w14:textId="77777777" w:rsidR="004712A2" w:rsidRPr="009418D4" w:rsidRDefault="004712A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1983520A" w14:textId="77777777" w:rsidR="004712A2" w:rsidRPr="009418D4" w:rsidRDefault="004712A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St </w:t>
      </w:r>
      <w:r>
        <w:rPr>
          <w:rFonts w:cs="Arial"/>
        </w:rPr>
        <w:t>Johns Hospital</w:t>
      </w:r>
      <w:bookmarkEnd w:id="5"/>
    </w:p>
    <w:p w14:paraId="5DEF09B2" w14:textId="77777777" w:rsidR="004712A2" w:rsidRPr="009418D4" w:rsidRDefault="004712A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Residential disability services - Physical; Dementia care</w:t>
      </w:r>
      <w:bookmarkEnd w:id="6"/>
    </w:p>
    <w:p w14:paraId="3653D71E" w14:textId="77777777" w:rsidR="004712A2" w:rsidRPr="009418D4" w:rsidRDefault="004712A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September 2024</w:t>
      </w:r>
      <w:bookmarkEnd w:id="7"/>
      <w:r w:rsidRPr="009418D4">
        <w:rPr>
          <w:rFonts w:cs="Arial"/>
        </w:rPr>
        <w:tab/>
      </w:r>
      <w:r w:rsidRPr="009418D4">
        <w:rPr>
          <w:rFonts w:cs="Arial"/>
        </w:rPr>
        <w:t xml:space="preserve">End date: </w:t>
      </w:r>
      <w:bookmarkStart w:id="8" w:name="AuditEndDate"/>
      <w:r>
        <w:rPr>
          <w:rFonts w:cs="Arial"/>
        </w:rPr>
        <w:t>26 September 2024</w:t>
      </w:r>
      <w:bookmarkEnd w:id="8"/>
    </w:p>
    <w:p w14:paraId="4970717D" w14:textId="77777777" w:rsidR="004712A2" w:rsidRPr="009418D4" w:rsidRDefault="004712A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9BEAF35" w14:textId="77777777" w:rsidR="000B31C6" w:rsidRPr="009418D4" w:rsidRDefault="004712A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88</w:t>
      </w:r>
      <w:bookmarkEnd w:id="10"/>
    </w:p>
    <w:p w14:paraId="23548C8D" w14:textId="77777777" w:rsidR="004712A2" w:rsidRDefault="004712A2" w:rsidP="009D18F5">
      <w:pPr>
        <w:pBdr>
          <w:top w:val="single" w:sz="4" w:space="1" w:color="auto"/>
          <w:left w:val="single" w:sz="4" w:space="4" w:color="auto"/>
          <w:bottom w:val="single" w:sz="4" w:space="1" w:color="auto"/>
          <w:right w:val="single" w:sz="4" w:space="4" w:color="auto"/>
        </w:pBdr>
        <w:rPr>
          <w:rFonts w:cs="Arial"/>
          <w:lang w:eastAsia="en-NZ"/>
        </w:rPr>
      </w:pPr>
    </w:p>
    <w:p w14:paraId="7DA0C048" w14:textId="77777777" w:rsidR="004712A2" w:rsidRDefault="004712A2">
      <w:pPr>
        <w:pStyle w:val="Heading1"/>
        <w:rPr>
          <w:rFonts w:cs="Arial"/>
        </w:rPr>
      </w:pPr>
      <w:r>
        <w:rPr>
          <w:rFonts w:cs="Arial"/>
        </w:rPr>
        <w:lastRenderedPageBreak/>
        <w:t>Executive summary of the audit</w:t>
      </w:r>
    </w:p>
    <w:p w14:paraId="1AFD79CD" w14:textId="77777777" w:rsidR="004712A2" w:rsidRDefault="004712A2">
      <w:pPr>
        <w:pStyle w:val="Heading2"/>
        <w:rPr>
          <w:rFonts w:cs="Arial"/>
        </w:rPr>
      </w:pPr>
      <w:r>
        <w:rPr>
          <w:rFonts w:cs="Arial"/>
        </w:rPr>
        <w:t>Introduction</w:t>
      </w:r>
    </w:p>
    <w:p w14:paraId="093679D4" w14:textId="77777777" w:rsidR="004712A2" w:rsidRDefault="004712A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9EC7104" w14:textId="77777777" w:rsidR="004712A2" w:rsidRDefault="004712A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EB8665E" w14:textId="77777777" w:rsidR="004712A2" w:rsidRDefault="004712A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33BFBAB" w14:textId="77777777" w:rsidR="004712A2" w:rsidRDefault="004712A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F328896" w14:textId="77777777" w:rsidR="004712A2" w:rsidRDefault="004712A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0AEEEE8" w14:textId="77777777" w:rsidR="004712A2" w:rsidRDefault="004712A2"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2102367" w14:textId="77777777" w:rsidR="004712A2" w:rsidRDefault="004712A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02B208E" w14:textId="77777777" w:rsidR="004712A2" w:rsidRDefault="004712A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18C9DE9" w14:textId="77777777" w:rsidR="004712A2" w:rsidRDefault="004712A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B31C6" w14:paraId="0C652EBB" w14:textId="77777777">
        <w:trPr>
          <w:cantSplit/>
          <w:tblHeader/>
        </w:trPr>
        <w:tc>
          <w:tcPr>
            <w:tcW w:w="1260" w:type="dxa"/>
            <w:tcBorders>
              <w:bottom w:val="single" w:sz="4" w:space="0" w:color="000000"/>
            </w:tcBorders>
            <w:vAlign w:val="center"/>
          </w:tcPr>
          <w:p w14:paraId="7A92C191" w14:textId="77777777" w:rsidR="004712A2" w:rsidRDefault="004712A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B18D447" w14:textId="77777777" w:rsidR="004712A2" w:rsidRDefault="004712A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294AAB2" w14:textId="77777777" w:rsidR="004712A2" w:rsidRDefault="004712A2">
            <w:pPr>
              <w:spacing w:before="60" w:after="60"/>
              <w:rPr>
                <w:rFonts w:eastAsia="Calibri"/>
                <w:b/>
                <w:szCs w:val="24"/>
              </w:rPr>
            </w:pPr>
            <w:r>
              <w:rPr>
                <w:rFonts w:eastAsia="Calibri"/>
                <w:b/>
                <w:szCs w:val="24"/>
              </w:rPr>
              <w:t>Definition</w:t>
            </w:r>
          </w:p>
        </w:tc>
      </w:tr>
      <w:tr w:rsidR="000B31C6" w14:paraId="7FAF0013" w14:textId="77777777">
        <w:trPr>
          <w:cantSplit/>
          <w:trHeight w:val="964"/>
        </w:trPr>
        <w:tc>
          <w:tcPr>
            <w:tcW w:w="1260" w:type="dxa"/>
            <w:tcBorders>
              <w:bottom w:val="single" w:sz="4" w:space="0" w:color="000000"/>
            </w:tcBorders>
            <w:shd w:val="clear" w:color="0066FF" w:fill="0000FF"/>
            <w:vAlign w:val="center"/>
          </w:tcPr>
          <w:p w14:paraId="20BE7B07" w14:textId="77777777" w:rsidR="004712A2" w:rsidRDefault="004712A2">
            <w:pPr>
              <w:spacing w:before="60" w:after="60"/>
              <w:rPr>
                <w:rFonts w:eastAsia="Calibri"/>
                <w:szCs w:val="24"/>
              </w:rPr>
            </w:pPr>
          </w:p>
        </w:tc>
        <w:tc>
          <w:tcPr>
            <w:tcW w:w="7095" w:type="dxa"/>
            <w:tcBorders>
              <w:bottom w:val="single" w:sz="4" w:space="0" w:color="000000"/>
            </w:tcBorders>
            <w:shd w:val="clear" w:color="auto" w:fill="auto"/>
            <w:vAlign w:val="center"/>
          </w:tcPr>
          <w:p w14:paraId="46826CC5" w14:textId="77777777" w:rsidR="004712A2" w:rsidRDefault="004712A2">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493A85F" w14:textId="77777777" w:rsidR="004712A2" w:rsidRDefault="004712A2">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B31C6" w14:paraId="227E1EC1" w14:textId="77777777">
        <w:trPr>
          <w:cantSplit/>
          <w:trHeight w:val="964"/>
        </w:trPr>
        <w:tc>
          <w:tcPr>
            <w:tcW w:w="1260" w:type="dxa"/>
            <w:shd w:val="clear" w:color="33CC33" w:fill="00FF00"/>
            <w:vAlign w:val="center"/>
          </w:tcPr>
          <w:p w14:paraId="77A2E89D" w14:textId="77777777" w:rsidR="004712A2" w:rsidRDefault="004712A2">
            <w:pPr>
              <w:spacing w:before="60" w:after="60"/>
              <w:rPr>
                <w:rFonts w:eastAsia="Calibri"/>
                <w:szCs w:val="24"/>
              </w:rPr>
            </w:pPr>
          </w:p>
        </w:tc>
        <w:tc>
          <w:tcPr>
            <w:tcW w:w="7095" w:type="dxa"/>
            <w:shd w:val="clear" w:color="auto" w:fill="auto"/>
            <w:vAlign w:val="center"/>
          </w:tcPr>
          <w:p w14:paraId="3FC2B7DC" w14:textId="77777777" w:rsidR="004712A2" w:rsidRDefault="004712A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C145142" w14:textId="77777777" w:rsidR="004712A2" w:rsidRDefault="004712A2">
            <w:pPr>
              <w:spacing w:before="60" w:after="60"/>
              <w:ind w:left="50"/>
              <w:rPr>
                <w:rFonts w:eastAsia="Calibri"/>
                <w:szCs w:val="24"/>
              </w:rPr>
            </w:pPr>
            <w:r w:rsidRPr="00FB778F">
              <w:rPr>
                <w:rFonts w:eastAsia="Calibri"/>
                <w:szCs w:val="24"/>
              </w:rPr>
              <w:t>Subsections applicable to this service fully attained</w:t>
            </w:r>
          </w:p>
        </w:tc>
      </w:tr>
      <w:tr w:rsidR="000B31C6" w14:paraId="3C07E7EB" w14:textId="77777777">
        <w:trPr>
          <w:cantSplit/>
          <w:trHeight w:val="964"/>
        </w:trPr>
        <w:tc>
          <w:tcPr>
            <w:tcW w:w="1260" w:type="dxa"/>
            <w:tcBorders>
              <w:bottom w:val="single" w:sz="4" w:space="0" w:color="000000"/>
            </w:tcBorders>
            <w:shd w:val="clear" w:color="auto" w:fill="FFFF00"/>
            <w:vAlign w:val="center"/>
          </w:tcPr>
          <w:p w14:paraId="5B6E9A6B" w14:textId="77777777" w:rsidR="004712A2" w:rsidRDefault="004712A2">
            <w:pPr>
              <w:spacing w:before="60" w:after="60"/>
              <w:rPr>
                <w:rFonts w:eastAsia="Calibri"/>
                <w:szCs w:val="24"/>
              </w:rPr>
            </w:pPr>
          </w:p>
        </w:tc>
        <w:tc>
          <w:tcPr>
            <w:tcW w:w="7095" w:type="dxa"/>
            <w:shd w:val="clear" w:color="auto" w:fill="auto"/>
            <w:vAlign w:val="center"/>
          </w:tcPr>
          <w:p w14:paraId="3D26DF93" w14:textId="77777777" w:rsidR="004712A2" w:rsidRDefault="004712A2">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75BE90A" w14:textId="77777777" w:rsidR="004712A2" w:rsidRDefault="004712A2">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B31C6" w14:paraId="72C0847D" w14:textId="77777777">
        <w:trPr>
          <w:cantSplit/>
          <w:trHeight w:val="964"/>
        </w:trPr>
        <w:tc>
          <w:tcPr>
            <w:tcW w:w="1260" w:type="dxa"/>
            <w:tcBorders>
              <w:bottom w:val="single" w:sz="4" w:space="0" w:color="000000"/>
            </w:tcBorders>
            <w:shd w:val="clear" w:color="auto" w:fill="FFC800"/>
            <w:vAlign w:val="center"/>
          </w:tcPr>
          <w:p w14:paraId="1659008F" w14:textId="77777777" w:rsidR="004712A2" w:rsidRDefault="004712A2">
            <w:pPr>
              <w:spacing w:before="60" w:after="60"/>
              <w:rPr>
                <w:rFonts w:eastAsia="Calibri"/>
                <w:szCs w:val="24"/>
              </w:rPr>
            </w:pPr>
          </w:p>
        </w:tc>
        <w:tc>
          <w:tcPr>
            <w:tcW w:w="7095" w:type="dxa"/>
            <w:tcBorders>
              <w:bottom w:val="single" w:sz="4" w:space="0" w:color="000000"/>
            </w:tcBorders>
            <w:shd w:val="clear" w:color="auto" w:fill="auto"/>
            <w:vAlign w:val="center"/>
          </w:tcPr>
          <w:p w14:paraId="6F772DC9" w14:textId="77777777" w:rsidR="004712A2" w:rsidRDefault="004712A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A246EEE" w14:textId="77777777" w:rsidR="004712A2" w:rsidRDefault="004712A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B31C6" w14:paraId="4ACC6087" w14:textId="77777777">
        <w:trPr>
          <w:cantSplit/>
          <w:trHeight w:val="964"/>
        </w:trPr>
        <w:tc>
          <w:tcPr>
            <w:tcW w:w="1260" w:type="dxa"/>
            <w:shd w:val="clear" w:color="auto" w:fill="FF0000"/>
            <w:vAlign w:val="center"/>
          </w:tcPr>
          <w:p w14:paraId="5EA79C0E" w14:textId="77777777" w:rsidR="004712A2" w:rsidRDefault="004712A2">
            <w:pPr>
              <w:spacing w:before="60" w:after="60"/>
              <w:rPr>
                <w:rFonts w:eastAsia="Calibri"/>
                <w:szCs w:val="24"/>
              </w:rPr>
            </w:pPr>
          </w:p>
        </w:tc>
        <w:tc>
          <w:tcPr>
            <w:tcW w:w="7095" w:type="dxa"/>
            <w:shd w:val="clear" w:color="auto" w:fill="auto"/>
            <w:vAlign w:val="center"/>
          </w:tcPr>
          <w:p w14:paraId="5F1AAD9C" w14:textId="77777777" w:rsidR="004712A2" w:rsidRDefault="004712A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D83226D" w14:textId="77777777" w:rsidR="004712A2" w:rsidRDefault="004712A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D9FE5F9" w14:textId="77777777" w:rsidR="004712A2" w:rsidRDefault="004712A2">
      <w:pPr>
        <w:pStyle w:val="Heading2"/>
        <w:spacing w:after="0"/>
        <w:rPr>
          <w:rFonts w:cs="Arial"/>
        </w:rPr>
      </w:pPr>
      <w:r>
        <w:rPr>
          <w:rFonts w:cs="Arial"/>
        </w:rPr>
        <w:t>General overview of the audit</w:t>
      </w:r>
    </w:p>
    <w:p w14:paraId="1A464D83" w14:textId="77777777" w:rsidR="004712A2" w:rsidRDefault="004712A2">
      <w:pPr>
        <w:spacing w:before="240" w:line="276" w:lineRule="auto"/>
        <w:rPr>
          <w:rFonts w:eastAsia="Calibri"/>
        </w:rPr>
      </w:pPr>
      <w:bookmarkStart w:id="13" w:name="GeneralOverview"/>
      <w:r w:rsidRPr="00A4268A">
        <w:rPr>
          <w:rFonts w:eastAsia="Calibri"/>
        </w:rPr>
        <w:t xml:space="preserve">CHT St Johns is owned and operated by the CHT Healthcare Trust. The service cares for up to 90 residents across three service levels (hospital, residential disability, and </w:t>
      </w:r>
      <w:r w:rsidRPr="00A4268A">
        <w:rPr>
          <w:rFonts w:eastAsia="Calibri"/>
        </w:rPr>
        <w:t>dementia level care). On the day of the audit, there were 88 residents.</w:t>
      </w:r>
    </w:p>
    <w:p w14:paraId="16185C14" w14:textId="77777777" w:rsidR="000B31C6" w:rsidRPr="00A4268A" w:rsidRDefault="004712A2">
      <w:pPr>
        <w:spacing w:before="240" w:line="276" w:lineRule="auto"/>
        <w:rPr>
          <w:rFonts w:eastAsia="Calibri"/>
        </w:rPr>
      </w:pPr>
      <w:r w:rsidRPr="00A4268A">
        <w:rPr>
          <w:rFonts w:eastAsia="Calibri"/>
        </w:rPr>
        <w:t>This surveillance audit was conducted against the Ngā Paerewa Health and Disability Services Standard NZS 8134:2021 and the service’s contract with Health New Zealand – Te Whatu Ora. The audit process included reviewing policies and procedures, reviewing residents’ and staff records, and observing and interviewing residents, family/whānau, staff and management, and the general practitioner. Residents, family/whānau, and the general practitioner interviewed spoke positively about the service provided.</w:t>
      </w:r>
    </w:p>
    <w:p w14:paraId="3F913BAA" w14:textId="77777777" w:rsidR="000B31C6" w:rsidRPr="00A4268A" w:rsidRDefault="004712A2">
      <w:pPr>
        <w:spacing w:before="240" w:line="276" w:lineRule="auto"/>
        <w:rPr>
          <w:rFonts w:eastAsia="Calibri"/>
        </w:rPr>
      </w:pPr>
      <w:r w:rsidRPr="00A4268A">
        <w:rPr>
          <w:rFonts w:eastAsia="Calibri"/>
        </w:rPr>
        <w:t>The care home manager oversees the service with the support of the area manager and clinical coordinator. Quality systems and processes are being implemented. An induction and in-service training programme are in place to provide staff with appropriate knowledge and skills to deliver care.</w:t>
      </w:r>
    </w:p>
    <w:p w14:paraId="41AABEC7" w14:textId="77777777" w:rsidR="000B31C6" w:rsidRPr="00A4268A" w:rsidRDefault="004712A2">
      <w:pPr>
        <w:spacing w:before="240" w:line="276" w:lineRule="auto"/>
        <w:rPr>
          <w:rFonts w:eastAsia="Calibri"/>
        </w:rPr>
      </w:pPr>
      <w:r w:rsidRPr="00A4268A">
        <w:rPr>
          <w:rFonts w:eastAsia="Calibri"/>
        </w:rPr>
        <w:t xml:space="preserve">This surveillance audit identified no shortfalls. </w:t>
      </w:r>
    </w:p>
    <w:bookmarkEnd w:id="13"/>
    <w:p w14:paraId="4E659FD9" w14:textId="77777777" w:rsidR="000B31C6" w:rsidRPr="00A4268A" w:rsidRDefault="000B31C6">
      <w:pPr>
        <w:spacing w:before="240" w:line="276" w:lineRule="auto"/>
        <w:rPr>
          <w:rFonts w:eastAsia="Calibri"/>
        </w:rPr>
      </w:pPr>
    </w:p>
    <w:p w14:paraId="2BB23395" w14:textId="77777777" w:rsidR="004712A2" w:rsidRDefault="004712A2"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31C6" w14:paraId="485FE7E1" w14:textId="77777777" w:rsidTr="00A4268A">
        <w:trPr>
          <w:cantSplit/>
        </w:trPr>
        <w:tc>
          <w:tcPr>
            <w:tcW w:w="10206" w:type="dxa"/>
            <w:vAlign w:val="center"/>
          </w:tcPr>
          <w:p w14:paraId="6E71963F" w14:textId="77777777" w:rsidR="004712A2" w:rsidRPr="00FB778F" w:rsidRDefault="004712A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69DD4CB" w14:textId="77777777" w:rsidR="004712A2" w:rsidRPr="00621629" w:rsidRDefault="004712A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FF9246C" w14:textId="77777777" w:rsidR="004712A2" w:rsidRPr="00621629" w:rsidRDefault="004712A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3F7114F" w14:textId="77777777" w:rsidR="004712A2" w:rsidRPr="00621629" w:rsidRDefault="004712A2" w:rsidP="008F3634">
            <w:pPr>
              <w:spacing w:before="60" w:after="60" w:line="276" w:lineRule="auto"/>
              <w:rPr>
                <w:rFonts w:eastAsia="Calibri"/>
              </w:rPr>
            </w:pPr>
            <w:bookmarkStart w:id="15" w:name="IndicatorDescription1_1"/>
            <w:bookmarkEnd w:id="15"/>
            <w:r>
              <w:t>Subsections applicable to this service fully attained.</w:t>
            </w:r>
          </w:p>
        </w:tc>
      </w:tr>
    </w:tbl>
    <w:p w14:paraId="224F76F6" w14:textId="77777777" w:rsidR="004712A2" w:rsidRDefault="004712A2">
      <w:pPr>
        <w:spacing w:before="240" w:line="276" w:lineRule="auto"/>
        <w:rPr>
          <w:rFonts w:eastAsia="Calibri"/>
        </w:rPr>
      </w:pPr>
      <w:bookmarkStart w:id="16" w:name="ConsumerRights"/>
      <w:r w:rsidRPr="00A4268A">
        <w:rPr>
          <w:rFonts w:eastAsia="Calibri"/>
        </w:rPr>
        <w:t>CHT St Johns has a Māori and Pacific peoples’ health policy in place. The policy outlines CHT St John’s commitment to Te Tiriti o Waitangi and Te Whare Tapa Whā model of care.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 and are culturally safe. Resi</w:t>
      </w:r>
      <w:r w:rsidRPr="00A4268A">
        <w:rPr>
          <w:rFonts w:eastAsia="Calibri"/>
        </w:rPr>
        <w:t>dents and staff stated that culturally appropriate care is provided.</w:t>
      </w:r>
    </w:p>
    <w:p w14:paraId="5D937523" w14:textId="77777777" w:rsidR="000B31C6" w:rsidRPr="00A4268A" w:rsidRDefault="004712A2">
      <w:pPr>
        <w:spacing w:before="240" w:line="276" w:lineRule="auto"/>
        <w:rPr>
          <w:rFonts w:eastAsia="Calibri"/>
        </w:rPr>
      </w:pPr>
      <w:r w:rsidRPr="00A4268A">
        <w:rPr>
          <w:rFonts w:eastAsia="Calibri"/>
        </w:rPr>
        <w:t xml:space="preserve">The rights of the resident and/or their family/whānau to make a complaint is understood, respected, and upheld by the service. Complaints processes are implemented, and complaints and concerns are actively managed and well documented. </w:t>
      </w:r>
    </w:p>
    <w:bookmarkEnd w:id="16"/>
    <w:p w14:paraId="7D019B46" w14:textId="77777777" w:rsidR="000B31C6" w:rsidRPr="00A4268A" w:rsidRDefault="000B31C6">
      <w:pPr>
        <w:spacing w:before="240" w:line="276" w:lineRule="auto"/>
        <w:rPr>
          <w:rFonts w:eastAsia="Calibri"/>
        </w:rPr>
      </w:pPr>
    </w:p>
    <w:p w14:paraId="41AECB49" w14:textId="77777777" w:rsidR="004712A2" w:rsidRDefault="004712A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31C6" w14:paraId="359BB884" w14:textId="77777777" w:rsidTr="00A4268A">
        <w:trPr>
          <w:cantSplit/>
        </w:trPr>
        <w:tc>
          <w:tcPr>
            <w:tcW w:w="10206" w:type="dxa"/>
            <w:vAlign w:val="center"/>
          </w:tcPr>
          <w:p w14:paraId="69B976ED" w14:textId="77777777" w:rsidR="004712A2" w:rsidRPr="00621629" w:rsidRDefault="004712A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B143FE9" w14:textId="77777777" w:rsidR="004712A2" w:rsidRPr="00621629" w:rsidRDefault="004712A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2E49102" w14:textId="77777777" w:rsidR="004712A2" w:rsidRPr="00621629" w:rsidRDefault="004712A2" w:rsidP="00621629">
            <w:pPr>
              <w:spacing w:before="60" w:after="60" w:line="276" w:lineRule="auto"/>
              <w:rPr>
                <w:rFonts w:eastAsia="Calibri"/>
              </w:rPr>
            </w:pPr>
            <w:bookmarkStart w:id="18" w:name="IndicatorDescription1_2"/>
            <w:bookmarkEnd w:id="18"/>
            <w:r>
              <w:t>Subsections applicable to this service fully attained.</w:t>
            </w:r>
          </w:p>
        </w:tc>
      </w:tr>
    </w:tbl>
    <w:p w14:paraId="32028209" w14:textId="77777777" w:rsidR="004712A2" w:rsidRDefault="004712A2">
      <w:pPr>
        <w:spacing w:before="240" w:line="276" w:lineRule="auto"/>
        <w:rPr>
          <w:rFonts w:eastAsia="Calibri"/>
        </w:rPr>
      </w:pPr>
      <w:bookmarkStart w:id="19" w:name="OrganisationalManagement"/>
      <w:r w:rsidRPr="00A4268A">
        <w:rPr>
          <w:rFonts w:eastAsia="Calibri"/>
        </w:rPr>
        <w:t xml:space="preserve">The business organisational plan includes a mission statement and operational objectives. The quality and risk management systems are focused on quality service provision and care. The quality and risk management processes use a risk-based approach. Policies and procedures are current. </w:t>
      </w:r>
    </w:p>
    <w:p w14:paraId="25436432" w14:textId="77777777" w:rsidR="000B31C6" w:rsidRPr="00A4268A" w:rsidRDefault="004712A2">
      <w:pPr>
        <w:spacing w:before="240" w:line="276" w:lineRule="auto"/>
        <w:rPr>
          <w:rFonts w:eastAsia="Calibri"/>
        </w:rPr>
      </w:pPr>
      <w:r w:rsidRPr="00A4268A">
        <w:rPr>
          <w:rFonts w:eastAsia="Calibri"/>
        </w:rPr>
        <w:lastRenderedPageBreak/>
        <w:t xml:space="preserve">The service and management ensure the best outcomes for residents and that their health and safety are a </w:t>
      </w:r>
      <w:r w:rsidRPr="00A4268A">
        <w:rPr>
          <w:rFonts w:eastAsia="Calibri"/>
        </w:rPr>
        <w:t>priority. Actual and potential risks are identified and mitigated. The service complies with all statutory and regulatory reporting obligations and meets the contract's requirements with Health New Zealand.</w:t>
      </w:r>
    </w:p>
    <w:p w14:paraId="25678C3C" w14:textId="77777777" w:rsidR="000B31C6" w:rsidRPr="00A4268A" w:rsidRDefault="004712A2">
      <w:pPr>
        <w:spacing w:before="240" w:line="276" w:lineRule="auto"/>
        <w:rPr>
          <w:rFonts w:eastAsia="Calibri"/>
        </w:rPr>
      </w:pPr>
      <w:r w:rsidRPr="00A4268A">
        <w:rPr>
          <w:rFonts w:eastAsia="Calibri"/>
        </w:rPr>
        <w:t>Staff coverage is maintained for all shifts. Residents' acuity is considered when planning and ensuring adequate coverage. Staff employed are provided with orientation, job descriptions and receive education. All employed and contracted health professionals maintain a current practising certificate.</w:t>
      </w:r>
    </w:p>
    <w:bookmarkEnd w:id="19"/>
    <w:p w14:paraId="107BAADF" w14:textId="77777777" w:rsidR="000B31C6" w:rsidRPr="00A4268A" w:rsidRDefault="000B31C6">
      <w:pPr>
        <w:spacing w:before="240" w:line="276" w:lineRule="auto"/>
        <w:rPr>
          <w:rFonts w:eastAsia="Calibri"/>
        </w:rPr>
      </w:pPr>
    </w:p>
    <w:p w14:paraId="7356F504" w14:textId="77777777" w:rsidR="004712A2" w:rsidRDefault="004712A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31C6" w14:paraId="5CDA6300" w14:textId="77777777" w:rsidTr="00A4268A">
        <w:trPr>
          <w:cantSplit/>
        </w:trPr>
        <w:tc>
          <w:tcPr>
            <w:tcW w:w="10206" w:type="dxa"/>
            <w:vAlign w:val="center"/>
          </w:tcPr>
          <w:p w14:paraId="6A0289A5" w14:textId="77777777" w:rsidR="004712A2" w:rsidRPr="00621629" w:rsidRDefault="004712A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E676E0E" w14:textId="77777777" w:rsidR="004712A2" w:rsidRPr="00621629" w:rsidRDefault="004712A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0F61D99" w14:textId="77777777" w:rsidR="004712A2" w:rsidRPr="00621629" w:rsidRDefault="004712A2" w:rsidP="00621629">
            <w:pPr>
              <w:spacing w:before="60" w:after="60" w:line="276" w:lineRule="auto"/>
              <w:rPr>
                <w:rFonts w:eastAsia="Calibri"/>
              </w:rPr>
            </w:pPr>
            <w:bookmarkStart w:id="21" w:name="IndicatorDescription1_3"/>
            <w:bookmarkEnd w:id="21"/>
            <w:r>
              <w:t>Subsections applicable to this service fully attained.</w:t>
            </w:r>
          </w:p>
        </w:tc>
      </w:tr>
    </w:tbl>
    <w:p w14:paraId="4114F0D5" w14:textId="77777777" w:rsidR="004712A2" w:rsidRPr="005E14A4" w:rsidRDefault="004712A2"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5B68028E" w14:textId="77777777" w:rsidR="000B31C6" w:rsidRPr="00A4268A" w:rsidRDefault="004712A2"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w:t>
      </w:r>
    </w:p>
    <w:p w14:paraId="4036DFFF" w14:textId="77777777" w:rsidR="000B31C6" w:rsidRPr="00A4268A" w:rsidRDefault="004712A2" w:rsidP="00621629">
      <w:pPr>
        <w:spacing w:before="240" w:line="276" w:lineRule="auto"/>
        <w:rPr>
          <w:rFonts w:eastAsia="Calibri"/>
        </w:rPr>
      </w:pPr>
      <w:r w:rsidRPr="00A4268A">
        <w:rPr>
          <w:rFonts w:eastAsia="Calibri"/>
        </w:rPr>
        <w:t xml:space="preserve">The service has a current food control plan. Nutritional requirements are accommodated. </w:t>
      </w:r>
    </w:p>
    <w:p w14:paraId="143C0E62" w14:textId="77777777" w:rsidR="000B31C6" w:rsidRPr="00A4268A" w:rsidRDefault="004712A2" w:rsidP="00621629">
      <w:pPr>
        <w:spacing w:before="240" w:line="276" w:lineRule="auto"/>
        <w:rPr>
          <w:rFonts w:eastAsia="Calibri"/>
        </w:rPr>
      </w:pPr>
      <w:r w:rsidRPr="00A4268A">
        <w:rPr>
          <w:rFonts w:eastAsia="Calibri"/>
        </w:rPr>
        <w:t xml:space="preserve">All residents’ transfers and referrals are coordinated with residents and families/whānau. </w:t>
      </w:r>
    </w:p>
    <w:bookmarkEnd w:id="22"/>
    <w:p w14:paraId="5F0089C9" w14:textId="77777777" w:rsidR="000B31C6" w:rsidRPr="00A4268A" w:rsidRDefault="000B31C6" w:rsidP="00621629">
      <w:pPr>
        <w:spacing w:before="240" w:line="276" w:lineRule="auto"/>
        <w:rPr>
          <w:rFonts w:eastAsia="Calibri"/>
        </w:rPr>
      </w:pPr>
    </w:p>
    <w:p w14:paraId="32B2C919" w14:textId="77777777" w:rsidR="004712A2" w:rsidRDefault="004712A2"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31C6" w14:paraId="1A6304A9" w14:textId="77777777" w:rsidTr="00A4268A">
        <w:trPr>
          <w:cantSplit/>
        </w:trPr>
        <w:tc>
          <w:tcPr>
            <w:tcW w:w="10206" w:type="dxa"/>
            <w:vAlign w:val="center"/>
          </w:tcPr>
          <w:p w14:paraId="0FD99F33" w14:textId="77777777" w:rsidR="004712A2" w:rsidRPr="00621629" w:rsidRDefault="004712A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ABD1636" w14:textId="77777777" w:rsidR="004712A2" w:rsidRPr="00621629" w:rsidRDefault="004712A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309CF50" w14:textId="77777777" w:rsidR="004712A2" w:rsidRPr="00621629" w:rsidRDefault="004712A2" w:rsidP="00621629">
            <w:pPr>
              <w:spacing w:before="60" w:after="60" w:line="276" w:lineRule="auto"/>
              <w:rPr>
                <w:rFonts w:eastAsia="Calibri"/>
              </w:rPr>
            </w:pPr>
            <w:bookmarkStart w:id="24" w:name="IndicatorDescription1_4"/>
            <w:bookmarkEnd w:id="24"/>
            <w:r>
              <w:t>Subsections applicable to this service fully attained.</w:t>
            </w:r>
          </w:p>
        </w:tc>
      </w:tr>
    </w:tbl>
    <w:p w14:paraId="63B67DA4" w14:textId="77777777" w:rsidR="004712A2" w:rsidRDefault="004712A2">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The dementia unit is secure. </w:t>
      </w:r>
    </w:p>
    <w:bookmarkEnd w:id="25"/>
    <w:p w14:paraId="6AFEE9E5" w14:textId="77777777" w:rsidR="000B31C6" w:rsidRPr="00A4268A" w:rsidRDefault="000B31C6">
      <w:pPr>
        <w:spacing w:before="240" w:line="276" w:lineRule="auto"/>
        <w:rPr>
          <w:rFonts w:eastAsia="Calibri"/>
        </w:rPr>
      </w:pPr>
    </w:p>
    <w:p w14:paraId="505FF6EB" w14:textId="77777777" w:rsidR="004712A2" w:rsidRDefault="004712A2"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31C6" w14:paraId="06ED9E26" w14:textId="77777777" w:rsidTr="00A4268A">
        <w:trPr>
          <w:cantSplit/>
        </w:trPr>
        <w:tc>
          <w:tcPr>
            <w:tcW w:w="10206" w:type="dxa"/>
            <w:vAlign w:val="center"/>
          </w:tcPr>
          <w:p w14:paraId="0C90719C" w14:textId="77777777" w:rsidR="004712A2" w:rsidRPr="00621629" w:rsidRDefault="004712A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C633827" w14:textId="77777777" w:rsidR="004712A2" w:rsidRPr="00621629" w:rsidRDefault="004712A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56DF8C7" w14:textId="77777777" w:rsidR="004712A2" w:rsidRPr="00621629" w:rsidRDefault="004712A2" w:rsidP="00621629">
            <w:pPr>
              <w:spacing w:before="60" w:after="60" w:line="276" w:lineRule="auto"/>
              <w:rPr>
                <w:rFonts w:eastAsia="Calibri"/>
              </w:rPr>
            </w:pPr>
            <w:bookmarkStart w:id="27" w:name="IndicatorDescription2"/>
            <w:bookmarkEnd w:id="27"/>
            <w:r>
              <w:t>Subsections applicable to this service fully attained.</w:t>
            </w:r>
          </w:p>
        </w:tc>
      </w:tr>
    </w:tbl>
    <w:p w14:paraId="64D8BF97" w14:textId="77777777" w:rsidR="004712A2" w:rsidRDefault="004712A2">
      <w:pPr>
        <w:spacing w:before="240" w:line="276" w:lineRule="auto"/>
        <w:rPr>
          <w:rFonts w:eastAsia="Calibri"/>
        </w:rPr>
      </w:pPr>
      <w:bookmarkStart w:id="28" w:name="RestraintMinimisationAndSafePractice"/>
      <w:r w:rsidRPr="00A4268A">
        <w:rPr>
          <w:rFonts w:eastAsia="Calibri"/>
        </w:rPr>
        <w:t xml:space="preserve">The service ensures the safety of the residents and staff through a planned infection prevention programme appropriate to the service's size and complexity. The clinical coordinator oversees the programme. Staff orientation and ongoing education are maintained. </w:t>
      </w:r>
    </w:p>
    <w:p w14:paraId="6A3AEF00" w14:textId="77777777" w:rsidR="000B31C6" w:rsidRPr="00A4268A" w:rsidRDefault="004712A2">
      <w:pPr>
        <w:spacing w:before="240" w:line="276" w:lineRule="auto"/>
        <w:rPr>
          <w:rFonts w:eastAsia="Calibri"/>
        </w:rPr>
      </w:pPr>
      <w:r w:rsidRPr="00A4268A">
        <w:rPr>
          <w:rFonts w:eastAsia="Calibri"/>
        </w:rPr>
        <w:t>Surveillance of health care-associated infections is undertaken, and results shared with all staff. Follow-up action is taken as and when required. Infection outbreaks of Covid-19 were managed according to Ministry of Health guidelines.</w:t>
      </w:r>
    </w:p>
    <w:bookmarkEnd w:id="28"/>
    <w:p w14:paraId="71EFC975" w14:textId="77777777" w:rsidR="000B31C6" w:rsidRPr="00A4268A" w:rsidRDefault="000B31C6">
      <w:pPr>
        <w:spacing w:before="240" w:line="276" w:lineRule="auto"/>
        <w:rPr>
          <w:rFonts w:eastAsia="Calibri"/>
        </w:rPr>
      </w:pPr>
    </w:p>
    <w:p w14:paraId="17109461" w14:textId="77777777" w:rsidR="004712A2" w:rsidRDefault="004712A2"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31C6" w14:paraId="74EC720C" w14:textId="77777777" w:rsidTr="00A4268A">
        <w:trPr>
          <w:cantSplit/>
        </w:trPr>
        <w:tc>
          <w:tcPr>
            <w:tcW w:w="10206" w:type="dxa"/>
            <w:vAlign w:val="center"/>
          </w:tcPr>
          <w:p w14:paraId="7218FEEA" w14:textId="77777777" w:rsidR="004712A2" w:rsidRPr="00621629" w:rsidRDefault="004712A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3F84142" w14:textId="77777777" w:rsidR="004712A2" w:rsidRPr="00621629" w:rsidRDefault="004712A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5EC4A55" w14:textId="77777777" w:rsidR="004712A2" w:rsidRPr="00621629" w:rsidRDefault="004712A2" w:rsidP="00621629">
            <w:pPr>
              <w:spacing w:before="60" w:after="60" w:line="276" w:lineRule="auto"/>
              <w:rPr>
                <w:rFonts w:eastAsia="Calibri"/>
              </w:rPr>
            </w:pPr>
            <w:bookmarkStart w:id="30" w:name="IndicatorDescription3"/>
            <w:bookmarkEnd w:id="30"/>
            <w:r>
              <w:t>Subsections applicable to this service fully attained.</w:t>
            </w:r>
          </w:p>
        </w:tc>
      </w:tr>
    </w:tbl>
    <w:p w14:paraId="2DE02807" w14:textId="77777777" w:rsidR="004712A2" w:rsidRDefault="004712A2">
      <w:pPr>
        <w:spacing w:before="240" w:line="276" w:lineRule="auto"/>
        <w:rPr>
          <w:rFonts w:eastAsia="Calibri"/>
        </w:rPr>
      </w:pPr>
      <w:bookmarkStart w:id="31" w:name="InfectionPreventionAndControl"/>
      <w:r w:rsidRPr="00A4268A">
        <w:rPr>
          <w:rFonts w:eastAsia="Calibri"/>
        </w:rPr>
        <w:t>The restraint coordinator is the clinical coordinator (registered nurse). The facility had no residents using restraints at the time of audit. A focus on a restraint 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0B6C5D27" w14:textId="77777777" w:rsidR="000B31C6" w:rsidRPr="00A4268A" w:rsidRDefault="000B31C6">
      <w:pPr>
        <w:spacing w:before="240" w:line="276" w:lineRule="auto"/>
        <w:rPr>
          <w:rFonts w:eastAsia="Calibri"/>
        </w:rPr>
      </w:pPr>
    </w:p>
    <w:p w14:paraId="573E5504" w14:textId="77777777" w:rsidR="004712A2" w:rsidRDefault="004712A2" w:rsidP="000E6E02">
      <w:pPr>
        <w:pStyle w:val="Heading2"/>
        <w:spacing w:before="0"/>
        <w:rPr>
          <w:rFonts w:cs="Arial"/>
        </w:rPr>
      </w:pPr>
      <w:r>
        <w:rPr>
          <w:rFonts w:cs="Arial"/>
        </w:rPr>
        <w:t>Summary of attainment</w:t>
      </w:r>
    </w:p>
    <w:p w14:paraId="0D506EF8" w14:textId="77777777" w:rsidR="004712A2" w:rsidRDefault="004712A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B31C6" w14:paraId="4DAE5B71" w14:textId="77777777">
        <w:tc>
          <w:tcPr>
            <w:tcW w:w="1384" w:type="dxa"/>
            <w:vAlign w:val="center"/>
          </w:tcPr>
          <w:p w14:paraId="61BDE4E0" w14:textId="77777777" w:rsidR="004712A2" w:rsidRDefault="004712A2">
            <w:pPr>
              <w:keepNext/>
              <w:spacing w:before="60" w:after="60"/>
              <w:rPr>
                <w:rFonts w:cs="Arial"/>
                <w:b/>
                <w:sz w:val="20"/>
                <w:szCs w:val="20"/>
              </w:rPr>
            </w:pPr>
            <w:r>
              <w:rPr>
                <w:rFonts w:cs="Arial"/>
                <w:b/>
                <w:sz w:val="20"/>
                <w:szCs w:val="20"/>
              </w:rPr>
              <w:t>Attainment Rating</w:t>
            </w:r>
          </w:p>
        </w:tc>
        <w:tc>
          <w:tcPr>
            <w:tcW w:w="1701" w:type="dxa"/>
            <w:vAlign w:val="center"/>
          </w:tcPr>
          <w:p w14:paraId="4D025BD6" w14:textId="77777777" w:rsidR="004712A2" w:rsidRDefault="004712A2">
            <w:pPr>
              <w:keepNext/>
              <w:spacing w:before="60" w:after="60"/>
              <w:jc w:val="center"/>
              <w:rPr>
                <w:rFonts w:cs="Arial"/>
                <w:b/>
                <w:sz w:val="20"/>
                <w:szCs w:val="20"/>
              </w:rPr>
            </w:pPr>
            <w:r>
              <w:rPr>
                <w:rFonts w:cs="Arial"/>
                <w:b/>
                <w:sz w:val="20"/>
                <w:szCs w:val="20"/>
              </w:rPr>
              <w:t>Continuous Improvement</w:t>
            </w:r>
          </w:p>
          <w:p w14:paraId="6E8A013F" w14:textId="77777777" w:rsidR="004712A2" w:rsidRDefault="004712A2">
            <w:pPr>
              <w:keepNext/>
              <w:spacing w:before="60" w:after="60"/>
              <w:jc w:val="center"/>
              <w:rPr>
                <w:rFonts w:cs="Arial"/>
                <w:b/>
                <w:sz w:val="20"/>
                <w:szCs w:val="20"/>
              </w:rPr>
            </w:pPr>
            <w:r>
              <w:rPr>
                <w:rFonts w:cs="Arial"/>
                <w:b/>
                <w:sz w:val="20"/>
                <w:szCs w:val="20"/>
              </w:rPr>
              <w:t>(CI)</w:t>
            </w:r>
          </w:p>
        </w:tc>
        <w:tc>
          <w:tcPr>
            <w:tcW w:w="1843" w:type="dxa"/>
            <w:vAlign w:val="center"/>
          </w:tcPr>
          <w:p w14:paraId="3F5ECC4B" w14:textId="77777777" w:rsidR="004712A2" w:rsidRDefault="004712A2">
            <w:pPr>
              <w:keepNext/>
              <w:spacing w:before="60" w:after="60"/>
              <w:jc w:val="center"/>
              <w:rPr>
                <w:rFonts w:cs="Arial"/>
                <w:b/>
                <w:sz w:val="20"/>
                <w:szCs w:val="20"/>
              </w:rPr>
            </w:pPr>
            <w:r>
              <w:rPr>
                <w:rFonts w:cs="Arial"/>
                <w:b/>
                <w:sz w:val="20"/>
                <w:szCs w:val="20"/>
              </w:rPr>
              <w:t>Fully Attained</w:t>
            </w:r>
          </w:p>
          <w:p w14:paraId="32D01D35" w14:textId="77777777" w:rsidR="004712A2" w:rsidRDefault="004712A2">
            <w:pPr>
              <w:keepNext/>
              <w:spacing w:before="60" w:after="60"/>
              <w:jc w:val="center"/>
              <w:rPr>
                <w:rFonts w:cs="Arial"/>
                <w:b/>
                <w:sz w:val="20"/>
                <w:szCs w:val="20"/>
              </w:rPr>
            </w:pPr>
            <w:r>
              <w:rPr>
                <w:rFonts w:cs="Arial"/>
                <w:b/>
                <w:sz w:val="20"/>
                <w:szCs w:val="20"/>
              </w:rPr>
              <w:t>(FA)</w:t>
            </w:r>
          </w:p>
        </w:tc>
        <w:tc>
          <w:tcPr>
            <w:tcW w:w="1843" w:type="dxa"/>
            <w:vAlign w:val="center"/>
          </w:tcPr>
          <w:p w14:paraId="74FD4A6D" w14:textId="77777777" w:rsidR="004712A2" w:rsidRDefault="004712A2">
            <w:pPr>
              <w:keepNext/>
              <w:spacing w:before="60" w:after="60"/>
              <w:jc w:val="center"/>
              <w:rPr>
                <w:rFonts w:cs="Arial"/>
                <w:b/>
                <w:sz w:val="20"/>
                <w:szCs w:val="20"/>
              </w:rPr>
            </w:pPr>
            <w:r>
              <w:rPr>
                <w:rFonts w:cs="Arial"/>
                <w:b/>
                <w:sz w:val="20"/>
                <w:szCs w:val="20"/>
              </w:rPr>
              <w:t>Partially Attained Negligible Risk</w:t>
            </w:r>
          </w:p>
          <w:p w14:paraId="341D1F13" w14:textId="77777777" w:rsidR="004712A2" w:rsidRDefault="004712A2">
            <w:pPr>
              <w:keepNext/>
              <w:spacing w:before="60" w:after="60"/>
              <w:jc w:val="center"/>
              <w:rPr>
                <w:rFonts w:cs="Arial"/>
                <w:b/>
                <w:sz w:val="20"/>
                <w:szCs w:val="20"/>
              </w:rPr>
            </w:pPr>
            <w:r>
              <w:rPr>
                <w:rFonts w:cs="Arial"/>
                <w:b/>
                <w:sz w:val="20"/>
                <w:szCs w:val="20"/>
              </w:rPr>
              <w:t>(PA Negligible)</w:t>
            </w:r>
          </w:p>
        </w:tc>
        <w:tc>
          <w:tcPr>
            <w:tcW w:w="1842" w:type="dxa"/>
            <w:vAlign w:val="center"/>
          </w:tcPr>
          <w:p w14:paraId="5C3DEFE5" w14:textId="77777777" w:rsidR="004712A2" w:rsidRDefault="004712A2">
            <w:pPr>
              <w:keepNext/>
              <w:spacing w:before="60" w:after="60"/>
              <w:jc w:val="center"/>
              <w:rPr>
                <w:rFonts w:cs="Arial"/>
                <w:b/>
                <w:sz w:val="20"/>
                <w:szCs w:val="20"/>
              </w:rPr>
            </w:pPr>
            <w:r>
              <w:rPr>
                <w:rFonts w:cs="Arial"/>
                <w:b/>
                <w:sz w:val="20"/>
                <w:szCs w:val="20"/>
              </w:rPr>
              <w:t>Partially Attained Low Risk</w:t>
            </w:r>
          </w:p>
          <w:p w14:paraId="4F2915C8" w14:textId="77777777" w:rsidR="004712A2" w:rsidRDefault="004712A2">
            <w:pPr>
              <w:keepNext/>
              <w:spacing w:before="60" w:after="60"/>
              <w:jc w:val="center"/>
              <w:rPr>
                <w:rFonts w:cs="Arial"/>
                <w:b/>
                <w:sz w:val="20"/>
                <w:szCs w:val="20"/>
              </w:rPr>
            </w:pPr>
            <w:r>
              <w:rPr>
                <w:rFonts w:cs="Arial"/>
                <w:b/>
                <w:sz w:val="20"/>
                <w:szCs w:val="20"/>
              </w:rPr>
              <w:t>(PA Low)</w:t>
            </w:r>
          </w:p>
        </w:tc>
        <w:tc>
          <w:tcPr>
            <w:tcW w:w="1843" w:type="dxa"/>
            <w:vAlign w:val="center"/>
          </w:tcPr>
          <w:p w14:paraId="76358194" w14:textId="77777777" w:rsidR="004712A2" w:rsidRDefault="004712A2">
            <w:pPr>
              <w:keepNext/>
              <w:spacing w:before="60" w:after="60"/>
              <w:jc w:val="center"/>
              <w:rPr>
                <w:rFonts w:cs="Arial"/>
                <w:b/>
                <w:sz w:val="20"/>
                <w:szCs w:val="20"/>
              </w:rPr>
            </w:pPr>
            <w:r>
              <w:rPr>
                <w:rFonts w:cs="Arial"/>
                <w:b/>
                <w:sz w:val="20"/>
                <w:szCs w:val="20"/>
              </w:rPr>
              <w:t>Partially Attained Moderate Risk</w:t>
            </w:r>
          </w:p>
          <w:p w14:paraId="7DB9087E" w14:textId="77777777" w:rsidR="004712A2" w:rsidRDefault="004712A2">
            <w:pPr>
              <w:keepNext/>
              <w:spacing w:before="60" w:after="60"/>
              <w:jc w:val="center"/>
              <w:rPr>
                <w:rFonts w:cs="Arial"/>
                <w:b/>
                <w:sz w:val="20"/>
                <w:szCs w:val="20"/>
              </w:rPr>
            </w:pPr>
            <w:r>
              <w:rPr>
                <w:rFonts w:cs="Arial"/>
                <w:b/>
                <w:sz w:val="20"/>
                <w:szCs w:val="20"/>
              </w:rPr>
              <w:t>(PA Moderate)</w:t>
            </w:r>
          </w:p>
        </w:tc>
        <w:tc>
          <w:tcPr>
            <w:tcW w:w="1843" w:type="dxa"/>
            <w:vAlign w:val="center"/>
          </w:tcPr>
          <w:p w14:paraId="3E87C22F" w14:textId="77777777" w:rsidR="004712A2" w:rsidRDefault="004712A2">
            <w:pPr>
              <w:keepNext/>
              <w:spacing w:before="60" w:after="60"/>
              <w:jc w:val="center"/>
              <w:rPr>
                <w:rFonts w:cs="Arial"/>
                <w:b/>
                <w:sz w:val="20"/>
                <w:szCs w:val="20"/>
              </w:rPr>
            </w:pPr>
            <w:r>
              <w:rPr>
                <w:rFonts w:cs="Arial"/>
                <w:b/>
                <w:sz w:val="20"/>
                <w:szCs w:val="20"/>
              </w:rPr>
              <w:t>Partially Attained High Risk</w:t>
            </w:r>
          </w:p>
          <w:p w14:paraId="79315B04" w14:textId="77777777" w:rsidR="004712A2" w:rsidRDefault="004712A2">
            <w:pPr>
              <w:keepNext/>
              <w:spacing w:before="60" w:after="60"/>
              <w:jc w:val="center"/>
              <w:rPr>
                <w:rFonts w:cs="Arial"/>
                <w:b/>
                <w:sz w:val="20"/>
                <w:szCs w:val="20"/>
              </w:rPr>
            </w:pPr>
            <w:r>
              <w:rPr>
                <w:rFonts w:cs="Arial"/>
                <w:b/>
                <w:sz w:val="20"/>
                <w:szCs w:val="20"/>
              </w:rPr>
              <w:t>(PA High)</w:t>
            </w:r>
          </w:p>
        </w:tc>
        <w:tc>
          <w:tcPr>
            <w:tcW w:w="1843" w:type="dxa"/>
            <w:vAlign w:val="center"/>
          </w:tcPr>
          <w:p w14:paraId="757D8F67" w14:textId="77777777" w:rsidR="004712A2" w:rsidRDefault="004712A2">
            <w:pPr>
              <w:keepNext/>
              <w:spacing w:before="60" w:after="60"/>
              <w:jc w:val="center"/>
              <w:rPr>
                <w:rFonts w:cs="Arial"/>
                <w:b/>
                <w:sz w:val="20"/>
                <w:szCs w:val="20"/>
              </w:rPr>
            </w:pPr>
            <w:r>
              <w:rPr>
                <w:rFonts w:cs="Arial"/>
                <w:b/>
                <w:sz w:val="20"/>
                <w:szCs w:val="20"/>
              </w:rPr>
              <w:t>Partially Attained Critical Risk</w:t>
            </w:r>
          </w:p>
          <w:p w14:paraId="6CF3526F" w14:textId="77777777" w:rsidR="004712A2" w:rsidRDefault="004712A2">
            <w:pPr>
              <w:keepNext/>
              <w:spacing w:before="60" w:after="60"/>
              <w:jc w:val="center"/>
              <w:rPr>
                <w:rFonts w:cs="Arial"/>
                <w:b/>
                <w:sz w:val="20"/>
                <w:szCs w:val="20"/>
              </w:rPr>
            </w:pPr>
            <w:r>
              <w:rPr>
                <w:rFonts w:cs="Arial"/>
                <w:b/>
                <w:sz w:val="20"/>
                <w:szCs w:val="20"/>
              </w:rPr>
              <w:t>(PA Critical)</w:t>
            </w:r>
          </w:p>
        </w:tc>
      </w:tr>
      <w:tr w:rsidR="000B31C6" w14:paraId="2A0DF0CC" w14:textId="77777777">
        <w:tc>
          <w:tcPr>
            <w:tcW w:w="1384" w:type="dxa"/>
            <w:vAlign w:val="center"/>
          </w:tcPr>
          <w:p w14:paraId="34F6E647" w14:textId="77777777" w:rsidR="004712A2" w:rsidRDefault="004712A2">
            <w:pPr>
              <w:keepNext/>
              <w:spacing w:before="60" w:after="60"/>
              <w:rPr>
                <w:rFonts w:cs="Arial"/>
                <w:b/>
                <w:sz w:val="20"/>
                <w:szCs w:val="20"/>
              </w:rPr>
            </w:pPr>
            <w:r>
              <w:rPr>
                <w:rFonts w:cs="Arial"/>
                <w:b/>
                <w:sz w:val="20"/>
                <w:szCs w:val="20"/>
              </w:rPr>
              <w:t>Subsection</w:t>
            </w:r>
          </w:p>
        </w:tc>
        <w:tc>
          <w:tcPr>
            <w:tcW w:w="1701" w:type="dxa"/>
            <w:vAlign w:val="center"/>
          </w:tcPr>
          <w:p w14:paraId="7EECFEAA" w14:textId="77777777" w:rsidR="004712A2" w:rsidRDefault="004712A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4F2CDE5" w14:textId="77777777" w:rsidR="004712A2" w:rsidRDefault="004712A2"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1D1BA0F" w14:textId="77777777" w:rsidR="004712A2" w:rsidRDefault="004712A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5DBB28E" w14:textId="77777777" w:rsidR="004712A2" w:rsidRDefault="004712A2"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85DDB04" w14:textId="77777777" w:rsidR="004712A2" w:rsidRDefault="004712A2"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3A7CB73" w14:textId="77777777" w:rsidR="004712A2" w:rsidRDefault="004712A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734A796" w14:textId="77777777" w:rsidR="004712A2" w:rsidRDefault="004712A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B31C6" w14:paraId="3A79451B" w14:textId="77777777">
        <w:tc>
          <w:tcPr>
            <w:tcW w:w="1384" w:type="dxa"/>
            <w:vAlign w:val="center"/>
          </w:tcPr>
          <w:p w14:paraId="73DB8AA3" w14:textId="77777777" w:rsidR="004712A2" w:rsidRDefault="004712A2">
            <w:pPr>
              <w:keepNext/>
              <w:spacing w:before="60" w:after="60"/>
              <w:rPr>
                <w:rFonts w:cs="Arial"/>
                <w:b/>
                <w:sz w:val="20"/>
                <w:szCs w:val="20"/>
              </w:rPr>
            </w:pPr>
            <w:r>
              <w:rPr>
                <w:rFonts w:cs="Arial"/>
                <w:b/>
                <w:sz w:val="20"/>
                <w:szCs w:val="20"/>
              </w:rPr>
              <w:t>Criteria</w:t>
            </w:r>
          </w:p>
        </w:tc>
        <w:tc>
          <w:tcPr>
            <w:tcW w:w="1701" w:type="dxa"/>
            <w:vAlign w:val="center"/>
          </w:tcPr>
          <w:p w14:paraId="486288D3" w14:textId="77777777" w:rsidR="004712A2" w:rsidRDefault="004712A2">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727D901" w14:textId="77777777" w:rsidR="004712A2" w:rsidRDefault="004712A2"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1EBCA061" w14:textId="77777777" w:rsidR="004712A2" w:rsidRDefault="004712A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56178BD" w14:textId="77777777" w:rsidR="004712A2" w:rsidRDefault="004712A2"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761B9C9" w14:textId="77777777" w:rsidR="004712A2" w:rsidRDefault="004712A2"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B2126AB" w14:textId="77777777" w:rsidR="004712A2" w:rsidRDefault="004712A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1D52F03" w14:textId="77777777" w:rsidR="004712A2" w:rsidRDefault="004712A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95CED6E" w14:textId="77777777" w:rsidR="004712A2" w:rsidRDefault="004712A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B31C6" w14:paraId="0897AA52" w14:textId="77777777">
        <w:tc>
          <w:tcPr>
            <w:tcW w:w="1384" w:type="dxa"/>
            <w:vAlign w:val="center"/>
          </w:tcPr>
          <w:p w14:paraId="5D0D7FE2" w14:textId="77777777" w:rsidR="004712A2" w:rsidRDefault="004712A2">
            <w:pPr>
              <w:keepNext/>
              <w:spacing w:before="60" w:after="60"/>
              <w:rPr>
                <w:rFonts w:cs="Arial"/>
                <w:b/>
                <w:sz w:val="20"/>
                <w:szCs w:val="20"/>
              </w:rPr>
            </w:pPr>
            <w:r>
              <w:rPr>
                <w:rFonts w:cs="Arial"/>
                <w:b/>
                <w:sz w:val="20"/>
                <w:szCs w:val="20"/>
              </w:rPr>
              <w:t>Attainment Rating</w:t>
            </w:r>
          </w:p>
        </w:tc>
        <w:tc>
          <w:tcPr>
            <w:tcW w:w="1701" w:type="dxa"/>
            <w:vAlign w:val="center"/>
          </w:tcPr>
          <w:p w14:paraId="69EFE2A8" w14:textId="77777777" w:rsidR="004712A2" w:rsidRDefault="004712A2">
            <w:pPr>
              <w:keepNext/>
              <w:spacing w:before="60" w:after="60"/>
              <w:jc w:val="center"/>
              <w:rPr>
                <w:rFonts w:cs="Arial"/>
                <w:b/>
                <w:sz w:val="20"/>
                <w:szCs w:val="20"/>
              </w:rPr>
            </w:pPr>
            <w:r>
              <w:rPr>
                <w:rFonts w:cs="Arial"/>
                <w:b/>
                <w:sz w:val="20"/>
                <w:szCs w:val="20"/>
              </w:rPr>
              <w:t>Unattained Negligible Risk</w:t>
            </w:r>
          </w:p>
          <w:p w14:paraId="32D733E7" w14:textId="77777777" w:rsidR="004712A2" w:rsidRDefault="004712A2">
            <w:pPr>
              <w:keepNext/>
              <w:spacing w:before="60" w:after="60"/>
              <w:jc w:val="center"/>
              <w:rPr>
                <w:rFonts w:cs="Arial"/>
                <w:b/>
                <w:sz w:val="20"/>
                <w:szCs w:val="20"/>
              </w:rPr>
            </w:pPr>
            <w:r>
              <w:rPr>
                <w:rFonts w:cs="Arial"/>
                <w:b/>
                <w:sz w:val="20"/>
                <w:szCs w:val="20"/>
              </w:rPr>
              <w:t>(UA Negligible)</w:t>
            </w:r>
          </w:p>
        </w:tc>
        <w:tc>
          <w:tcPr>
            <w:tcW w:w="1843" w:type="dxa"/>
            <w:vAlign w:val="center"/>
          </w:tcPr>
          <w:p w14:paraId="04EEFBD7" w14:textId="77777777" w:rsidR="004712A2" w:rsidRDefault="004712A2">
            <w:pPr>
              <w:keepNext/>
              <w:spacing w:before="60" w:after="60"/>
              <w:jc w:val="center"/>
              <w:rPr>
                <w:rFonts w:cs="Arial"/>
                <w:b/>
                <w:sz w:val="20"/>
                <w:szCs w:val="20"/>
              </w:rPr>
            </w:pPr>
            <w:r>
              <w:rPr>
                <w:rFonts w:cs="Arial"/>
                <w:b/>
                <w:sz w:val="20"/>
                <w:szCs w:val="20"/>
              </w:rPr>
              <w:t>Unattained Low Risk</w:t>
            </w:r>
          </w:p>
          <w:p w14:paraId="5F400F31" w14:textId="77777777" w:rsidR="004712A2" w:rsidRDefault="004712A2">
            <w:pPr>
              <w:keepNext/>
              <w:spacing w:before="60" w:after="60"/>
              <w:jc w:val="center"/>
              <w:rPr>
                <w:rFonts w:cs="Arial"/>
                <w:b/>
                <w:sz w:val="20"/>
                <w:szCs w:val="20"/>
              </w:rPr>
            </w:pPr>
            <w:r>
              <w:rPr>
                <w:rFonts w:cs="Arial"/>
                <w:b/>
                <w:sz w:val="20"/>
                <w:szCs w:val="20"/>
              </w:rPr>
              <w:t>(UA Low)</w:t>
            </w:r>
          </w:p>
        </w:tc>
        <w:tc>
          <w:tcPr>
            <w:tcW w:w="1843" w:type="dxa"/>
            <w:vAlign w:val="center"/>
          </w:tcPr>
          <w:p w14:paraId="3793AB76" w14:textId="77777777" w:rsidR="004712A2" w:rsidRDefault="004712A2">
            <w:pPr>
              <w:keepNext/>
              <w:spacing w:before="60" w:after="60"/>
              <w:jc w:val="center"/>
              <w:rPr>
                <w:rFonts w:cs="Arial"/>
                <w:b/>
                <w:sz w:val="20"/>
                <w:szCs w:val="20"/>
              </w:rPr>
            </w:pPr>
            <w:r>
              <w:rPr>
                <w:rFonts w:cs="Arial"/>
                <w:b/>
                <w:sz w:val="20"/>
                <w:szCs w:val="20"/>
              </w:rPr>
              <w:t>Unattained Moderate Risk</w:t>
            </w:r>
          </w:p>
          <w:p w14:paraId="37258D7B" w14:textId="77777777" w:rsidR="004712A2" w:rsidRDefault="004712A2">
            <w:pPr>
              <w:keepNext/>
              <w:spacing w:before="60" w:after="60"/>
              <w:jc w:val="center"/>
              <w:rPr>
                <w:rFonts w:cs="Arial"/>
                <w:b/>
                <w:sz w:val="20"/>
                <w:szCs w:val="20"/>
              </w:rPr>
            </w:pPr>
            <w:r>
              <w:rPr>
                <w:rFonts w:cs="Arial"/>
                <w:b/>
                <w:sz w:val="20"/>
                <w:szCs w:val="20"/>
              </w:rPr>
              <w:t>(UA Moderate)</w:t>
            </w:r>
          </w:p>
        </w:tc>
        <w:tc>
          <w:tcPr>
            <w:tcW w:w="1842" w:type="dxa"/>
            <w:vAlign w:val="center"/>
          </w:tcPr>
          <w:p w14:paraId="36B189B1" w14:textId="77777777" w:rsidR="004712A2" w:rsidRDefault="004712A2">
            <w:pPr>
              <w:keepNext/>
              <w:spacing w:before="60" w:after="60"/>
              <w:jc w:val="center"/>
              <w:rPr>
                <w:rFonts w:cs="Arial"/>
                <w:b/>
                <w:sz w:val="20"/>
                <w:szCs w:val="20"/>
              </w:rPr>
            </w:pPr>
            <w:r>
              <w:rPr>
                <w:rFonts w:cs="Arial"/>
                <w:b/>
                <w:sz w:val="20"/>
                <w:szCs w:val="20"/>
              </w:rPr>
              <w:t>Unattained High Risk</w:t>
            </w:r>
          </w:p>
          <w:p w14:paraId="53FC1541" w14:textId="77777777" w:rsidR="004712A2" w:rsidRDefault="004712A2">
            <w:pPr>
              <w:keepNext/>
              <w:spacing w:before="60" w:after="60"/>
              <w:jc w:val="center"/>
              <w:rPr>
                <w:rFonts w:cs="Arial"/>
                <w:b/>
                <w:sz w:val="20"/>
                <w:szCs w:val="20"/>
              </w:rPr>
            </w:pPr>
            <w:r>
              <w:rPr>
                <w:rFonts w:cs="Arial"/>
                <w:b/>
                <w:sz w:val="20"/>
                <w:szCs w:val="20"/>
              </w:rPr>
              <w:t>(UA High)</w:t>
            </w:r>
          </w:p>
        </w:tc>
        <w:tc>
          <w:tcPr>
            <w:tcW w:w="1843" w:type="dxa"/>
            <w:vAlign w:val="center"/>
          </w:tcPr>
          <w:p w14:paraId="08C8432C" w14:textId="77777777" w:rsidR="004712A2" w:rsidRDefault="004712A2">
            <w:pPr>
              <w:keepNext/>
              <w:spacing w:before="60" w:after="60"/>
              <w:jc w:val="center"/>
              <w:rPr>
                <w:rFonts w:cs="Arial"/>
                <w:b/>
                <w:sz w:val="20"/>
                <w:szCs w:val="20"/>
              </w:rPr>
            </w:pPr>
            <w:r>
              <w:rPr>
                <w:rFonts w:cs="Arial"/>
                <w:b/>
                <w:sz w:val="20"/>
                <w:szCs w:val="20"/>
              </w:rPr>
              <w:t>Unattained Critical Risk</w:t>
            </w:r>
          </w:p>
          <w:p w14:paraId="05C59953" w14:textId="77777777" w:rsidR="004712A2" w:rsidRDefault="004712A2">
            <w:pPr>
              <w:keepNext/>
              <w:spacing w:before="60" w:after="60"/>
              <w:jc w:val="center"/>
              <w:rPr>
                <w:rFonts w:cs="Arial"/>
                <w:b/>
                <w:sz w:val="20"/>
                <w:szCs w:val="20"/>
              </w:rPr>
            </w:pPr>
            <w:r>
              <w:rPr>
                <w:rFonts w:cs="Arial"/>
                <w:b/>
                <w:sz w:val="20"/>
                <w:szCs w:val="20"/>
              </w:rPr>
              <w:t>(UA Critical)</w:t>
            </w:r>
          </w:p>
        </w:tc>
      </w:tr>
      <w:tr w:rsidR="000B31C6" w14:paraId="7929FD4C" w14:textId="77777777">
        <w:tc>
          <w:tcPr>
            <w:tcW w:w="1384" w:type="dxa"/>
            <w:vAlign w:val="center"/>
          </w:tcPr>
          <w:p w14:paraId="3D6DC2DD" w14:textId="77777777" w:rsidR="004712A2" w:rsidRDefault="004712A2">
            <w:pPr>
              <w:keepNext/>
              <w:spacing w:before="60" w:after="60"/>
              <w:rPr>
                <w:rFonts w:cs="Arial"/>
                <w:b/>
                <w:sz w:val="20"/>
                <w:szCs w:val="20"/>
              </w:rPr>
            </w:pPr>
            <w:r>
              <w:rPr>
                <w:rFonts w:cs="Arial"/>
                <w:b/>
                <w:sz w:val="20"/>
                <w:szCs w:val="20"/>
              </w:rPr>
              <w:t>Subsection</w:t>
            </w:r>
          </w:p>
        </w:tc>
        <w:tc>
          <w:tcPr>
            <w:tcW w:w="1701" w:type="dxa"/>
            <w:vAlign w:val="center"/>
          </w:tcPr>
          <w:p w14:paraId="36D95F2B" w14:textId="77777777" w:rsidR="004712A2" w:rsidRDefault="004712A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C24C804" w14:textId="77777777" w:rsidR="004712A2" w:rsidRDefault="004712A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A1A21A9" w14:textId="77777777" w:rsidR="004712A2" w:rsidRDefault="004712A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78A32EE" w14:textId="77777777" w:rsidR="004712A2" w:rsidRDefault="004712A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BD08278" w14:textId="77777777" w:rsidR="004712A2" w:rsidRDefault="004712A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B31C6" w14:paraId="556DDB86" w14:textId="77777777">
        <w:tc>
          <w:tcPr>
            <w:tcW w:w="1384" w:type="dxa"/>
            <w:vAlign w:val="center"/>
          </w:tcPr>
          <w:p w14:paraId="5AE7464B" w14:textId="77777777" w:rsidR="004712A2" w:rsidRDefault="004712A2">
            <w:pPr>
              <w:spacing w:before="60" w:after="60"/>
              <w:rPr>
                <w:rFonts w:cs="Arial"/>
                <w:b/>
                <w:sz w:val="20"/>
                <w:szCs w:val="20"/>
              </w:rPr>
            </w:pPr>
            <w:r>
              <w:rPr>
                <w:rFonts w:cs="Arial"/>
                <w:b/>
                <w:sz w:val="20"/>
                <w:szCs w:val="20"/>
              </w:rPr>
              <w:t>Criteria</w:t>
            </w:r>
          </w:p>
        </w:tc>
        <w:tc>
          <w:tcPr>
            <w:tcW w:w="1701" w:type="dxa"/>
            <w:vAlign w:val="center"/>
          </w:tcPr>
          <w:p w14:paraId="7580847C" w14:textId="77777777" w:rsidR="004712A2" w:rsidRDefault="004712A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E676FB2" w14:textId="77777777" w:rsidR="004712A2" w:rsidRDefault="004712A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134FA2C" w14:textId="77777777" w:rsidR="004712A2" w:rsidRDefault="004712A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86E4327" w14:textId="77777777" w:rsidR="004712A2" w:rsidRDefault="004712A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912E87D" w14:textId="77777777" w:rsidR="004712A2" w:rsidRDefault="004712A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28B94E5" w14:textId="77777777" w:rsidR="004712A2" w:rsidRDefault="004712A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FDC00A3" w14:textId="77777777" w:rsidR="004712A2" w:rsidRDefault="004712A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6115956" w14:textId="77777777" w:rsidR="004712A2" w:rsidRDefault="004712A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29D1647" w14:textId="77777777" w:rsidR="004712A2" w:rsidRDefault="004712A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1"/>
        <w:gridCol w:w="1368"/>
        <w:gridCol w:w="6979"/>
      </w:tblGrid>
      <w:tr w:rsidR="000B31C6" w14:paraId="6D25A181" w14:textId="77777777">
        <w:tc>
          <w:tcPr>
            <w:tcW w:w="0" w:type="auto"/>
          </w:tcPr>
          <w:p w14:paraId="1F6C7A10" w14:textId="77777777" w:rsidR="004712A2" w:rsidRPr="00BE00C7" w:rsidRDefault="004712A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F936A3E" w14:textId="77777777" w:rsidR="004712A2" w:rsidRPr="00BE00C7" w:rsidRDefault="004712A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55F895D" w14:textId="77777777" w:rsidR="004712A2" w:rsidRPr="00BE00C7" w:rsidRDefault="004712A2" w:rsidP="00BE00C7">
            <w:pPr>
              <w:pStyle w:val="OutcomeDescription"/>
              <w:spacing w:before="120" w:after="120"/>
              <w:rPr>
                <w:rFonts w:cs="Arial"/>
                <w:b/>
                <w:lang w:eastAsia="en-NZ"/>
              </w:rPr>
            </w:pPr>
            <w:r w:rsidRPr="00BE00C7">
              <w:rPr>
                <w:rFonts w:cs="Arial"/>
                <w:b/>
                <w:lang w:eastAsia="en-NZ"/>
              </w:rPr>
              <w:t>Audit Evidence</w:t>
            </w:r>
          </w:p>
        </w:tc>
      </w:tr>
      <w:tr w:rsidR="000B31C6" w14:paraId="2ECDD367" w14:textId="77777777">
        <w:tc>
          <w:tcPr>
            <w:tcW w:w="0" w:type="auto"/>
          </w:tcPr>
          <w:p w14:paraId="57B1C148" w14:textId="77777777" w:rsidR="004712A2" w:rsidRPr="00BE00C7" w:rsidRDefault="004712A2" w:rsidP="00BE00C7">
            <w:pPr>
              <w:pStyle w:val="OutcomeDescription"/>
              <w:spacing w:before="120" w:after="120"/>
              <w:rPr>
                <w:rFonts w:cs="Arial"/>
                <w:lang w:eastAsia="en-NZ"/>
              </w:rPr>
            </w:pPr>
            <w:r w:rsidRPr="00BE00C7">
              <w:rPr>
                <w:rFonts w:cs="Arial"/>
                <w:lang w:eastAsia="en-NZ"/>
              </w:rPr>
              <w:t>Subsection 1.1: Pae ora healthy futures</w:t>
            </w:r>
          </w:p>
          <w:p w14:paraId="5950C4E4" w14:textId="77777777" w:rsidR="004712A2" w:rsidRPr="00BE00C7" w:rsidRDefault="004712A2"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A9E4196" w14:textId="77777777" w:rsidR="004712A2" w:rsidRPr="00BE00C7" w:rsidRDefault="004712A2" w:rsidP="00BE00C7">
            <w:pPr>
              <w:pStyle w:val="OutcomeDescription"/>
              <w:spacing w:before="120" w:after="120"/>
              <w:rPr>
                <w:rFonts w:cs="Arial"/>
                <w:lang w:eastAsia="en-NZ"/>
              </w:rPr>
            </w:pPr>
          </w:p>
        </w:tc>
        <w:tc>
          <w:tcPr>
            <w:tcW w:w="0" w:type="auto"/>
          </w:tcPr>
          <w:p w14:paraId="7446DA66"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5D35831F" w14:textId="77777777" w:rsidR="004712A2" w:rsidRPr="00BE00C7" w:rsidRDefault="004712A2" w:rsidP="00BE00C7">
            <w:pPr>
              <w:pStyle w:val="OutcomeDescription"/>
              <w:spacing w:before="120" w:after="120"/>
              <w:rPr>
                <w:rFonts w:cs="Arial"/>
                <w:lang w:eastAsia="en-NZ"/>
              </w:rPr>
            </w:pPr>
            <w:r w:rsidRPr="00BE00C7">
              <w:rPr>
                <w:rFonts w:cs="Arial"/>
                <w:lang w:eastAsia="en-NZ"/>
              </w:rPr>
              <w:t>The Māori health plan references local Māori health care providers and recognises Māori values and beliefs. CHT St. Johns is committed to meeting its obligation under Te Tiriti o Waitangi and seeks to uphold the articles and the rights of tāngata whenua in accordance with the United Nations Declaration on the Rights of Indigenous Peoples.</w:t>
            </w:r>
          </w:p>
          <w:p w14:paraId="68F43711"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Te Whare Tapa Wha health model is incorporated into all Māori and other residents' care. The service currently has residents and staff who identify as Māori. </w:t>
            </w:r>
          </w:p>
          <w:p w14:paraId="7BF17C36"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 care home manager (CHM), area manager (AM), clinical coordinator (CC), two registered nurses (RNs), five healthcare assistants (HCAs), housekeeper, chef manager, and maintenance officer interviewed demonstrated awareness of cultural safety and were able to describe ways they apply the principles of Te Tiriti in relation to their roles. </w:t>
            </w:r>
          </w:p>
          <w:p w14:paraId="7A37192D" w14:textId="77777777" w:rsidR="004712A2" w:rsidRPr="00BE00C7" w:rsidRDefault="004712A2" w:rsidP="00BE00C7">
            <w:pPr>
              <w:pStyle w:val="OutcomeDescription"/>
              <w:spacing w:before="120" w:after="120"/>
              <w:rPr>
                <w:rFonts w:cs="Arial"/>
                <w:lang w:eastAsia="en-NZ"/>
              </w:rPr>
            </w:pPr>
          </w:p>
        </w:tc>
      </w:tr>
      <w:tr w:rsidR="000B31C6" w14:paraId="521D4510" w14:textId="77777777">
        <w:tc>
          <w:tcPr>
            <w:tcW w:w="0" w:type="auto"/>
          </w:tcPr>
          <w:p w14:paraId="2933DA3B" w14:textId="77777777" w:rsidR="004712A2" w:rsidRPr="00BE00C7" w:rsidRDefault="004712A2"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547CBAC" w14:textId="77777777" w:rsidR="004712A2" w:rsidRPr="00BE00C7" w:rsidRDefault="004712A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E5D4ED6" w14:textId="77777777" w:rsidR="004712A2" w:rsidRPr="00BE00C7" w:rsidRDefault="004712A2" w:rsidP="00BE00C7">
            <w:pPr>
              <w:pStyle w:val="OutcomeDescription"/>
              <w:spacing w:before="120" w:after="120"/>
              <w:rPr>
                <w:rFonts w:cs="Arial"/>
                <w:lang w:eastAsia="en-NZ"/>
              </w:rPr>
            </w:pPr>
          </w:p>
        </w:tc>
        <w:tc>
          <w:tcPr>
            <w:tcW w:w="0" w:type="auto"/>
          </w:tcPr>
          <w:p w14:paraId="0CA66148"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EEAC3E"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There is a Pacific Health and Wellbeing Action Plan 2020-2025 that commits to providing appropriate and equitable care for residents who identify as Pasifika. The Pacific Model of Health (The Fonofale Model) guides on how Pacific people who engage with the service are supported. Cultural assessments and care plans for residents of each Pacific descent are </w:t>
            </w:r>
            <w:r w:rsidRPr="00BE00C7">
              <w:rPr>
                <w:rFonts w:cs="Arial"/>
                <w:lang w:eastAsia="en-NZ"/>
              </w:rPr>
              <w:lastRenderedPageBreak/>
              <w:t>available to implement. The service has residents and staff who identify as Pasifika. The staff interviewed highlighted the importance of understanding and supporting each other’s culture.</w:t>
            </w:r>
          </w:p>
          <w:p w14:paraId="1052C35B" w14:textId="77777777" w:rsidR="004712A2" w:rsidRPr="00BE00C7" w:rsidRDefault="004712A2" w:rsidP="00BE00C7">
            <w:pPr>
              <w:pStyle w:val="OutcomeDescription"/>
              <w:spacing w:before="120" w:after="120"/>
              <w:rPr>
                <w:rFonts w:cs="Arial"/>
                <w:lang w:eastAsia="en-NZ"/>
              </w:rPr>
            </w:pPr>
          </w:p>
        </w:tc>
      </w:tr>
      <w:tr w:rsidR="000B31C6" w14:paraId="5E1C4A7F" w14:textId="77777777">
        <w:tc>
          <w:tcPr>
            <w:tcW w:w="0" w:type="auto"/>
          </w:tcPr>
          <w:p w14:paraId="47EF49D5"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1F0541C" w14:textId="77777777" w:rsidR="004712A2" w:rsidRPr="00BE00C7" w:rsidRDefault="004712A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BD786F2" w14:textId="77777777" w:rsidR="004712A2" w:rsidRPr="00BE00C7" w:rsidRDefault="004712A2" w:rsidP="00BE00C7">
            <w:pPr>
              <w:pStyle w:val="OutcomeDescription"/>
              <w:spacing w:before="120" w:after="120"/>
              <w:rPr>
                <w:rFonts w:cs="Arial"/>
                <w:lang w:eastAsia="en-NZ"/>
              </w:rPr>
            </w:pPr>
          </w:p>
        </w:tc>
        <w:tc>
          <w:tcPr>
            <w:tcW w:w="0" w:type="auto"/>
          </w:tcPr>
          <w:p w14:paraId="5660C469"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595BC975"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All staff interviewed at the service understood the requirements of the Code of Health </w:t>
            </w:r>
            <w:r w:rsidRPr="00BE00C7">
              <w:rPr>
                <w:rFonts w:cs="Arial"/>
                <w:lang w:eastAsia="en-NZ"/>
              </w:rPr>
              <w:t>and Disability Services Consumers’ Rights (the Code) and were observed supporting residents to follow their wishes. Family/whānau and residents interviewed reported being made aware of the Code and the Nationwide Health and Disability Advocacy Service (Advocacy Service), and confirmed they were provided with opportunities to discuss and clarify their rights. Three residents (hospital level including two younger residents with a disability), nine relatives including six (dementia), and three (hospital) inter</w:t>
            </w:r>
            <w:r w:rsidRPr="00BE00C7">
              <w:rPr>
                <w:rFonts w:cs="Arial"/>
                <w:lang w:eastAsia="en-NZ"/>
              </w:rPr>
              <w:t>viewed, reported the Code of Rights was adhered to and residents were aware of their rights.</w:t>
            </w:r>
          </w:p>
          <w:p w14:paraId="314C7B20" w14:textId="77777777" w:rsidR="004712A2" w:rsidRPr="00BE00C7" w:rsidRDefault="004712A2" w:rsidP="00BE00C7">
            <w:pPr>
              <w:pStyle w:val="OutcomeDescription"/>
              <w:spacing w:before="120" w:after="120"/>
              <w:rPr>
                <w:rFonts w:cs="Arial"/>
                <w:lang w:eastAsia="en-NZ"/>
              </w:rPr>
            </w:pPr>
          </w:p>
        </w:tc>
      </w:tr>
      <w:tr w:rsidR="000B31C6" w14:paraId="4C45FF8D" w14:textId="77777777">
        <w:tc>
          <w:tcPr>
            <w:tcW w:w="0" w:type="auto"/>
          </w:tcPr>
          <w:p w14:paraId="7E62DC19" w14:textId="77777777" w:rsidR="004712A2" w:rsidRPr="00BE00C7" w:rsidRDefault="004712A2" w:rsidP="00BE00C7">
            <w:pPr>
              <w:pStyle w:val="OutcomeDescription"/>
              <w:spacing w:before="120" w:after="120"/>
              <w:rPr>
                <w:rFonts w:cs="Arial"/>
                <w:lang w:eastAsia="en-NZ"/>
              </w:rPr>
            </w:pPr>
            <w:r w:rsidRPr="00BE00C7">
              <w:rPr>
                <w:rFonts w:cs="Arial"/>
                <w:lang w:eastAsia="en-NZ"/>
              </w:rPr>
              <w:t>Subsection 1.5: I am protected from abuse</w:t>
            </w:r>
          </w:p>
          <w:p w14:paraId="31A2B5DA" w14:textId="77777777" w:rsidR="004712A2" w:rsidRPr="00BE00C7" w:rsidRDefault="004712A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A272EF5" w14:textId="77777777" w:rsidR="004712A2" w:rsidRPr="00BE00C7" w:rsidRDefault="004712A2" w:rsidP="00BE00C7">
            <w:pPr>
              <w:pStyle w:val="OutcomeDescription"/>
              <w:spacing w:before="120" w:after="120"/>
              <w:rPr>
                <w:rFonts w:cs="Arial"/>
                <w:lang w:eastAsia="en-NZ"/>
              </w:rPr>
            </w:pPr>
          </w:p>
        </w:tc>
        <w:tc>
          <w:tcPr>
            <w:tcW w:w="0" w:type="auto"/>
          </w:tcPr>
          <w:p w14:paraId="5C4140C6"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4E5EC89E" w14:textId="77777777" w:rsidR="004712A2" w:rsidRPr="00BE00C7" w:rsidRDefault="004712A2"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annually. Residents reported that their property and finances were respected, and professional boundaries were maintained.</w:t>
            </w:r>
          </w:p>
          <w:p w14:paraId="25432353"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 CHM reported that staff are guided by the code of conduct to ensure the environment is safe and free from any form of institutional and/or systemic racism. Family/whānau and residents stated that they were free from any type of discrimination, harassment, physical or sexual abuse or neglect and were safe. Policies and procedures, such as the harassment, discrimination, and bullying policy, are in place. The policy applies to all staff, contractors, visitors, and residents. </w:t>
            </w:r>
          </w:p>
          <w:p w14:paraId="1BAEFD66" w14:textId="77777777" w:rsidR="004712A2" w:rsidRPr="00BE00C7" w:rsidRDefault="004712A2" w:rsidP="00BE00C7">
            <w:pPr>
              <w:pStyle w:val="OutcomeDescription"/>
              <w:spacing w:before="120" w:after="120"/>
              <w:rPr>
                <w:rFonts w:cs="Arial"/>
                <w:lang w:eastAsia="en-NZ"/>
              </w:rPr>
            </w:pPr>
          </w:p>
          <w:p w14:paraId="233BE828" w14:textId="77777777" w:rsidR="004712A2" w:rsidRPr="00BE00C7" w:rsidRDefault="004712A2" w:rsidP="00BE00C7">
            <w:pPr>
              <w:pStyle w:val="OutcomeDescription"/>
              <w:spacing w:before="120" w:after="120"/>
              <w:rPr>
                <w:rFonts w:cs="Arial"/>
                <w:lang w:eastAsia="en-NZ"/>
              </w:rPr>
            </w:pPr>
          </w:p>
        </w:tc>
      </w:tr>
      <w:tr w:rsidR="000B31C6" w14:paraId="395C49E1" w14:textId="77777777">
        <w:tc>
          <w:tcPr>
            <w:tcW w:w="0" w:type="auto"/>
          </w:tcPr>
          <w:p w14:paraId="3469A6D4"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431EE5A" w14:textId="77777777" w:rsidR="004712A2" w:rsidRPr="00BE00C7" w:rsidRDefault="004712A2"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A91DCA6" w14:textId="77777777" w:rsidR="004712A2" w:rsidRPr="00BE00C7" w:rsidRDefault="004712A2" w:rsidP="00BE00C7">
            <w:pPr>
              <w:pStyle w:val="OutcomeDescription"/>
              <w:spacing w:before="120" w:after="120"/>
              <w:rPr>
                <w:rFonts w:cs="Arial"/>
                <w:lang w:eastAsia="en-NZ"/>
              </w:rPr>
            </w:pPr>
          </w:p>
        </w:tc>
        <w:tc>
          <w:tcPr>
            <w:tcW w:w="0" w:type="auto"/>
          </w:tcPr>
          <w:p w14:paraId="68CA79A2"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3AA937EF" w14:textId="77777777" w:rsidR="004712A2" w:rsidRPr="00BE00C7" w:rsidRDefault="004712A2" w:rsidP="00BE00C7">
            <w:pPr>
              <w:pStyle w:val="OutcomeDescription"/>
              <w:spacing w:before="120" w:after="120"/>
              <w:rPr>
                <w:rFonts w:cs="Arial"/>
                <w:lang w:eastAsia="en-NZ"/>
              </w:rPr>
            </w:pPr>
            <w:r w:rsidRPr="00BE00C7">
              <w:rPr>
                <w:rFonts w:cs="Arial"/>
                <w:lang w:eastAsia="en-NZ"/>
              </w:rPr>
              <w:t>Signed admission agreements were evidenced in the sampled residents’ records. Informed consent for specific procedures had been gained appropriately. All residents’ files reviewed contained appropriately signed consent forms. Training has been provided to staff around Code of Rights, informed consent, and enduring power of attorney.</w:t>
            </w:r>
          </w:p>
          <w:p w14:paraId="08D39DE0" w14:textId="77777777" w:rsidR="004712A2" w:rsidRPr="00BE00C7" w:rsidRDefault="004712A2" w:rsidP="00BE00C7">
            <w:pPr>
              <w:pStyle w:val="OutcomeDescription"/>
              <w:spacing w:before="120" w:after="120"/>
              <w:rPr>
                <w:rFonts w:cs="Arial"/>
                <w:lang w:eastAsia="en-NZ"/>
              </w:rPr>
            </w:pPr>
          </w:p>
        </w:tc>
      </w:tr>
      <w:tr w:rsidR="000B31C6" w14:paraId="4E561751" w14:textId="77777777">
        <w:tc>
          <w:tcPr>
            <w:tcW w:w="0" w:type="auto"/>
          </w:tcPr>
          <w:p w14:paraId="248B1CB9" w14:textId="77777777" w:rsidR="004712A2" w:rsidRPr="00BE00C7" w:rsidRDefault="004712A2" w:rsidP="00BE00C7">
            <w:pPr>
              <w:pStyle w:val="OutcomeDescription"/>
              <w:spacing w:before="120" w:after="120"/>
              <w:rPr>
                <w:rFonts w:cs="Arial"/>
                <w:lang w:eastAsia="en-NZ"/>
              </w:rPr>
            </w:pPr>
            <w:r w:rsidRPr="00BE00C7">
              <w:rPr>
                <w:rFonts w:cs="Arial"/>
                <w:lang w:eastAsia="en-NZ"/>
              </w:rPr>
              <w:t>Subsection 1.8: I have the right to complain</w:t>
            </w:r>
          </w:p>
          <w:p w14:paraId="07D9B2D6" w14:textId="77777777" w:rsidR="004712A2" w:rsidRPr="00BE00C7" w:rsidRDefault="004712A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w:t>
            </w:r>
            <w:r w:rsidRPr="00BE00C7">
              <w:rPr>
                <w:rFonts w:cs="Arial"/>
                <w:lang w:eastAsia="en-NZ"/>
              </w:rPr>
              <w:t>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5AE761C" w14:textId="77777777" w:rsidR="004712A2" w:rsidRPr="00BE00C7" w:rsidRDefault="004712A2" w:rsidP="00BE00C7">
            <w:pPr>
              <w:pStyle w:val="OutcomeDescription"/>
              <w:spacing w:before="120" w:after="120"/>
              <w:rPr>
                <w:rFonts w:cs="Arial"/>
                <w:lang w:eastAsia="en-NZ"/>
              </w:rPr>
            </w:pPr>
          </w:p>
        </w:tc>
        <w:tc>
          <w:tcPr>
            <w:tcW w:w="0" w:type="auto"/>
          </w:tcPr>
          <w:p w14:paraId="50F5FD1E"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07FC45CA" w14:textId="77777777" w:rsidR="004712A2" w:rsidRPr="00BE00C7" w:rsidRDefault="004712A2" w:rsidP="00BE00C7">
            <w:pPr>
              <w:pStyle w:val="OutcomeDescription"/>
              <w:spacing w:before="120" w:after="120"/>
              <w:rPr>
                <w:rFonts w:cs="Arial"/>
                <w:lang w:eastAsia="en-NZ"/>
              </w:rPr>
            </w:pPr>
            <w:r w:rsidRPr="00BE00C7">
              <w:rPr>
                <w:rFonts w:cs="Arial"/>
                <w:lang w:eastAsia="en-NZ"/>
              </w:rPr>
              <w:t>The complaints/compliments management policy and procedures were clearly documented to guide staff. The process complies with Right 10 of the Code of Rights, which is the right to complain, to be taken seriously and respected, and to receive a timely response. The service has a complaint register in place. There were 51 complaints lodged in 2023, and 41 in 2024 year to date. The CHM reported that the complaint process timeframes are adhered to, and service improvement measures are implemented as required. D</w:t>
            </w:r>
            <w:r w:rsidRPr="00BE00C7">
              <w:rPr>
                <w:rFonts w:cs="Arial"/>
                <w:lang w:eastAsia="en-NZ"/>
              </w:rPr>
              <w:t>ocumentation, including follow-up letters and resolutions, was completed and managed in accordance with guidelines set by the Health and Disability Commissioner. Discussions with residents and family/whānau confirmed that they are provided with information on the complaints process and that any concerns or issues they had, are addressed promptly. There were several compliments received from residents and family/whānau.</w:t>
            </w:r>
          </w:p>
          <w:p w14:paraId="740DFA58"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Families/whānau and residents making complaints can involve an independent support person. The complaints process is linked to advocacy services. The Code of Health and Disability Services Consumers’ Rights is visible and available in te reo Māori and English. Residents and family/whānau interviewed expressed satisfaction with the complaint </w:t>
            </w:r>
            <w:r w:rsidRPr="00BE00C7">
              <w:rPr>
                <w:rFonts w:cs="Arial"/>
                <w:lang w:eastAsia="en-NZ"/>
              </w:rPr>
              <w:lastRenderedPageBreak/>
              <w:t xml:space="preserve">process. In the event of a complaint from a Māori resident or family/whanau member, the service would seek the assistance of an interpreter or cultural advisor if needed. No external complaints have been reported since the previous audit. </w:t>
            </w:r>
          </w:p>
          <w:p w14:paraId="574A095D" w14:textId="77777777" w:rsidR="004712A2" w:rsidRPr="00BE00C7" w:rsidRDefault="004712A2" w:rsidP="00BE00C7">
            <w:pPr>
              <w:pStyle w:val="OutcomeDescription"/>
              <w:spacing w:before="120" w:after="120"/>
              <w:rPr>
                <w:rFonts w:cs="Arial"/>
                <w:lang w:eastAsia="en-NZ"/>
              </w:rPr>
            </w:pPr>
          </w:p>
        </w:tc>
      </w:tr>
      <w:tr w:rsidR="000B31C6" w14:paraId="5022F3AA" w14:textId="77777777">
        <w:tc>
          <w:tcPr>
            <w:tcW w:w="0" w:type="auto"/>
          </w:tcPr>
          <w:p w14:paraId="57C952CB"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Subsection 2.1: Governance</w:t>
            </w:r>
          </w:p>
          <w:p w14:paraId="617A23D0" w14:textId="77777777" w:rsidR="004712A2" w:rsidRPr="00BE00C7" w:rsidRDefault="004712A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5BCDC3F" w14:textId="77777777" w:rsidR="004712A2" w:rsidRPr="00BE00C7" w:rsidRDefault="004712A2" w:rsidP="00BE00C7">
            <w:pPr>
              <w:pStyle w:val="OutcomeDescription"/>
              <w:spacing w:before="120" w:after="120"/>
              <w:rPr>
                <w:rFonts w:cs="Arial"/>
                <w:lang w:eastAsia="en-NZ"/>
              </w:rPr>
            </w:pPr>
          </w:p>
        </w:tc>
        <w:tc>
          <w:tcPr>
            <w:tcW w:w="0" w:type="auto"/>
          </w:tcPr>
          <w:p w14:paraId="595A3620"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74DB5046" w14:textId="77777777" w:rsidR="004712A2" w:rsidRPr="00BE00C7" w:rsidRDefault="004712A2" w:rsidP="00BE00C7">
            <w:pPr>
              <w:pStyle w:val="OutcomeDescription"/>
              <w:spacing w:before="120" w:after="120"/>
              <w:rPr>
                <w:rFonts w:cs="Arial"/>
                <w:lang w:eastAsia="en-NZ"/>
              </w:rPr>
            </w:pPr>
            <w:r w:rsidRPr="00BE00C7">
              <w:rPr>
                <w:rFonts w:cs="Arial"/>
                <w:lang w:eastAsia="en-NZ"/>
              </w:rPr>
              <w:t>CHT St Johns is part of the CHT Healthcare Trust (CHT). The service provides dementia, hospital-level, and residential disability-physical care for up to 90 residents. On the day of the audit, there were 88 residents in total. There were 20 residents requiring dementia care (a 20-bed unit) and 68 hospital-level residents, including five younger persons with physical disabilities (YPD), and one resident under ACC. Residents in the hospital, apart from the residents on YPD and ACC contracts are under the Aged</w:t>
            </w:r>
            <w:r w:rsidRPr="00BE00C7">
              <w:rPr>
                <w:rFonts w:cs="Arial"/>
                <w:lang w:eastAsia="en-NZ"/>
              </w:rPr>
              <w:t xml:space="preserve"> Related Residential Care contract.</w:t>
            </w:r>
          </w:p>
          <w:p w14:paraId="1CA387CA" w14:textId="77777777" w:rsidR="004712A2" w:rsidRPr="00BE00C7" w:rsidRDefault="004712A2" w:rsidP="00BE00C7">
            <w:pPr>
              <w:pStyle w:val="OutcomeDescription"/>
              <w:spacing w:before="120" w:after="120"/>
              <w:rPr>
                <w:rFonts w:cs="Arial"/>
                <w:lang w:eastAsia="en-NZ"/>
              </w:rPr>
            </w:pPr>
            <w:r w:rsidRPr="00BE00C7">
              <w:rPr>
                <w:rFonts w:cs="Arial"/>
                <w:lang w:eastAsia="en-NZ"/>
              </w:rPr>
              <w:t>CHT is a Charitable Trust/not-for profit organisation. The governance body consists of seven trustees. Each of the trustees contributes their own areas of expertise to the Board including legal, accounting. The monthly Board meeting agenda covers topics for discussion and action including (but not limited to) Governance, finance, quality, human resources and health and safety. There are several sub committees including (but not limited to) Audit and Risk Committee and the Quality, Health &amp; Safety Committee.</w:t>
            </w:r>
            <w:r w:rsidRPr="00BE00C7">
              <w:rPr>
                <w:rFonts w:cs="Arial"/>
                <w:lang w:eastAsia="en-NZ"/>
              </w:rPr>
              <w:t xml:space="preserve"> Membership of these committees include members of the senior management team and board members. Outcomes of these meetings are discussed at the monthly board meetings. The Quality, Health &amp; Safety Committee (QHSC), which is a sub-committee of the Board monitors compliance with organisational policies and procedures on quality health and safety and relevant legislation and contractual requirements. </w:t>
            </w:r>
          </w:p>
          <w:p w14:paraId="489D1BB0"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 organisational plan (June 2024/2025) includes values, operational objectives, and organisational and site-specific goals related to community connections, resident satisfaction, staff satisfaction, and the environment. Regular milestone reports ensure that care home managers are current with progress and achievements. The CHM reports to the area manager, who oversees other sister sites in Auckland. </w:t>
            </w:r>
          </w:p>
          <w:p w14:paraId="4E3BF778"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 area manager interviewed explained the strategic plan, its reflection of collaboration with Māori that aligns with the Ministry of Health strategies and addresses barriers to equitable service delivery. One of CHT’s key business </w:t>
            </w:r>
            <w:r w:rsidRPr="00BE00C7">
              <w:rPr>
                <w:rFonts w:cs="Arial"/>
                <w:lang w:eastAsia="en-NZ"/>
              </w:rPr>
              <w:lastRenderedPageBreak/>
              <w:t xml:space="preserve">goals is to provide equal access to aged care services. This is achieved by providing affordable care and by enhancing physical and mental wellbeing of the residents. CHT premium rates and room sizes in line with organisational principles, means CHT continue to be a low cost provider of aged residential care services. </w:t>
            </w:r>
          </w:p>
          <w:p w14:paraId="6D9189D6" w14:textId="77777777" w:rsidR="004712A2" w:rsidRPr="00BE00C7" w:rsidRDefault="004712A2" w:rsidP="00BE00C7">
            <w:pPr>
              <w:pStyle w:val="OutcomeDescription"/>
              <w:spacing w:before="120" w:after="120"/>
              <w:rPr>
                <w:rFonts w:cs="Arial"/>
                <w:lang w:eastAsia="en-NZ"/>
              </w:rPr>
            </w:pPr>
            <w:r w:rsidRPr="00BE00C7">
              <w:rPr>
                <w:rFonts w:cs="Arial"/>
                <w:lang w:eastAsia="en-NZ"/>
              </w:rPr>
              <w:t>CHT’s Māori Health Plan has a set of actions to address barriers to Māori accessing care and employment within CHT. The principles of these actions are also applied to people with disabilities.</w:t>
            </w:r>
          </w:p>
          <w:p w14:paraId="0361CF61"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 Clinical Quality Lead is the lead for the development and delivery of the Clinical Quality strategy. They work with the Area Managers to ensure a strong clinical quality culture. They provide a detailed analysis of clinical data to the Board prior to every board meeting. </w:t>
            </w:r>
          </w:p>
          <w:p w14:paraId="5A5D80CC" w14:textId="77777777" w:rsidR="004712A2" w:rsidRPr="00BE00C7" w:rsidRDefault="004712A2" w:rsidP="00BE00C7">
            <w:pPr>
              <w:pStyle w:val="OutcomeDescription"/>
              <w:spacing w:before="120" w:after="120"/>
              <w:rPr>
                <w:rFonts w:cs="Arial"/>
                <w:lang w:eastAsia="en-NZ"/>
              </w:rPr>
            </w:pPr>
          </w:p>
        </w:tc>
      </w:tr>
      <w:tr w:rsidR="000B31C6" w14:paraId="3B663E27" w14:textId="77777777">
        <w:tc>
          <w:tcPr>
            <w:tcW w:w="0" w:type="auto"/>
          </w:tcPr>
          <w:p w14:paraId="67EAADA0"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113D068"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 people: I trust there are systems in place that keep me </w:t>
            </w:r>
            <w:r w:rsidRPr="00BE00C7">
              <w:rPr>
                <w:rFonts w:cs="Arial"/>
                <w:lang w:eastAsia="en-NZ"/>
              </w:rPr>
              <w:t>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w:t>
            </w:r>
            <w:r w:rsidRPr="00BE00C7">
              <w:rPr>
                <w:rFonts w:cs="Arial"/>
                <w:lang w:eastAsia="en-NZ"/>
              </w:rPr>
              <w:t>kers.</w:t>
            </w:r>
          </w:p>
          <w:p w14:paraId="602EF43B" w14:textId="77777777" w:rsidR="004712A2" w:rsidRPr="00BE00C7" w:rsidRDefault="004712A2" w:rsidP="00BE00C7">
            <w:pPr>
              <w:pStyle w:val="OutcomeDescription"/>
              <w:spacing w:before="120" w:after="120"/>
              <w:rPr>
                <w:rFonts w:cs="Arial"/>
                <w:lang w:eastAsia="en-NZ"/>
              </w:rPr>
            </w:pPr>
          </w:p>
        </w:tc>
        <w:tc>
          <w:tcPr>
            <w:tcW w:w="0" w:type="auto"/>
          </w:tcPr>
          <w:p w14:paraId="045C5C18"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6645C455"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CHT St Johns has an established quality and risk management programme. The quality and risk management systems include performance monitoring through internal audits and the collection of clinical indicator data. Clinical indicator data (e.g., falls, skin tears, infections, episodes of behaviours that challenge) is collected, analysed at the facility level, and benchmarked within the organisation. Meeting minutes reviewed evidence that quality data is shared in staff meetings. Internal audits are completed </w:t>
            </w:r>
            <w:r w:rsidRPr="00BE00C7">
              <w:rPr>
                <w:rFonts w:cs="Arial"/>
                <w:lang w:eastAsia="en-NZ"/>
              </w:rPr>
              <w:t>six-monthly by the area manager. Corrective actions are documented to address service improvements, with evidence of progress and sign-off when achieved.</w:t>
            </w:r>
          </w:p>
          <w:p w14:paraId="1D89D2E3" w14:textId="77777777" w:rsidR="004712A2" w:rsidRPr="00BE00C7" w:rsidRDefault="004712A2" w:rsidP="00BE00C7">
            <w:pPr>
              <w:pStyle w:val="OutcomeDescription"/>
              <w:spacing w:before="120" w:after="120"/>
              <w:rPr>
                <w:rFonts w:cs="Arial"/>
                <w:lang w:eastAsia="en-NZ"/>
              </w:rPr>
            </w:pPr>
            <w:r w:rsidRPr="00BE00C7">
              <w:rPr>
                <w:rFonts w:cs="Arial"/>
                <w:lang w:eastAsia="en-NZ"/>
              </w:rPr>
              <w:t>Combined staff/quality meetings provide an avenue for discussions in relation to (but not limited to) quality data; health and safety; infection control/pandemic strategies; complaints; compliments; staffing; and education. Resident/family satisfaction surveys are completed monthly, with a selection invited each month (on the yearly anniversary of their admission), to cover all residents and families/whānau in a calendar year. Surveys completed in 2023 and 2024 reflect high resident/family satisfaction leve</w:t>
            </w:r>
            <w:r w:rsidRPr="00BE00C7">
              <w:rPr>
                <w:rFonts w:cs="Arial"/>
                <w:lang w:eastAsia="en-NZ"/>
              </w:rPr>
              <w:t>ls. Corrective actions regarding environment and communication were implemented and completed.</w:t>
            </w:r>
          </w:p>
          <w:p w14:paraId="4B6C186B"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 risk mitigation plan, policies, and procedures clearly describe all potential internal and external risks and corresponding mitigation strategies in line with the National Adverse Event Reporting Policy. A health and safety system with identified health and safety goals is in place. Hazard </w:t>
            </w:r>
            <w:r w:rsidRPr="00BE00C7">
              <w:rPr>
                <w:rFonts w:cs="Arial"/>
                <w:lang w:eastAsia="en-NZ"/>
              </w:rPr>
              <w:lastRenderedPageBreak/>
              <w:t>identification forms were held at the entrance, and an up-to-date hazard and risk register was sighted. The health and safety officer implements and monitors health and safety policies. There are regular manual handling sessions for staff. Staff are kept informed on health and safety issues and updates.</w:t>
            </w:r>
          </w:p>
          <w:p w14:paraId="0CF1A56E" w14:textId="77777777" w:rsidR="004712A2" w:rsidRPr="00BE00C7" w:rsidRDefault="004712A2" w:rsidP="00BE00C7">
            <w:pPr>
              <w:pStyle w:val="OutcomeDescription"/>
              <w:spacing w:before="120" w:after="120"/>
              <w:rPr>
                <w:rFonts w:cs="Arial"/>
                <w:lang w:eastAsia="en-NZ"/>
              </w:rPr>
            </w:pPr>
            <w:r w:rsidRPr="00BE00C7">
              <w:rPr>
                <w:rFonts w:cs="Arial"/>
                <w:lang w:eastAsia="en-NZ"/>
              </w:rPr>
              <w:t>Individual reports are completed for each incident/accident. Incident and accident data is collated monthly and analysed for trends. Results are discussed at the meetings. Ten resident-related accident/incident forms were reviewed, which evidenced that each event involving a resident reflected a clinical assessment and follow-up by a clinical coordinator (CC).</w:t>
            </w:r>
          </w:p>
          <w:p w14:paraId="2D64174C"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Discussions with the CHM, area manager and CC evidenced awareness of their requirement to notify relevant authorities in relation to essential notifications. There were two Section 31 notifications completed related to missing a resident and an unstageable pressure injury. A covid-19 infection outbreak was reported in February and May 2024, and staff were debriefed. </w:t>
            </w:r>
          </w:p>
          <w:p w14:paraId="73DE8A22" w14:textId="77777777" w:rsidR="004712A2" w:rsidRPr="00BE00C7" w:rsidRDefault="004712A2" w:rsidP="00BE00C7">
            <w:pPr>
              <w:pStyle w:val="OutcomeDescription"/>
              <w:spacing w:before="120" w:after="120"/>
              <w:rPr>
                <w:rFonts w:cs="Arial"/>
                <w:lang w:eastAsia="en-NZ"/>
              </w:rPr>
            </w:pPr>
          </w:p>
        </w:tc>
      </w:tr>
      <w:tr w:rsidR="000B31C6" w14:paraId="74962B05" w14:textId="77777777">
        <w:tc>
          <w:tcPr>
            <w:tcW w:w="0" w:type="auto"/>
          </w:tcPr>
          <w:p w14:paraId="5C6B2520"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57C16FE" w14:textId="77777777" w:rsidR="004712A2" w:rsidRPr="00BE00C7" w:rsidRDefault="004712A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48AC3FF" w14:textId="77777777" w:rsidR="004712A2" w:rsidRPr="00BE00C7" w:rsidRDefault="004712A2" w:rsidP="00BE00C7">
            <w:pPr>
              <w:pStyle w:val="OutcomeDescription"/>
              <w:spacing w:before="120" w:after="120"/>
              <w:rPr>
                <w:rFonts w:cs="Arial"/>
                <w:lang w:eastAsia="en-NZ"/>
              </w:rPr>
            </w:pPr>
          </w:p>
        </w:tc>
        <w:tc>
          <w:tcPr>
            <w:tcW w:w="0" w:type="auto"/>
          </w:tcPr>
          <w:p w14:paraId="6A8DF08A"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6251D558" w14:textId="77777777" w:rsidR="004712A2" w:rsidRPr="00BE00C7" w:rsidRDefault="004712A2"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organisation adjusts staffing levels to meet the changing needs of residents. Staff reported that there were adequate staff to complete the work allocated to them, and residents and family/whānau confirmed this in interviews.</w:t>
            </w:r>
          </w:p>
          <w:p w14:paraId="78726A6E" w14:textId="77777777" w:rsidR="004712A2" w:rsidRPr="00BE00C7" w:rsidRDefault="004712A2" w:rsidP="00BE00C7">
            <w:pPr>
              <w:pStyle w:val="OutcomeDescription"/>
              <w:spacing w:before="120" w:after="120"/>
              <w:rPr>
                <w:rFonts w:cs="Arial"/>
                <w:lang w:eastAsia="en-NZ"/>
              </w:rPr>
            </w:pPr>
            <w:r w:rsidRPr="00BE00C7">
              <w:rPr>
                <w:rFonts w:cs="Arial"/>
                <w:lang w:eastAsia="en-NZ"/>
              </w:rPr>
              <w:t>An annual training programme covers mandatory and elective topics and meets the obligations of the service contract. Online learning opportunities are also available for staff to complete independently. Training is provided in relation to caring for younger residents. Records reviewed demonstrated that the staff completed the required training and competency assessments, including cultural, first aid, hand hygiene, hoist, and medication competencies. Care staff have either completed, commenced or are due to</w:t>
            </w:r>
            <w:r w:rsidRPr="00BE00C7">
              <w:rPr>
                <w:rFonts w:cs="Arial"/>
                <w:lang w:eastAsia="en-NZ"/>
              </w:rPr>
              <w:t xml:space="preserve"> commence a New Zealand Qualification Authority education programme to meet the provider’s funding and service agreement requirements. Staff reported that they had completed the required dementia units. The CHM reported that 24 staff members have completed the dementia training, and 10 are in training. Registered nurses are accredited and maintain </w:t>
            </w:r>
            <w:r w:rsidRPr="00BE00C7">
              <w:rPr>
                <w:rFonts w:cs="Arial"/>
                <w:lang w:eastAsia="en-NZ"/>
              </w:rPr>
              <w:lastRenderedPageBreak/>
              <w:t>competencies to conduct interRAI assessments. Staff felt well supported with development opportunities.</w:t>
            </w:r>
          </w:p>
          <w:p w14:paraId="5869F984" w14:textId="77777777" w:rsidR="004712A2" w:rsidRPr="00BE00C7" w:rsidRDefault="004712A2" w:rsidP="00BE00C7">
            <w:pPr>
              <w:pStyle w:val="OutcomeDescription"/>
              <w:spacing w:before="120" w:after="120"/>
              <w:rPr>
                <w:rFonts w:cs="Arial"/>
                <w:lang w:eastAsia="en-NZ"/>
              </w:rPr>
            </w:pPr>
          </w:p>
        </w:tc>
      </w:tr>
      <w:tr w:rsidR="000B31C6" w14:paraId="681FCC60" w14:textId="77777777">
        <w:tc>
          <w:tcPr>
            <w:tcW w:w="0" w:type="auto"/>
          </w:tcPr>
          <w:p w14:paraId="3FFD5880"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538FFBD"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 people: People providing my support have </w:t>
            </w:r>
            <w:r w:rsidRPr="00BE00C7">
              <w:rPr>
                <w:rFonts w:cs="Arial"/>
                <w:lang w:eastAsia="en-NZ"/>
              </w:rPr>
              <w:t>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w:t>
            </w:r>
            <w:r w:rsidRPr="00BE00C7">
              <w:rPr>
                <w:rFonts w:cs="Arial"/>
                <w:lang w:eastAsia="en-NZ"/>
              </w:rPr>
              <w:t>es.</w:t>
            </w:r>
          </w:p>
          <w:p w14:paraId="26B7DC50" w14:textId="77777777" w:rsidR="004712A2" w:rsidRPr="00BE00C7" w:rsidRDefault="004712A2" w:rsidP="00BE00C7">
            <w:pPr>
              <w:pStyle w:val="OutcomeDescription"/>
              <w:spacing w:before="120" w:after="120"/>
              <w:rPr>
                <w:rFonts w:cs="Arial"/>
                <w:lang w:eastAsia="en-NZ"/>
              </w:rPr>
            </w:pPr>
          </w:p>
        </w:tc>
        <w:tc>
          <w:tcPr>
            <w:tcW w:w="0" w:type="auto"/>
          </w:tcPr>
          <w:p w14:paraId="768BBD34"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69E6736B"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including recruitment, selection, orientation, and staff training and development. Qualifications are validated prior to employment. Thereafter, a register of annual practising certificates (APCs) is maintained for registered nurses and associated health contractors (GP, pharmacists, physiotherapist, podiatrist, and dietitian). </w:t>
            </w:r>
          </w:p>
          <w:p w14:paraId="48E6AFB4" w14:textId="77777777" w:rsidR="004712A2" w:rsidRPr="00BE00C7" w:rsidRDefault="004712A2" w:rsidP="00BE00C7">
            <w:pPr>
              <w:pStyle w:val="OutcomeDescription"/>
              <w:spacing w:before="120" w:after="120"/>
              <w:rPr>
                <w:rFonts w:cs="Arial"/>
                <w:lang w:eastAsia="en-NZ"/>
              </w:rPr>
            </w:pPr>
            <w:r w:rsidRPr="00BE00C7">
              <w:rPr>
                <w:rFonts w:cs="Arial"/>
                <w:lang w:eastAsia="en-NZ"/>
              </w:rPr>
              <w:t>A sample of staff records reviewed confirmed that the organisation’s policies are being consistently implemented. All staff records reviewed evidenced completed induction and orientation. Six staff files (clinical coordinator, two registered nurses, activities coordinator, and two healthcare assistants) were reviewed. Staff files included: reference checks; police checks; appraisals; competencies; individual training plans; professional qualifications; orientation; employment agreements; and position descri</w:t>
            </w:r>
            <w:r w:rsidRPr="00BE00C7">
              <w:rPr>
                <w:rFonts w:cs="Arial"/>
                <w:lang w:eastAsia="en-NZ"/>
              </w:rPr>
              <w:t>ptions.</w:t>
            </w:r>
          </w:p>
          <w:p w14:paraId="54EF7271" w14:textId="77777777" w:rsidR="004712A2" w:rsidRPr="00BE00C7" w:rsidRDefault="004712A2"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01064208" w14:textId="77777777" w:rsidR="004712A2" w:rsidRPr="00BE00C7" w:rsidRDefault="004712A2" w:rsidP="00BE00C7">
            <w:pPr>
              <w:pStyle w:val="OutcomeDescription"/>
              <w:spacing w:before="120" w:after="120"/>
              <w:rPr>
                <w:rFonts w:cs="Arial"/>
                <w:lang w:eastAsia="en-NZ"/>
              </w:rPr>
            </w:pPr>
          </w:p>
        </w:tc>
      </w:tr>
      <w:tr w:rsidR="000B31C6" w14:paraId="6E65EDB4" w14:textId="77777777">
        <w:tc>
          <w:tcPr>
            <w:tcW w:w="0" w:type="auto"/>
          </w:tcPr>
          <w:p w14:paraId="26F063CE" w14:textId="77777777" w:rsidR="004712A2" w:rsidRPr="00BE00C7" w:rsidRDefault="004712A2" w:rsidP="00BE00C7">
            <w:pPr>
              <w:pStyle w:val="OutcomeDescription"/>
              <w:spacing w:before="120" w:after="120"/>
              <w:rPr>
                <w:rFonts w:cs="Arial"/>
                <w:lang w:eastAsia="en-NZ"/>
              </w:rPr>
            </w:pPr>
            <w:r w:rsidRPr="00BE00C7">
              <w:rPr>
                <w:rFonts w:cs="Arial"/>
                <w:lang w:eastAsia="en-NZ"/>
              </w:rPr>
              <w:t>Subsection 3.2: My pathway to wellbeing</w:t>
            </w:r>
          </w:p>
          <w:p w14:paraId="6F31AE79"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FFF5396" w14:textId="77777777" w:rsidR="004712A2" w:rsidRPr="00BE00C7" w:rsidRDefault="004712A2" w:rsidP="00BE00C7">
            <w:pPr>
              <w:pStyle w:val="OutcomeDescription"/>
              <w:spacing w:before="120" w:after="120"/>
              <w:rPr>
                <w:rFonts w:cs="Arial"/>
                <w:lang w:eastAsia="en-NZ"/>
              </w:rPr>
            </w:pPr>
          </w:p>
        </w:tc>
        <w:tc>
          <w:tcPr>
            <w:tcW w:w="0" w:type="auto"/>
          </w:tcPr>
          <w:p w14:paraId="6136969A"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063C8E7B" w14:textId="77777777" w:rsidR="004712A2" w:rsidRPr="00BE00C7" w:rsidRDefault="004712A2" w:rsidP="00BE00C7">
            <w:pPr>
              <w:pStyle w:val="OutcomeDescription"/>
              <w:spacing w:before="120" w:after="120"/>
              <w:rPr>
                <w:rFonts w:cs="Arial"/>
                <w:lang w:eastAsia="en-NZ"/>
              </w:rPr>
            </w:pPr>
            <w:r w:rsidRPr="00BE00C7">
              <w:rPr>
                <w:rFonts w:cs="Arial"/>
                <w:lang w:eastAsia="en-NZ"/>
              </w:rPr>
              <w:t>Six resident files were reviewed: two hospital (including one funded by ACC), two dementia, and two younger persons with a disability (YPD). The registered nurses (RN) are responsible for all resident assessments, care planning and evaluation. Care plans are based on data collected during the initial nursing assessments, which include dietary needs, pressure injury, falls risk, social history, and information from pre-entry assessments. All residents apart from the ACC and YPD had an interRAI assessment com</w:t>
            </w:r>
            <w:r w:rsidRPr="00BE00C7">
              <w:rPr>
                <w:rFonts w:cs="Arial"/>
                <w:lang w:eastAsia="en-NZ"/>
              </w:rPr>
              <w:t>pleted. These residents had a full suite of assessments completed in the electronic resident management system, which incorporates, skin integrity, pressure injury risk, dietary requirements, communication needs, emotional, psychological, and behavioural support needs.</w:t>
            </w:r>
          </w:p>
          <w:p w14:paraId="5C32B3D0"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Initial assessments and long-term care plans were completed for residents, detailing needs and preferences within 24 hours of admission. The individualised long-term care plans (LTCPs) are developed with information gathered during the initial assessments and the interRAI assessments. All LTCP and interRAI sampled had been completed within three weeks of the residents’ admission to the facility. Documented interventions and early warning signs meet the residents’ assessed needs and are sufficiently detailed</w:t>
            </w:r>
            <w:r w:rsidRPr="00BE00C7">
              <w:rPr>
                <w:rFonts w:cs="Arial"/>
                <w:lang w:eastAsia="en-NZ"/>
              </w:rPr>
              <w:t xml:space="preserve"> to guide care staff in care delivery. The activity assessments include a cultural assessment, which gathers information about cultural needs, values, and beliefs. Information from these assessments is used to develop the resident’s individual activity care plan.</w:t>
            </w:r>
          </w:p>
          <w:p w14:paraId="20291612" w14:textId="77777777" w:rsidR="004712A2" w:rsidRPr="00BE00C7" w:rsidRDefault="004712A2"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electronic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w:t>
            </w:r>
            <w:r w:rsidRPr="00BE00C7">
              <w:rPr>
                <w:rFonts w:cs="Arial"/>
                <w:lang w:eastAsia="en-NZ"/>
              </w:rPr>
              <w:t>g desired goals and outcomes. Residents interviewed confirmed that assessments are completed according to their needs and in the privacy of their bedrooms.</w:t>
            </w:r>
          </w:p>
          <w:p w14:paraId="63406C68" w14:textId="77777777" w:rsidR="004712A2" w:rsidRPr="00BE00C7" w:rsidRDefault="004712A2"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There are two GP visits per week and as required. Medical documentation and records reviewed were current. The GP interviewed stated that there was good communication with the service and that they were informed of concerns in a timely manner. The contracted GP is also availab</w:t>
            </w:r>
            <w:r w:rsidRPr="00BE00C7">
              <w:rPr>
                <w:rFonts w:cs="Arial"/>
                <w:lang w:eastAsia="en-NZ"/>
              </w:rPr>
              <w:t>le on-call after hours for the facility. A physiotherapist visits the facility weekly and on request to review residents referred by the registered nurses. There is access to a continence specialist as required. A podiatrist visits regularly, and a dietitian, speech-language therapist, hospice, wound care nurse specialist, and medical specialist are available as required through Health New Zealand.</w:t>
            </w:r>
          </w:p>
          <w:p w14:paraId="398BB0A4"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t>
            </w:r>
            <w:r w:rsidRPr="00BE00C7">
              <w:rPr>
                <w:rFonts w:cs="Arial"/>
                <w:lang w:eastAsia="en-NZ"/>
              </w:rPr>
              <w:lastRenderedPageBreak/>
              <w:t>where this was required. Where wounds required additional specialist input, this was initiated, and a wound nurse specialist was consulted. At the time of the audit, there were eight active wounds from six residents, including two stage two pressure injuries.</w:t>
            </w:r>
          </w:p>
          <w:p w14:paraId="3F045BC5" w14:textId="77777777" w:rsidR="004712A2" w:rsidRPr="00BE00C7" w:rsidRDefault="004712A2" w:rsidP="00BE00C7">
            <w:pPr>
              <w:pStyle w:val="OutcomeDescription"/>
              <w:spacing w:before="120" w:after="120"/>
              <w:rPr>
                <w:rFonts w:cs="Arial"/>
                <w:lang w:eastAsia="en-NZ"/>
              </w:rPr>
            </w:pPr>
            <w:r w:rsidRPr="00BE00C7">
              <w:rPr>
                <w:rFonts w:cs="Arial"/>
                <w:lang w:eastAsia="en-NZ"/>
              </w:rPr>
              <w:t>The progress notes are recorded and maintained in the integrated electronic records. Monthly observations such as weight and blood pressure were completed and are up to date. Neurological observations are recorded following un-witnessed falls as per policy. A range of electronic monitoring charts are available for the care staff to utilise. These include, (but are not limited to) monthly blood pressure and weight monitoring, bowel records and repositioning records. Staff interviews confirmed they are famili</w:t>
            </w:r>
            <w:r w:rsidRPr="00BE00C7">
              <w:rPr>
                <w:rFonts w:cs="Arial"/>
                <w:lang w:eastAsia="en-NZ"/>
              </w:rPr>
              <w:t xml:space="preserve">ar with the needs of all residents in the facility and that they have access to the supplies and products they require to meet those needs. Staff receive </w:t>
            </w:r>
            <w:r w:rsidRPr="00BE00C7">
              <w:rPr>
                <w:rFonts w:cs="Arial"/>
                <w:lang w:eastAsia="en-NZ"/>
              </w:rPr>
              <w:t>handover at the beginning of their shift.</w:t>
            </w:r>
          </w:p>
          <w:p w14:paraId="39B4F69E" w14:textId="77777777" w:rsidR="004712A2" w:rsidRPr="00BE00C7" w:rsidRDefault="004712A2" w:rsidP="004712A2">
            <w:pPr>
              <w:pStyle w:val="OutcomeDescription"/>
              <w:spacing w:before="120" w:after="120"/>
              <w:rPr>
                <w:rFonts w:cs="Arial"/>
                <w:lang w:eastAsia="en-NZ"/>
              </w:rPr>
            </w:pPr>
          </w:p>
        </w:tc>
      </w:tr>
      <w:tr w:rsidR="000B31C6" w14:paraId="79F79D7E" w14:textId="77777777">
        <w:tc>
          <w:tcPr>
            <w:tcW w:w="0" w:type="auto"/>
          </w:tcPr>
          <w:p w14:paraId="575CF838"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Subsection 3.4: My medication</w:t>
            </w:r>
          </w:p>
          <w:p w14:paraId="24AB507D" w14:textId="77777777" w:rsidR="004712A2" w:rsidRPr="00BE00C7" w:rsidRDefault="004712A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B3BA493" w14:textId="77777777" w:rsidR="004712A2" w:rsidRPr="00BE00C7" w:rsidRDefault="004712A2" w:rsidP="00BE00C7">
            <w:pPr>
              <w:pStyle w:val="OutcomeDescription"/>
              <w:spacing w:before="120" w:after="120"/>
              <w:rPr>
                <w:rFonts w:cs="Arial"/>
                <w:lang w:eastAsia="en-NZ"/>
              </w:rPr>
            </w:pPr>
          </w:p>
        </w:tc>
        <w:tc>
          <w:tcPr>
            <w:tcW w:w="0" w:type="auto"/>
          </w:tcPr>
          <w:p w14:paraId="1A257B17"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2AEFD31C"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4D82A406"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medication-competent HCAs interviewed could describe their role regarding medication administration. All medications are checked on delivery against the medication chart and any discrepancies are fed back to the supplying pharmacy. </w:t>
            </w:r>
          </w:p>
          <w:p w14:paraId="27DB65A1"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rooms. The medication fridge and medication room temperatures are monitored daily. All stored medications are checked weekly. Eyedrops are dated on opening. </w:t>
            </w:r>
          </w:p>
          <w:p w14:paraId="26D69719"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identified that the GP had reviewed all resident medication charts three-monthly, and each drug chart has a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w:t>
            </w:r>
            <w:r w:rsidRPr="00BE00C7">
              <w:rPr>
                <w:rFonts w:cs="Arial"/>
                <w:lang w:eastAsia="en-NZ"/>
              </w:rPr>
              <w:lastRenderedPageBreak/>
              <w:t xml:space="preserve">and progress notes. There were no residents self-administering medications; however, procedures for assessing competence and safe storage are available as required. No vaccines are kept on site, and no standing orders are used. </w:t>
            </w:r>
          </w:p>
          <w:p w14:paraId="116F6A1C" w14:textId="77777777" w:rsidR="004712A2" w:rsidRPr="00BE00C7" w:rsidRDefault="004712A2"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When medication related incidents occurred, these were investigated and followed up on</w:t>
            </w:r>
          </w:p>
          <w:p w14:paraId="7A466758" w14:textId="77777777" w:rsidR="004712A2" w:rsidRPr="00BE00C7" w:rsidRDefault="004712A2" w:rsidP="00BE00C7">
            <w:pPr>
              <w:pStyle w:val="OutcomeDescription"/>
              <w:spacing w:before="120" w:after="120"/>
              <w:rPr>
                <w:rFonts w:cs="Arial"/>
                <w:lang w:eastAsia="en-NZ"/>
              </w:rPr>
            </w:pPr>
          </w:p>
        </w:tc>
      </w:tr>
      <w:tr w:rsidR="000B31C6" w14:paraId="587068FA" w14:textId="77777777">
        <w:tc>
          <w:tcPr>
            <w:tcW w:w="0" w:type="auto"/>
          </w:tcPr>
          <w:p w14:paraId="2B61D4CC"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32D70D9" w14:textId="77777777" w:rsidR="004712A2" w:rsidRPr="00BE00C7" w:rsidRDefault="004712A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14F0D65" w14:textId="77777777" w:rsidR="004712A2" w:rsidRPr="00BE00C7" w:rsidRDefault="004712A2" w:rsidP="00BE00C7">
            <w:pPr>
              <w:pStyle w:val="OutcomeDescription"/>
              <w:spacing w:before="120" w:after="120"/>
              <w:rPr>
                <w:rFonts w:cs="Arial"/>
                <w:lang w:eastAsia="en-NZ"/>
              </w:rPr>
            </w:pPr>
          </w:p>
        </w:tc>
        <w:tc>
          <w:tcPr>
            <w:tcW w:w="0" w:type="auto"/>
          </w:tcPr>
          <w:p w14:paraId="30C1D05B"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166305C8" w14:textId="77777777" w:rsidR="004712A2" w:rsidRPr="00BE00C7" w:rsidRDefault="004712A2"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forms and is notified of any dietary changes for residents. Dislikes and special dietary requirements are accommodated, including food allergies. The chef manager interviewed reported they accommodate residents’ requests.</w:t>
            </w:r>
          </w:p>
          <w:p w14:paraId="6FE19183" w14:textId="77777777" w:rsidR="004712A2" w:rsidRPr="00BE00C7" w:rsidRDefault="004712A2" w:rsidP="00BE00C7">
            <w:pPr>
              <w:pStyle w:val="OutcomeDescription"/>
              <w:spacing w:before="120" w:after="120"/>
              <w:rPr>
                <w:rFonts w:cs="Arial"/>
                <w:lang w:eastAsia="en-NZ"/>
              </w:rPr>
            </w:pPr>
            <w:r w:rsidRPr="00BE00C7">
              <w:rPr>
                <w:rFonts w:cs="Arial"/>
                <w:lang w:eastAsia="en-NZ"/>
              </w:rPr>
              <w:t>There is a verified food control plan expiring 7 August 2026.The residents and family/whānau interviewed were complimentary regarding the standard of food provided.</w:t>
            </w:r>
          </w:p>
          <w:p w14:paraId="3B982FD9" w14:textId="77777777" w:rsidR="004712A2" w:rsidRPr="00BE00C7" w:rsidRDefault="004712A2" w:rsidP="00BE00C7">
            <w:pPr>
              <w:pStyle w:val="OutcomeDescription"/>
              <w:spacing w:before="120" w:after="120"/>
              <w:rPr>
                <w:rFonts w:cs="Arial"/>
                <w:lang w:eastAsia="en-NZ"/>
              </w:rPr>
            </w:pPr>
          </w:p>
        </w:tc>
      </w:tr>
      <w:tr w:rsidR="000B31C6" w14:paraId="37106102" w14:textId="77777777">
        <w:tc>
          <w:tcPr>
            <w:tcW w:w="0" w:type="auto"/>
          </w:tcPr>
          <w:p w14:paraId="6B783428"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D75CD9A" w14:textId="77777777" w:rsidR="004712A2" w:rsidRPr="00BE00C7" w:rsidRDefault="004712A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B5D7C84" w14:textId="77777777" w:rsidR="004712A2" w:rsidRPr="00BE00C7" w:rsidRDefault="004712A2" w:rsidP="00BE00C7">
            <w:pPr>
              <w:pStyle w:val="OutcomeDescription"/>
              <w:spacing w:before="120" w:after="120"/>
              <w:rPr>
                <w:rFonts w:cs="Arial"/>
                <w:lang w:eastAsia="en-NZ"/>
              </w:rPr>
            </w:pPr>
          </w:p>
        </w:tc>
        <w:tc>
          <w:tcPr>
            <w:tcW w:w="0" w:type="auto"/>
          </w:tcPr>
          <w:p w14:paraId="3C7E9943"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5FCA79DA"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discharges and transfer of residents happen in a safe manner, and residents have a documented transition, transfer, or discharge plan, which includes current needs and risk mitigation. Planned exits, discharges or transfers were coordinated in collaboration with the resident (where appropriate), family/whānau and other service providers to ensure continuity of care. </w:t>
            </w:r>
          </w:p>
          <w:p w14:paraId="75B18A37" w14:textId="77777777" w:rsidR="004712A2" w:rsidRPr="00BE00C7" w:rsidRDefault="004712A2" w:rsidP="00BE00C7">
            <w:pPr>
              <w:pStyle w:val="OutcomeDescription"/>
              <w:spacing w:before="120" w:after="120"/>
              <w:rPr>
                <w:rFonts w:cs="Arial"/>
                <w:lang w:eastAsia="en-NZ"/>
              </w:rPr>
            </w:pPr>
          </w:p>
        </w:tc>
      </w:tr>
      <w:tr w:rsidR="000B31C6" w14:paraId="3A4C8F1C" w14:textId="77777777">
        <w:tc>
          <w:tcPr>
            <w:tcW w:w="0" w:type="auto"/>
          </w:tcPr>
          <w:p w14:paraId="0A665B7A"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Subsection 4.1: The facility</w:t>
            </w:r>
          </w:p>
          <w:p w14:paraId="13D01151"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 people: I feel the environment is designed in a </w:t>
            </w:r>
            <w:r w:rsidRPr="00BE00C7">
              <w:rPr>
                <w:rFonts w:cs="Arial"/>
                <w:lang w:eastAsia="en-NZ"/>
              </w:rPr>
              <w:t>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w:t>
            </w:r>
            <w:r w:rsidRPr="00BE00C7">
              <w:rPr>
                <w:rFonts w:cs="Arial"/>
                <w:lang w:eastAsia="en-NZ"/>
              </w:rPr>
              <w:t>nteraction, and function.</w:t>
            </w:r>
          </w:p>
          <w:p w14:paraId="30351A88" w14:textId="77777777" w:rsidR="004712A2" w:rsidRPr="00BE00C7" w:rsidRDefault="004712A2" w:rsidP="00BE00C7">
            <w:pPr>
              <w:pStyle w:val="OutcomeDescription"/>
              <w:spacing w:before="120" w:after="120"/>
              <w:rPr>
                <w:rFonts w:cs="Arial"/>
                <w:lang w:eastAsia="en-NZ"/>
              </w:rPr>
            </w:pPr>
          </w:p>
        </w:tc>
        <w:tc>
          <w:tcPr>
            <w:tcW w:w="0" w:type="auto"/>
          </w:tcPr>
          <w:p w14:paraId="00479F8A"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56C01339" w14:textId="77777777" w:rsidR="004712A2" w:rsidRPr="00BE00C7" w:rsidRDefault="004712A2" w:rsidP="00BE00C7">
            <w:pPr>
              <w:pStyle w:val="OutcomeDescription"/>
              <w:spacing w:before="120" w:after="120"/>
              <w:rPr>
                <w:rFonts w:cs="Arial"/>
                <w:lang w:eastAsia="en-NZ"/>
              </w:rPr>
            </w:pPr>
            <w:r w:rsidRPr="00BE00C7">
              <w:rPr>
                <w:rFonts w:cs="Arial"/>
                <w:lang w:eastAsia="en-NZ"/>
              </w:rPr>
              <w:t>The buildings, plant, and equipment are fit for purpose at CHT St Johns and comply with legislation relevant to the health and disability services being provided. The environment is inclusive of people’s cultures and supports cultural practices. The current building warrant of fitness expires on 14 October 2024. An annual maintenance plan includes electrical testing and tagging, equipment checks, call bell checks, medical equipment calibration, and monthly testing of hot water temperatures. The dementia uni</w:t>
            </w:r>
            <w:r w:rsidRPr="00BE00C7">
              <w:rPr>
                <w:rFonts w:cs="Arial"/>
                <w:lang w:eastAsia="en-NZ"/>
              </w:rPr>
              <w:t xml:space="preserve">t is secure and appropriate for the level of care. </w:t>
            </w:r>
          </w:p>
          <w:p w14:paraId="21AE645A" w14:textId="77777777" w:rsidR="004712A2" w:rsidRPr="00BE00C7" w:rsidRDefault="004712A2" w:rsidP="00BE00C7">
            <w:pPr>
              <w:pStyle w:val="OutcomeDescription"/>
              <w:spacing w:before="120" w:after="120"/>
              <w:rPr>
                <w:rFonts w:cs="Arial"/>
                <w:lang w:eastAsia="en-NZ"/>
              </w:rPr>
            </w:pPr>
          </w:p>
        </w:tc>
      </w:tr>
      <w:tr w:rsidR="000B31C6" w14:paraId="33002162" w14:textId="77777777">
        <w:tc>
          <w:tcPr>
            <w:tcW w:w="0" w:type="auto"/>
          </w:tcPr>
          <w:p w14:paraId="261B0AC7" w14:textId="77777777" w:rsidR="004712A2" w:rsidRPr="00BE00C7" w:rsidRDefault="004712A2"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6793374" w14:textId="77777777" w:rsidR="004712A2" w:rsidRPr="00BE00C7" w:rsidRDefault="004712A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2B7EE11" w14:textId="77777777" w:rsidR="004712A2" w:rsidRPr="00BE00C7" w:rsidRDefault="004712A2" w:rsidP="00BE00C7">
            <w:pPr>
              <w:pStyle w:val="OutcomeDescription"/>
              <w:spacing w:before="120" w:after="120"/>
              <w:rPr>
                <w:rFonts w:cs="Arial"/>
                <w:lang w:eastAsia="en-NZ"/>
              </w:rPr>
            </w:pPr>
          </w:p>
        </w:tc>
        <w:tc>
          <w:tcPr>
            <w:tcW w:w="0" w:type="auto"/>
          </w:tcPr>
          <w:p w14:paraId="0534BEA6"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538289D2" w14:textId="77777777" w:rsidR="004712A2" w:rsidRPr="00BE00C7" w:rsidRDefault="004712A2" w:rsidP="00BE00C7">
            <w:pPr>
              <w:pStyle w:val="OutcomeDescription"/>
              <w:spacing w:before="120" w:after="120"/>
              <w:rPr>
                <w:rFonts w:cs="Arial"/>
                <w:lang w:eastAsia="en-NZ"/>
              </w:rPr>
            </w:pPr>
            <w:r w:rsidRPr="00BE00C7">
              <w:rPr>
                <w:rFonts w:cs="Arial"/>
                <w:lang w:eastAsia="en-NZ"/>
              </w:rPr>
              <w:t>The service has a clearly defined and documented infection prevention and control (IPC) programme implemented with input from external IPC services. The quality team approved the IPC programme, which is linked to the quality improvement programme. The IPC programme was current. The IPC policies were developed by suitably qualified personnel, complied with relevant legislation, and accepted best practices. The IPC policies reflect the requirements of the infection prevention and control standards and include</w:t>
            </w:r>
            <w:r w:rsidRPr="00BE00C7">
              <w:rPr>
                <w:rFonts w:cs="Arial"/>
                <w:lang w:eastAsia="en-NZ"/>
              </w:rPr>
              <w:t xml:space="preserve"> appropriate referencing.</w:t>
            </w:r>
          </w:p>
          <w:p w14:paraId="51EE1AE0"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Staff have received education in IPC at orientation and through ongoing annual online education sessions. Residents were reminded about handwashing and advised about remaining in their rooms if they are unwell supervised by care staff. This was confirmed in interviews with residents and family/whānau. </w:t>
            </w:r>
          </w:p>
          <w:p w14:paraId="3689D832" w14:textId="77777777" w:rsidR="004712A2" w:rsidRPr="00BE00C7" w:rsidRDefault="004712A2" w:rsidP="00BE00C7">
            <w:pPr>
              <w:pStyle w:val="OutcomeDescription"/>
              <w:spacing w:before="120" w:after="120"/>
              <w:rPr>
                <w:rFonts w:cs="Arial"/>
                <w:lang w:eastAsia="en-NZ"/>
              </w:rPr>
            </w:pPr>
            <w:r w:rsidRPr="00BE00C7">
              <w:rPr>
                <w:rFonts w:cs="Arial"/>
                <w:lang w:eastAsia="en-NZ"/>
              </w:rPr>
              <w:t>The service has addressed the previous shortfall (5.2.10) around updating the infection control audit to include reviewing practises related to cleaning/disinfection of reusable medical devices</w:t>
            </w:r>
          </w:p>
          <w:p w14:paraId="6137C151" w14:textId="77777777" w:rsidR="004712A2" w:rsidRPr="00BE00C7" w:rsidRDefault="004712A2" w:rsidP="00BE00C7">
            <w:pPr>
              <w:pStyle w:val="OutcomeDescription"/>
              <w:spacing w:before="120" w:after="120"/>
              <w:rPr>
                <w:rFonts w:cs="Arial"/>
                <w:lang w:eastAsia="en-NZ"/>
              </w:rPr>
            </w:pPr>
          </w:p>
        </w:tc>
      </w:tr>
      <w:tr w:rsidR="000B31C6" w14:paraId="788217C7" w14:textId="77777777">
        <w:tc>
          <w:tcPr>
            <w:tcW w:w="0" w:type="auto"/>
          </w:tcPr>
          <w:p w14:paraId="270D8817" w14:textId="77777777" w:rsidR="004712A2" w:rsidRPr="00BE00C7" w:rsidRDefault="004712A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D2AABE1"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 xml:space="preserve">The people: My health and progress are monitored as part of the </w:t>
            </w:r>
            <w:r w:rsidRPr="00BE00C7">
              <w:rPr>
                <w:rFonts w:cs="Arial"/>
                <w:lang w:eastAsia="en-NZ"/>
              </w:rPr>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910A230" w14:textId="77777777" w:rsidR="004712A2" w:rsidRPr="00BE00C7" w:rsidRDefault="004712A2" w:rsidP="00BE00C7">
            <w:pPr>
              <w:pStyle w:val="OutcomeDescription"/>
              <w:spacing w:before="120" w:after="120"/>
              <w:rPr>
                <w:rFonts w:cs="Arial"/>
                <w:lang w:eastAsia="en-NZ"/>
              </w:rPr>
            </w:pPr>
          </w:p>
        </w:tc>
        <w:tc>
          <w:tcPr>
            <w:tcW w:w="0" w:type="auto"/>
          </w:tcPr>
          <w:p w14:paraId="0E2B0845"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E90A39"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(including ethnicity) is collected, monitored, and reviewed monthly. Action plans are implemented for results </w:t>
            </w:r>
            <w:r w:rsidRPr="00BE00C7">
              <w:rPr>
                <w:rFonts w:cs="Arial"/>
                <w:lang w:eastAsia="en-NZ"/>
              </w:rPr>
              <w:lastRenderedPageBreak/>
              <w:t>above benchmark. The HAIs being monitored included urinary tract infections, skin, eyes, respiratory, and wounds. Surveillance tools are used to collect infection data, and standardised surveillance definitions are used. Infection control surveillance is discussed at quality and staff meetings and sent to CHT head office.</w:t>
            </w:r>
          </w:p>
          <w:p w14:paraId="3E39E74D" w14:textId="77777777" w:rsidR="004712A2" w:rsidRPr="00BE00C7" w:rsidRDefault="004712A2" w:rsidP="00BE00C7">
            <w:pPr>
              <w:pStyle w:val="OutcomeDescription"/>
              <w:spacing w:before="120" w:after="120"/>
              <w:rPr>
                <w:rFonts w:cs="Arial"/>
                <w:lang w:eastAsia="en-NZ"/>
              </w:rPr>
            </w:pPr>
            <w:r w:rsidRPr="00BE00C7">
              <w:rPr>
                <w:rFonts w:cs="Arial"/>
                <w:lang w:eastAsia="en-NZ"/>
              </w:rPr>
              <w:t>Staff reported that they are informed of infection rates and regular audit outcomes at staff meetings, and these were sighted in meeting minutes. Records of monthly data sighted confirmed minimal numbers of infections, comparison with the previous month, reason for increase or decrease, and action advised. Any new infections are discussed at shift handovers for early interventions to be implemented. Benchmarking is completed internally and externally with results from previous months and other sister facili</w:t>
            </w:r>
            <w:r w:rsidRPr="00BE00C7">
              <w:rPr>
                <w:rFonts w:cs="Arial"/>
                <w:lang w:eastAsia="en-NZ"/>
              </w:rPr>
              <w:t>ties.</w:t>
            </w:r>
          </w:p>
          <w:p w14:paraId="4E6B5076"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Covid-19 infection outbreaks have been reported since the previous audit in February and May 2024. These were managed in accordance with the pandemic plan, with appropriate notifications completed. </w:t>
            </w:r>
          </w:p>
          <w:p w14:paraId="05FA9065" w14:textId="77777777" w:rsidR="004712A2" w:rsidRPr="00BE00C7" w:rsidRDefault="004712A2" w:rsidP="00BE00C7">
            <w:pPr>
              <w:pStyle w:val="OutcomeDescription"/>
              <w:spacing w:before="120" w:after="120"/>
              <w:rPr>
                <w:rFonts w:cs="Arial"/>
                <w:lang w:eastAsia="en-NZ"/>
              </w:rPr>
            </w:pPr>
          </w:p>
        </w:tc>
      </w:tr>
      <w:tr w:rsidR="000B31C6" w14:paraId="54B37E3D" w14:textId="77777777">
        <w:tc>
          <w:tcPr>
            <w:tcW w:w="0" w:type="auto"/>
          </w:tcPr>
          <w:p w14:paraId="31D72A20" w14:textId="77777777" w:rsidR="004712A2" w:rsidRPr="00BE00C7" w:rsidRDefault="004712A2"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677D8C8" w14:textId="77777777" w:rsidR="004712A2" w:rsidRPr="00BE00C7" w:rsidRDefault="004712A2"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EC42B40" w14:textId="77777777" w:rsidR="004712A2" w:rsidRPr="00BE00C7" w:rsidRDefault="004712A2" w:rsidP="00BE00C7">
            <w:pPr>
              <w:pStyle w:val="OutcomeDescription"/>
              <w:spacing w:before="120" w:after="120"/>
              <w:rPr>
                <w:rFonts w:cs="Arial"/>
                <w:lang w:eastAsia="en-NZ"/>
              </w:rPr>
            </w:pPr>
          </w:p>
        </w:tc>
        <w:tc>
          <w:tcPr>
            <w:tcW w:w="0" w:type="auto"/>
          </w:tcPr>
          <w:p w14:paraId="26BC11BD" w14:textId="77777777" w:rsidR="004712A2" w:rsidRPr="00BE00C7" w:rsidRDefault="004712A2" w:rsidP="00BE00C7">
            <w:pPr>
              <w:pStyle w:val="OutcomeDescription"/>
              <w:spacing w:before="120" w:after="120"/>
              <w:rPr>
                <w:rFonts w:cs="Arial"/>
                <w:lang w:eastAsia="en-NZ"/>
              </w:rPr>
            </w:pPr>
            <w:r w:rsidRPr="00BE00C7">
              <w:rPr>
                <w:rFonts w:cs="Arial"/>
                <w:lang w:eastAsia="en-NZ"/>
              </w:rPr>
              <w:t>FA</w:t>
            </w:r>
          </w:p>
        </w:tc>
        <w:tc>
          <w:tcPr>
            <w:tcW w:w="0" w:type="auto"/>
          </w:tcPr>
          <w:p w14:paraId="1801512F" w14:textId="77777777" w:rsidR="004712A2" w:rsidRPr="00BE00C7" w:rsidRDefault="004712A2" w:rsidP="00BE00C7">
            <w:pPr>
              <w:pStyle w:val="OutcomeDescription"/>
              <w:spacing w:before="120" w:after="120"/>
              <w:rPr>
                <w:rFonts w:cs="Arial"/>
                <w:lang w:eastAsia="en-NZ"/>
              </w:rPr>
            </w:pPr>
            <w:r w:rsidRPr="00BE00C7">
              <w:rPr>
                <w:rFonts w:cs="Arial"/>
                <w:lang w:eastAsia="en-NZ"/>
              </w:rPr>
              <w:t>The facility is committed to providing services to residents without the use of restraint wherever possible. Restraint policy confirms that restraint consideration and application must be done in partnership with families/ whānau, and the choice of device must be the least restrictive possible. The restraint coordinator interviewed described the focus on restraint elimination. At all times when restraint is considered, the facility will work in partnership with Māori, to promote and ensure services are mana</w:t>
            </w:r>
            <w:r w:rsidRPr="00BE00C7">
              <w:rPr>
                <w:rFonts w:cs="Arial"/>
                <w:lang w:eastAsia="en-NZ"/>
              </w:rPr>
              <w:t xml:space="preserve"> enhancing. </w:t>
            </w:r>
          </w:p>
          <w:p w14:paraId="05944388"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 </w:t>
            </w:r>
          </w:p>
          <w:p w14:paraId="23EF6883" w14:textId="77777777" w:rsidR="004712A2" w:rsidRPr="00BE00C7" w:rsidRDefault="004712A2" w:rsidP="00BE00C7">
            <w:pPr>
              <w:pStyle w:val="OutcomeDescription"/>
              <w:spacing w:before="120" w:after="120"/>
              <w:rPr>
                <w:rFonts w:cs="Arial"/>
                <w:lang w:eastAsia="en-NZ"/>
              </w:rPr>
            </w:pPr>
            <w:r w:rsidRPr="00BE00C7">
              <w:rPr>
                <w:rFonts w:cs="Arial"/>
                <w:lang w:eastAsia="en-NZ"/>
              </w:rPr>
              <w:t>Restraint elimination is included as part of the mandatory training plan and orientation programme.</w:t>
            </w:r>
          </w:p>
          <w:p w14:paraId="32893498" w14:textId="77777777" w:rsidR="004712A2" w:rsidRPr="00BE00C7" w:rsidRDefault="004712A2" w:rsidP="00BE00C7">
            <w:pPr>
              <w:pStyle w:val="OutcomeDescription"/>
              <w:spacing w:before="120" w:after="120"/>
              <w:rPr>
                <w:rFonts w:cs="Arial"/>
                <w:lang w:eastAsia="en-NZ"/>
              </w:rPr>
            </w:pPr>
          </w:p>
        </w:tc>
      </w:tr>
    </w:tbl>
    <w:p w14:paraId="04FECDE5" w14:textId="77777777" w:rsidR="004712A2" w:rsidRPr="00BE00C7" w:rsidRDefault="004712A2" w:rsidP="00BE00C7">
      <w:pPr>
        <w:pStyle w:val="OutcomeDescription"/>
        <w:spacing w:before="120" w:after="120"/>
        <w:rPr>
          <w:rFonts w:cs="Arial"/>
          <w:lang w:eastAsia="en-NZ"/>
        </w:rPr>
      </w:pPr>
      <w:bookmarkStart w:id="56" w:name="AuditSummaryAttainment"/>
      <w:bookmarkEnd w:id="56"/>
    </w:p>
    <w:p w14:paraId="3E2D749A" w14:textId="77777777" w:rsidR="004712A2" w:rsidRDefault="004712A2">
      <w:pPr>
        <w:pStyle w:val="Heading1"/>
        <w:rPr>
          <w:rFonts w:cs="Arial"/>
        </w:rPr>
      </w:pPr>
      <w:r>
        <w:rPr>
          <w:rFonts w:cs="Arial"/>
        </w:rPr>
        <w:lastRenderedPageBreak/>
        <w:t>Specific results for criterion where corrective actions are required</w:t>
      </w:r>
    </w:p>
    <w:p w14:paraId="70DF0A70" w14:textId="77777777" w:rsidR="004712A2" w:rsidRDefault="004712A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7A06A5E" w14:textId="77777777" w:rsidR="004712A2" w:rsidRDefault="004712A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01D5F68" w14:textId="77777777" w:rsidR="004712A2" w:rsidRDefault="004712A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B31C6" w14:paraId="72A740A2" w14:textId="77777777">
        <w:tc>
          <w:tcPr>
            <w:tcW w:w="0" w:type="auto"/>
          </w:tcPr>
          <w:p w14:paraId="21E1E8A8" w14:textId="77777777" w:rsidR="004712A2" w:rsidRPr="00BE00C7" w:rsidRDefault="004712A2" w:rsidP="00BE00C7">
            <w:pPr>
              <w:pStyle w:val="OutcomeDescription"/>
              <w:spacing w:before="120" w:after="120"/>
              <w:rPr>
                <w:rFonts w:cs="Arial"/>
                <w:lang w:eastAsia="en-NZ"/>
              </w:rPr>
            </w:pPr>
            <w:r w:rsidRPr="00BE00C7">
              <w:rPr>
                <w:rFonts w:cs="Arial"/>
                <w:lang w:eastAsia="en-NZ"/>
              </w:rPr>
              <w:t xml:space="preserve">No data to </w:t>
            </w:r>
            <w:r w:rsidRPr="00BE00C7">
              <w:rPr>
                <w:rFonts w:cs="Arial"/>
                <w:lang w:eastAsia="en-NZ"/>
              </w:rPr>
              <w:t>display</w:t>
            </w:r>
          </w:p>
        </w:tc>
      </w:tr>
    </w:tbl>
    <w:p w14:paraId="15676B42" w14:textId="77777777" w:rsidR="004712A2" w:rsidRPr="00BE00C7" w:rsidRDefault="004712A2" w:rsidP="00BE00C7">
      <w:pPr>
        <w:pStyle w:val="OutcomeDescription"/>
        <w:spacing w:before="120" w:after="120"/>
        <w:rPr>
          <w:rFonts w:cs="Arial"/>
          <w:lang w:eastAsia="en-NZ"/>
        </w:rPr>
      </w:pPr>
      <w:bookmarkStart w:id="57" w:name="AuditSummaryCAMCriterion"/>
      <w:bookmarkEnd w:id="57"/>
    </w:p>
    <w:p w14:paraId="3B8A85BD" w14:textId="77777777" w:rsidR="004712A2" w:rsidRDefault="004712A2">
      <w:pPr>
        <w:pStyle w:val="Heading1"/>
        <w:rPr>
          <w:rFonts w:cs="Arial"/>
        </w:rPr>
      </w:pPr>
      <w:r>
        <w:rPr>
          <w:rFonts w:cs="Arial"/>
        </w:rPr>
        <w:lastRenderedPageBreak/>
        <w:t>Specific results for criterion where a continuous improvement has been recorded</w:t>
      </w:r>
    </w:p>
    <w:p w14:paraId="4C39776E" w14:textId="77777777" w:rsidR="004712A2" w:rsidRDefault="004712A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3A793A5" w14:textId="77777777" w:rsidR="004712A2" w:rsidRDefault="004712A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ED8153B" w14:textId="77777777" w:rsidR="004712A2" w:rsidRDefault="004712A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B31C6" w14:paraId="53DE1F4F" w14:textId="77777777">
        <w:tc>
          <w:tcPr>
            <w:tcW w:w="0" w:type="auto"/>
          </w:tcPr>
          <w:p w14:paraId="22B34EAE" w14:textId="77777777" w:rsidR="004712A2" w:rsidRPr="00BE00C7" w:rsidRDefault="004712A2" w:rsidP="00BE00C7">
            <w:pPr>
              <w:pStyle w:val="OutcomeDescription"/>
              <w:spacing w:before="120" w:after="120"/>
              <w:rPr>
                <w:rFonts w:cs="Arial"/>
                <w:lang w:eastAsia="en-NZ"/>
              </w:rPr>
            </w:pPr>
            <w:r w:rsidRPr="00BE00C7">
              <w:rPr>
                <w:rFonts w:cs="Arial"/>
                <w:lang w:eastAsia="en-NZ"/>
              </w:rPr>
              <w:t>No data to display</w:t>
            </w:r>
          </w:p>
        </w:tc>
      </w:tr>
    </w:tbl>
    <w:p w14:paraId="0B63F916" w14:textId="77777777" w:rsidR="004712A2" w:rsidRPr="00BE00C7" w:rsidRDefault="004712A2" w:rsidP="00BE00C7">
      <w:pPr>
        <w:pStyle w:val="OutcomeDescription"/>
        <w:spacing w:before="120" w:after="120"/>
        <w:rPr>
          <w:rFonts w:cs="Arial"/>
          <w:lang w:eastAsia="en-NZ"/>
        </w:rPr>
      </w:pPr>
      <w:bookmarkStart w:id="58" w:name="AuditSummaryCAMImprovment"/>
      <w:bookmarkEnd w:id="58"/>
    </w:p>
    <w:p w14:paraId="15577D3D" w14:textId="77777777" w:rsidR="004712A2" w:rsidRDefault="004712A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7C28" w14:textId="77777777" w:rsidR="004712A2" w:rsidRDefault="004712A2">
      <w:r>
        <w:separator/>
      </w:r>
    </w:p>
  </w:endnote>
  <w:endnote w:type="continuationSeparator" w:id="0">
    <w:p w14:paraId="5937CB40" w14:textId="77777777" w:rsidR="004712A2" w:rsidRDefault="0047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F565" w14:textId="77777777" w:rsidR="004712A2" w:rsidRDefault="004712A2">
    <w:pPr>
      <w:pStyle w:val="Footer"/>
    </w:pPr>
  </w:p>
  <w:p w14:paraId="786B0F83" w14:textId="77777777" w:rsidR="004712A2" w:rsidRDefault="004712A2"/>
  <w:p w14:paraId="3E3EFD0A" w14:textId="77777777" w:rsidR="004712A2" w:rsidRDefault="004712A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5FAA" w14:textId="77777777" w:rsidR="004712A2" w:rsidRPr="000B00BC" w:rsidRDefault="004712A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St Johns Hospital</w:t>
    </w:r>
    <w:bookmarkEnd w:id="59"/>
    <w:r>
      <w:rPr>
        <w:rFonts w:cs="Arial"/>
        <w:sz w:val="16"/>
        <w:szCs w:val="20"/>
      </w:rPr>
      <w:tab/>
      <w:t xml:space="preserve">Date of Audit: </w:t>
    </w:r>
    <w:bookmarkStart w:id="60" w:name="AuditStartDate1"/>
    <w:r>
      <w:rPr>
        <w:rFonts w:cs="Arial"/>
        <w:sz w:val="16"/>
        <w:szCs w:val="20"/>
      </w:rPr>
      <w:t>25 September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405BF12" w14:textId="77777777" w:rsidR="004712A2" w:rsidRDefault="004712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E6BE" w14:textId="77777777" w:rsidR="004712A2" w:rsidRDefault="00471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C4222" w14:textId="77777777" w:rsidR="004712A2" w:rsidRDefault="004712A2">
      <w:r>
        <w:separator/>
      </w:r>
    </w:p>
  </w:footnote>
  <w:footnote w:type="continuationSeparator" w:id="0">
    <w:p w14:paraId="34A8E9AB" w14:textId="77777777" w:rsidR="004712A2" w:rsidRDefault="00471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E6E4" w14:textId="77777777" w:rsidR="004712A2" w:rsidRDefault="004712A2">
    <w:pPr>
      <w:pStyle w:val="Header"/>
    </w:pPr>
  </w:p>
  <w:p w14:paraId="7AC7A5C5" w14:textId="77777777" w:rsidR="004712A2" w:rsidRDefault="004712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2E12" w14:textId="77777777" w:rsidR="004712A2" w:rsidRDefault="004712A2">
    <w:pPr>
      <w:pStyle w:val="Header"/>
    </w:pPr>
  </w:p>
  <w:p w14:paraId="332D484C" w14:textId="77777777" w:rsidR="004712A2" w:rsidRDefault="004712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1E55" w14:textId="77777777" w:rsidR="004712A2" w:rsidRDefault="00471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EDA4396">
      <w:start w:val="1"/>
      <w:numFmt w:val="decimal"/>
      <w:lvlText w:val="%1."/>
      <w:lvlJc w:val="left"/>
      <w:pPr>
        <w:ind w:left="360" w:hanging="360"/>
      </w:pPr>
    </w:lvl>
    <w:lvl w:ilvl="1" w:tplc="5E704290" w:tentative="1">
      <w:start w:val="1"/>
      <w:numFmt w:val="lowerLetter"/>
      <w:lvlText w:val="%2."/>
      <w:lvlJc w:val="left"/>
      <w:pPr>
        <w:ind w:left="1080" w:hanging="360"/>
      </w:pPr>
    </w:lvl>
    <w:lvl w:ilvl="2" w:tplc="1CF40DD2" w:tentative="1">
      <w:start w:val="1"/>
      <w:numFmt w:val="lowerRoman"/>
      <w:lvlText w:val="%3."/>
      <w:lvlJc w:val="right"/>
      <w:pPr>
        <w:ind w:left="1800" w:hanging="180"/>
      </w:pPr>
    </w:lvl>
    <w:lvl w:ilvl="3" w:tplc="87E6F876" w:tentative="1">
      <w:start w:val="1"/>
      <w:numFmt w:val="decimal"/>
      <w:lvlText w:val="%4."/>
      <w:lvlJc w:val="left"/>
      <w:pPr>
        <w:ind w:left="2520" w:hanging="360"/>
      </w:pPr>
    </w:lvl>
    <w:lvl w:ilvl="4" w:tplc="57F47D8A" w:tentative="1">
      <w:start w:val="1"/>
      <w:numFmt w:val="lowerLetter"/>
      <w:lvlText w:val="%5."/>
      <w:lvlJc w:val="left"/>
      <w:pPr>
        <w:ind w:left="3240" w:hanging="360"/>
      </w:pPr>
    </w:lvl>
    <w:lvl w:ilvl="5" w:tplc="80C20ABE" w:tentative="1">
      <w:start w:val="1"/>
      <w:numFmt w:val="lowerRoman"/>
      <w:lvlText w:val="%6."/>
      <w:lvlJc w:val="right"/>
      <w:pPr>
        <w:ind w:left="3960" w:hanging="180"/>
      </w:pPr>
    </w:lvl>
    <w:lvl w:ilvl="6" w:tplc="68EEEB86" w:tentative="1">
      <w:start w:val="1"/>
      <w:numFmt w:val="decimal"/>
      <w:lvlText w:val="%7."/>
      <w:lvlJc w:val="left"/>
      <w:pPr>
        <w:ind w:left="4680" w:hanging="360"/>
      </w:pPr>
    </w:lvl>
    <w:lvl w:ilvl="7" w:tplc="398642C8" w:tentative="1">
      <w:start w:val="1"/>
      <w:numFmt w:val="lowerLetter"/>
      <w:lvlText w:val="%8."/>
      <w:lvlJc w:val="left"/>
      <w:pPr>
        <w:ind w:left="5400" w:hanging="360"/>
      </w:pPr>
    </w:lvl>
    <w:lvl w:ilvl="8" w:tplc="8078FEB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B288C0C">
      <w:start w:val="1"/>
      <w:numFmt w:val="bullet"/>
      <w:lvlText w:val=""/>
      <w:lvlJc w:val="left"/>
      <w:pPr>
        <w:ind w:left="720" w:hanging="360"/>
      </w:pPr>
      <w:rPr>
        <w:rFonts w:ascii="Symbol" w:hAnsi="Symbol" w:hint="default"/>
      </w:rPr>
    </w:lvl>
    <w:lvl w:ilvl="1" w:tplc="114253F2" w:tentative="1">
      <w:start w:val="1"/>
      <w:numFmt w:val="bullet"/>
      <w:lvlText w:val="o"/>
      <w:lvlJc w:val="left"/>
      <w:pPr>
        <w:ind w:left="1440" w:hanging="360"/>
      </w:pPr>
      <w:rPr>
        <w:rFonts w:ascii="Courier New" w:hAnsi="Courier New" w:cs="Courier New" w:hint="default"/>
      </w:rPr>
    </w:lvl>
    <w:lvl w:ilvl="2" w:tplc="D304CEAC" w:tentative="1">
      <w:start w:val="1"/>
      <w:numFmt w:val="bullet"/>
      <w:lvlText w:val=""/>
      <w:lvlJc w:val="left"/>
      <w:pPr>
        <w:ind w:left="2160" w:hanging="360"/>
      </w:pPr>
      <w:rPr>
        <w:rFonts w:ascii="Wingdings" w:hAnsi="Wingdings" w:hint="default"/>
      </w:rPr>
    </w:lvl>
    <w:lvl w:ilvl="3" w:tplc="59A47AA0" w:tentative="1">
      <w:start w:val="1"/>
      <w:numFmt w:val="bullet"/>
      <w:lvlText w:val=""/>
      <w:lvlJc w:val="left"/>
      <w:pPr>
        <w:ind w:left="2880" w:hanging="360"/>
      </w:pPr>
      <w:rPr>
        <w:rFonts w:ascii="Symbol" w:hAnsi="Symbol" w:hint="default"/>
      </w:rPr>
    </w:lvl>
    <w:lvl w:ilvl="4" w:tplc="A99C6456" w:tentative="1">
      <w:start w:val="1"/>
      <w:numFmt w:val="bullet"/>
      <w:lvlText w:val="o"/>
      <w:lvlJc w:val="left"/>
      <w:pPr>
        <w:ind w:left="3600" w:hanging="360"/>
      </w:pPr>
      <w:rPr>
        <w:rFonts w:ascii="Courier New" w:hAnsi="Courier New" w:cs="Courier New" w:hint="default"/>
      </w:rPr>
    </w:lvl>
    <w:lvl w:ilvl="5" w:tplc="951A6C46" w:tentative="1">
      <w:start w:val="1"/>
      <w:numFmt w:val="bullet"/>
      <w:lvlText w:val=""/>
      <w:lvlJc w:val="left"/>
      <w:pPr>
        <w:ind w:left="4320" w:hanging="360"/>
      </w:pPr>
      <w:rPr>
        <w:rFonts w:ascii="Wingdings" w:hAnsi="Wingdings" w:hint="default"/>
      </w:rPr>
    </w:lvl>
    <w:lvl w:ilvl="6" w:tplc="2528D97E" w:tentative="1">
      <w:start w:val="1"/>
      <w:numFmt w:val="bullet"/>
      <w:lvlText w:val=""/>
      <w:lvlJc w:val="left"/>
      <w:pPr>
        <w:ind w:left="5040" w:hanging="360"/>
      </w:pPr>
      <w:rPr>
        <w:rFonts w:ascii="Symbol" w:hAnsi="Symbol" w:hint="default"/>
      </w:rPr>
    </w:lvl>
    <w:lvl w:ilvl="7" w:tplc="7064122E" w:tentative="1">
      <w:start w:val="1"/>
      <w:numFmt w:val="bullet"/>
      <w:lvlText w:val="o"/>
      <w:lvlJc w:val="left"/>
      <w:pPr>
        <w:ind w:left="5760" w:hanging="360"/>
      </w:pPr>
      <w:rPr>
        <w:rFonts w:ascii="Courier New" w:hAnsi="Courier New" w:cs="Courier New" w:hint="default"/>
      </w:rPr>
    </w:lvl>
    <w:lvl w:ilvl="8" w:tplc="C240B412" w:tentative="1">
      <w:start w:val="1"/>
      <w:numFmt w:val="bullet"/>
      <w:lvlText w:val=""/>
      <w:lvlJc w:val="left"/>
      <w:pPr>
        <w:ind w:left="6480" w:hanging="360"/>
      </w:pPr>
      <w:rPr>
        <w:rFonts w:ascii="Wingdings" w:hAnsi="Wingdings" w:hint="default"/>
      </w:rPr>
    </w:lvl>
  </w:abstractNum>
  <w:num w:numId="1" w16cid:durableId="1584796629">
    <w:abstractNumId w:val="1"/>
  </w:num>
  <w:num w:numId="2" w16cid:durableId="27807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6"/>
    <w:rsid w:val="000B31C6"/>
    <w:rsid w:val="00172069"/>
    <w:rsid w:val="004712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F621"/>
  <w15:docId w15:val="{A04F958A-AB57-47EE-BC44-20A9A909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6905</Words>
  <Characters>39365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2024-11-25T00:38:00Z</dcterms:created>
  <dcterms:modified xsi:type="dcterms:W3CDTF">2024-11-25T00:40:00Z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