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98BCC" w14:textId="77777777" w:rsidR="00000000" w:rsidRDefault="00000000">
      <w:pPr>
        <w:pStyle w:val="Heading1"/>
        <w:rPr>
          <w:rFonts w:cs="Arial"/>
        </w:rPr>
      </w:pPr>
      <w:bookmarkStart w:id="0" w:name="PRMS_RIName"/>
      <w:r>
        <w:rPr>
          <w:rFonts w:cs="Arial"/>
        </w:rPr>
        <w:t>Heritage Lifecare (GHG) Limited - Somerfield House</w:t>
      </w:r>
      <w:bookmarkEnd w:id="0"/>
    </w:p>
    <w:p w14:paraId="0AC4F2E5" w14:textId="77777777" w:rsidR="00000000" w:rsidRDefault="00000000">
      <w:pPr>
        <w:pStyle w:val="Heading2"/>
        <w:spacing w:after="0"/>
        <w:rPr>
          <w:rFonts w:cs="Arial"/>
        </w:rPr>
      </w:pPr>
      <w:r>
        <w:rPr>
          <w:rFonts w:cs="Arial"/>
        </w:rPr>
        <w:t>Introduction</w:t>
      </w:r>
    </w:p>
    <w:p w14:paraId="40A6F05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F5E24F2"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9BC49B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765616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756776C" w14:textId="77777777" w:rsidR="00000000" w:rsidRDefault="00000000">
      <w:pPr>
        <w:spacing w:before="240" w:after="240"/>
        <w:rPr>
          <w:rFonts w:cs="Arial"/>
          <w:lang w:eastAsia="en-NZ"/>
        </w:rPr>
      </w:pPr>
      <w:r>
        <w:rPr>
          <w:rFonts w:cs="Arial"/>
          <w:lang w:eastAsia="en-NZ"/>
        </w:rPr>
        <w:t>The specifics of this audit included:</w:t>
      </w:r>
    </w:p>
    <w:p w14:paraId="2B303D4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4AACA5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(GHG) Limited</w:t>
      </w:r>
      <w:bookmarkEnd w:id="4"/>
    </w:p>
    <w:p w14:paraId="572162B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Somerfield House</w:t>
      </w:r>
      <w:bookmarkEnd w:id="5"/>
    </w:p>
    <w:p w14:paraId="36D5E5A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46D8B85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October 2024</w:t>
      </w:r>
      <w:bookmarkEnd w:id="7"/>
      <w:r w:rsidRPr="009418D4">
        <w:rPr>
          <w:rFonts w:cs="Arial"/>
        </w:rPr>
        <w:tab/>
        <w:t xml:space="preserve">End date: </w:t>
      </w:r>
      <w:bookmarkStart w:id="8" w:name="AuditEndDate"/>
      <w:r>
        <w:rPr>
          <w:rFonts w:cs="Arial"/>
        </w:rPr>
        <w:t>3 October 2024</w:t>
      </w:r>
      <w:bookmarkEnd w:id="8"/>
    </w:p>
    <w:p w14:paraId="0325F9E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2F07073" w14:textId="77777777" w:rsidR="0071758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31</w:t>
      </w:r>
      <w:bookmarkEnd w:id="10"/>
    </w:p>
    <w:p w14:paraId="3D16D6B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0378997" w14:textId="77777777" w:rsidR="00000000" w:rsidRDefault="00000000">
      <w:pPr>
        <w:pStyle w:val="Heading1"/>
        <w:rPr>
          <w:rFonts w:cs="Arial"/>
        </w:rPr>
      </w:pPr>
      <w:r>
        <w:rPr>
          <w:rFonts w:cs="Arial"/>
        </w:rPr>
        <w:lastRenderedPageBreak/>
        <w:t>Executive summary of the audit</w:t>
      </w:r>
    </w:p>
    <w:p w14:paraId="5DA6234C" w14:textId="77777777" w:rsidR="00000000" w:rsidRDefault="00000000">
      <w:pPr>
        <w:pStyle w:val="Heading2"/>
        <w:rPr>
          <w:rFonts w:cs="Arial"/>
        </w:rPr>
      </w:pPr>
      <w:r>
        <w:rPr>
          <w:rFonts w:cs="Arial"/>
        </w:rPr>
        <w:t>Introduction</w:t>
      </w:r>
    </w:p>
    <w:p w14:paraId="49A4F25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F23512"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1EACD3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7D0142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4A2974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C917D1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478CB8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924AA4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EA5FE8D"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717584" w14:paraId="0343585D" w14:textId="77777777">
        <w:trPr>
          <w:cantSplit/>
          <w:tblHeader/>
        </w:trPr>
        <w:tc>
          <w:tcPr>
            <w:tcW w:w="1260" w:type="dxa"/>
            <w:tcBorders>
              <w:bottom w:val="single" w:sz="4" w:space="0" w:color="000000"/>
            </w:tcBorders>
            <w:vAlign w:val="center"/>
          </w:tcPr>
          <w:p w14:paraId="1123321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E44EE5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78B84F" w14:textId="77777777" w:rsidR="00000000" w:rsidRDefault="00000000">
            <w:pPr>
              <w:spacing w:before="60" w:after="60"/>
              <w:rPr>
                <w:rFonts w:eastAsia="Calibri"/>
                <w:b/>
                <w:szCs w:val="24"/>
              </w:rPr>
            </w:pPr>
            <w:r>
              <w:rPr>
                <w:rFonts w:eastAsia="Calibri"/>
                <w:b/>
                <w:szCs w:val="24"/>
              </w:rPr>
              <w:t>Definition</w:t>
            </w:r>
          </w:p>
        </w:tc>
      </w:tr>
      <w:tr w:rsidR="00717584" w14:paraId="1A1BD366" w14:textId="77777777">
        <w:trPr>
          <w:cantSplit/>
          <w:trHeight w:val="964"/>
        </w:trPr>
        <w:tc>
          <w:tcPr>
            <w:tcW w:w="1260" w:type="dxa"/>
            <w:tcBorders>
              <w:bottom w:val="single" w:sz="4" w:space="0" w:color="000000"/>
            </w:tcBorders>
            <w:shd w:val="clear" w:color="0066FF" w:fill="0000FF"/>
            <w:vAlign w:val="center"/>
          </w:tcPr>
          <w:p w14:paraId="49A19AF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C2AB8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23B5AE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17584" w14:paraId="45FF1F7D" w14:textId="77777777">
        <w:trPr>
          <w:cantSplit/>
          <w:trHeight w:val="964"/>
        </w:trPr>
        <w:tc>
          <w:tcPr>
            <w:tcW w:w="1260" w:type="dxa"/>
            <w:shd w:val="clear" w:color="33CC33" w:fill="00FF00"/>
            <w:vAlign w:val="center"/>
          </w:tcPr>
          <w:p w14:paraId="3889A45B" w14:textId="77777777" w:rsidR="00000000" w:rsidRDefault="00000000">
            <w:pPr>
              <w:spacing w:before="60" w:after="60"/>
              <w:rPr>
                <w:rFonts w:eastAsia="Calibri"/>
                <w:szCs w:val="24"/>
              </w:rPr>
            </w:pPr>
          </w:p>
        </w:tc>
        <w:tc>
          <w:tcPr>
            <w:tcW w:w="7095" w:type="dxa"/>
            <w:shd w:val="clear" w:color="auto" w:fill="auto"/>
            <w:vAlign w:val="center"/>
          </w:tcPr>
          <w:p w14:paraId="137308A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F1FE77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17584" w14:paraId="3C5DFDB7" w14:textId="77777777">
        <w:trPr>
          <w:cantSplit/>
          <w:trHeight w:val="964"/>
        </w:trPr>
        <w:tc>
          <w:tcPr>
            <w:tcW w:w="1260" w:type="dxa"/>
            <w:tcBorders>
              <w:bottom w:val="single" w:sz="4" w:space="0" w:color="000000"/>
            </w:tcBorders>
            <w:shd w:val="clear" w:color="auto" w:fill="FFFF00"/>
            <w:vAlign w:val="center"/>
          </w:tcPr>
          <w:p w14:paraId="6767C9C9" w14:textId="77777777" w:rsidR="00000000" w:rsidRDefault="00000000">
            <w:pPr>
              <w:spacing w:before="60" w:after="60"/>
              <w:rPr>
                <w:rFonts w:eastAsia="Calibri"/>
                <w:szCs w:val="24"/>
              </w:rPr>
            </w:pPr>
          </w:p>
        </w:tc>
        <w:tc>
          <w:tcPr>
            <w:tcW w:w="7095" w:type="dxa"/>
            <w:shd w:val="clear" w:color="auto" w:fill="auto"/>
            <w:vAlign w:val="center"/>
          </w:tcPr>
          <w:p w14:paraId="13B519E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5AEC23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17584" w14:paraId="2A622C5F" w14:textId="77777777">
        <w:trPr>
          <w:cantSplit/>
          <w:trHeight w:val="964"/>
        </w:trPr>
        <w:tc>
          <w:tcPr>
            <w:tcW w:w="1260" w:type="dxa"/>
            <w:tcBorders>
              <w:bottom w:val="single" w:sz="4" w:space="0" w:color="000000"/>
            </w:tcBorders>
            <w:shd w:val="clear" w:color="auto" w:fill="FFC800"/>
            <w:vAlign w:val="center"/>
          </w:tcPr>
          <w:p w14:paraId="7CDB3CB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1B5B75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34648C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17584" w14:paraId="3F65B786" w14:textId="77777777">
        <w:trPr>
          <w:cantSplit/>
          <w:trHeight w:val="964"/>
        </w:trPr>
        <w:tc>
          <w:tcPr>
            <w:tcW w:w="1260" w:type="dxa"/>
            <w:shd w:val="clear" w:color="auto" w:fill="FF0000"/>
            <w:vAlign w:val="center"/>
          </w:tcPr>
          <w:p w14:paraId="134D0697" w14:textId="77777777" w:rsidR="00000000" w:rsidRDefault="00000000">
            <w:pPr>
              <w:spacing w:before="60" w:after="60"/>
              <w:rPr>
                <w:rFonts w:eastAsia="Calibri"/>
                <w:szCs w:val="24"/>
              </w:rPr>
            </w:pPr>
          </w:p>
        </w:tc>
        <w:tc>
          <w:tcPr>
            <w:tcW w:w="7095" w:type="dxa"/>
            <w:shd w:val="clear" w:color="auto" w:fill="auto"/>
            <w:vAlign w:val="center"/>
          </w:tcPr>
          <w:p w14:paraId="0D028CA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5DB76B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C3E6B3E" w14:textId="77777777" w:rsidR="00000000" w:rsidRDefault="00000000">
      <w:pPr>
        <w:pStyle w:val="Heading2"/>
        <w:spacing w:after="0"/>
        <w:rPr>
          <w:rFonts w:cs="Arial"/>
        </w:rPr>
      </w:pPr>
      <w:r>
        <w:rPr>
          <w:rFonts w:cs="Arial"/>
        </w:rPr>
        <w:t>General overview of the audit</w:t>
      </w:r>
    </w:p>
    <w:p w14:paraId="41A50204" w14:textId="77777777" w:rsidR="00000000" w:rsidRDefault="00000000">
      <w:pPr>
        <w:spacing w:before="240" w:line="276" w:lineRule="auto"/>
        <w:rPr>
          <w:rFonts w:eastAsia="Calibri"/>
        </w:rPr>
      </w:pPr>
      <w:bookmarkStart w:id="13" w:name="GeneralOverview"/>
      <w:r w:rsidRPr="00A4268A">
        <w:rPr>
          <w:rFonts w:eastAsia="Calibri"/>
        </w:rPr>
        <w:t>Somerfield House (Somerfield) is managed by Golden Healthcare Group, which is owned by Heritage Lifecare (GHG) Limited. Somerfield provides dementia care for up to 39 residents.</w:t>
      </w:r>
    </w:p>
    <w:p w14:paraId="724B1AC8" w14:textId="77777777" w:rsidR="00717584" w:rsidRPr="00A4268A" w:rsidRDefault="00000000">
      <w:pPr>
        <w:spacing w:before="240" w:line="276" w:lineRule="auto"/>
        <w:rPr>
          <w:rFonts w:eastAsia="Calibri"/>
        </w:rPr>
      </w:pPr>
      <w:r w:rsidRPr="00A4268A">
        <w:rPr>
          <w:rFonts w:eastAsia="Calibri"/>
        </w:rPr>
        <w:t xml:space="preserve">This certification audit process included review of policies and procedures, review of residents and staff files, observations, and interviews with a resident, family members, members of the Heritage governance group, the Golden Healthcare Group regional manager, care home manager, staff, and a general practitioner.   </w:t>
      </w:r>
    </w:p>
    <w:p w14:paraId="464F67DD" w14:textId="77777777" w:rsidR="00717584" w:rsidRPr="00A4268A" w:rsidRDefault="00000000">
      <w:pPr>
        <w:spacing w:before="240" w:line="276" w:lineRule="auto"/>
        <w:rPr>
          <w:rFonts w:eastAsia="Calibri"/>
        </w:rPr>
      </w:pPr>
      <w:r w:rsidRPr="00A4268A">
        <w:rPr>
          <w:rFonts w:eastAsia="Calibri"/>
        </w:rPr>
        <w:t>No areas for improvement were identified during this audit.</w:t>
      </w:r>
    </w:p>
    <w:bookmarkEnd w:id="13"/>
    <w:p w14:paraId="6F5050D7" w14:textId="77777777" w:rsidR="00717584" w:rsidRPr="00A4268A" w:rsidRDefault="00717584">
      <w:pPr>
        <w:spacing w:before="240" w:line="276" w:lineRule="auto"/>
        <w:rPr>
          <w:rFonts w:eastAsia="Calibri"/>
        </w:rPr>
      </w:pPr>
    </w:p>
    <w:p w14:paraId="773A33D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1B9D8FA0" w14:textId="77777777" w:rsidTr="00A4268A">
        <w:trPr>
          <w:cantSplit/>
        </w:trPr>
        <w:tc>
          <w:tcPr>
            <w:tcW w:w="10206" w:type="dxa"/>
            <w:vAlign w:val="center"/>
          </w:tcPr>
          <w:p w14:paraId="0EE413D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D9799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819897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6BA7EC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69BBAFB" w14:textId="77777777" w:rsidR="00000000" w:rsidRDefault="00000000">
      <w:pPr>
        <w:spacing w:before="240" w:line="276" w:lineRule="auto"/>
        <w:rPr>
          <w:rFonts w:eastAsia="Calibri"/>
        </w:rPr>
      </w:pPr>
      <w:bookmarkStart w:id="16" w:name="ConsumerRights"/>
      <w:r w:rsidRPr="00A4268A">
        <w:rPr>
          <w:rFonts w:eastAsia="Calibri"/>
        </w:rPr>
        <w:t xml:space="preserve">Somerfield works collaboratively to support and encourage a Māori world view of health in service delivery. Māori are provided with equitable and effective services based on Te Tiriti o Waitangi and the principles of mana motuhake. </w:t>
      </w:r>
    </w:p>
    <w:p w14:paraId="1F60D819" w14:textId="3EF55D28" w:rsidR="00717584" w:rsidRPr="00A4268A" w:rsidRDefault="00000000">
      <w:pPr>
        <w:spacing w:before="240" w:line="276" w:lineRule="auto"/>
        <w:rPr>
          <w:rFonts w:eastAsia="Calibri"/>
        </w:rPr>
      </w:pPr>
      <w:r w:rsidRPr="00A4268A">
        <w:rPr>
          <w:rFonts w:eastAsia="Calibri"/>
        </w:rPr>
        <w:lastRenderedPageBreak/>
        <w:t xml:space="preserve">Pacific peoples </w:t>
      </w:r>
      <w:r w:rsidR="00BA3CE4">
        <w:rPr>
          <w:rFonts w:eastAsia="Calibri"/>
        </w:rPr>
        <w:t>ar</w:t>
      </w:r>
      <w:r w:rsidRPr="00A4268A">
        <w:rPr>
          <w:rFonts w:eastAsia="Calibri"/>
        </w:rPr>
        <w:t xml:space="preserve">e provided with services that recognise their worldviews and are culturally safe.  </w:t>
      </w:r>
    </w:p>
    <w:p w14:paraId="614EF14D" w14:textId="77777777" w:rsidR="00717584"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were safe from abuse. </w:t>
      </w:r>
    </w:p>
    <w:p w14:paraId="2C8BF5FC" w14:textId="77777777" w:rsidR="00717584"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are provided as needed.  Whānau and legal representatives are involved in decision-making that complies with the law. Advance directives are followed wherever possible.  </w:t>
      </w:r>
    </w:p>
    <w:p w14:paraId="10688450" w14:textId="77777777" w:rsidR="00717584" w:rsidRPr="00A4268A" w:rsidRDefault="00000000">
      <w:pPr>
        <w:spacing w:before="240" w:line="276" w:lineRule="auto"/>
        <w:rPr>
          <w:rFonts w:eastAsia="Calibri"/>
        </w:rPr>
      </w:pPr>
      <w:r w:rsidRPr="00A4268A">
        <w:rPr>
          <w:rFonts w:eastAsia="Calibri"/>
        </w:rPr>
        <w:t>Complaints were resolved promptly and effectively in collaboration with all parties involved. There are processes in place to ensure that the complaints process works equitably for Māori.</w:t>
      </w:r>
    </w:p>
    <w:bookmarkEnd w:id="16"/>
    <w:p w14:paraId="14A8BAA5" w14:textId="77777777" w:rsidR="00717584" w:rsidRPr="00A4268A" w:rsidRDefault="00717584">
      <w:pPr>
        <w:spacing w:before="240" w:line="276" w:lineRule="auto"/>
        <w:rPr>
          <w:rFonts w:eastAsia="Calibri"/>
        </w:rPr>
      </w:pPr>
    </w:p>
    <w:p w14:paraId="280D0DA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23F4BA2A" w14:textId="77777777" w:rsidTr="00A4268A">
        <w:trPr>
          <w:cantSplit/>
        </w:trPr>
        <w:tc>
          <w:tcPr>
            <w:tcW w:w="10206" w:type="dxa"/>
            <w:vAlign w:val="center"/>
          </w:tcPr>
          <w:p w14:paraId="17D1A4F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0B2AE1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CE573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96A749" w14:textId="77777777" w:rsidR="00000000" w:rsidRDefault="00000000">
      <w:pPr>
        <w:spacing w:before="240" w:line="276" w:lineRule="auto"/>
        <w:rPr>
          <w:rFonts w:eastAsia="Calibri"/>
        </w:rPr>
      </w:pPr>
      <w:bookmarkStart w:id="19" w:name="OrganisationalManagement"/>
      <w:r w:rsidRPr="00A4268A">
        <w:rPr>
          <w:rFonts w:eastAsia="Calibri"/>
        </w:rPr>
        <w:t>The governing bodies of both Heritage Lifecare and Golden Healthcare Group share accountability for the delivery of high-quality services at Somerfield.</w:t>
      </w:r>
    </w:p>
    <w:p w14:paraId="749C870A" w14:textId="77777777" w:rsidR="00717584" w:rsidRPr="00A4268A" w:rsidRDefault="00000000">
      <w:pPr>
        <w:spacing w:before="240" w:line="276" w:lineRule="auto"/>
        <w:rPr>
          <w:rFonts w:eastAsia="Calibri"/>
        </w:rPr>
      </w:pPr>
      <w:r w:rsidRPr="00A4268A">
        <w:rPr>
          <w:rFonts w:eastAsia="Calibri"/>
        </w:rPr>
        <w:t>The board of directors work with the manager at Somerfield to monitor organisational performance and ensure ongoing compliance. The governing body assumes accountability for delivering a high-quality service that is inclusive of, and sensitive to, the cultural needs of Māori. All directors are suitably experienced and qualified in governance and have completed education in cultural awareness, Te Tiriti o Waitangi and health equity.</w:t>
      </w:r>
    </w:p>
    <w:p w14:paraId="33F57DA6" w14:textId="77777777" w:rsidR="00717584" w:rsidRPr="00A4268A" w:rsidRDefault="00000000">
      <w:pPr>
        <w:spacing w:before="240" w:line="276" w:lineRule="auto"/>
        <w:rPr>
          <w:rFonts w:eastAsia="Calibri"/>
        </w:rPr>
      </w:pPr>
      <w:r w:rsidRPr="00A4268A">
        <w:rPr>
          <w:rFonts w:eastAsia="Calibri"/>
        </w:rPr>
        <w:lastRenderedPageBreak/>
        <w:t>Planning ensures the purpose, values, direction, scope, and goals for the organisation are defined. Service performance is monitored and reviewed at planned intervals.</w:t>
      </w:r>
    </w:p>
    <w:p w14:paraId="6BE21C3F" w14:textId="77777777" w:rsidR="00717584" w:rsidRPr="00A4268A" w:rsidRDefault="00000000">
      <w:pPr>
        <w:spacing w:before="240" w:line="276" w:lineRule="auto"/>
        <w:rPr>
          <w:rFonts w:eastAsia="Calibri"/>
        </w:rPr>
      </w:pPr>
      <w:r w:rsidRPr="00A4268A">
        <w:rPr>
          <w:rFonts w:eastAsia="Calibri"/>
        </w:rPr>
        <w:t>The quality and risk management systems are focused on improving service delivery and care. Family/whānau provide regular feedback and staff are involved in quality activities. An integrated approach includes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obligations.</w:t>
      </w:r>
    </w:p>
    <w:p w14:paraId="5C62A003" w14:textId="77777777" w:rsidR="00717584" w:rsidRPr="00A4268A" w:rsidRDefault="00000000">
      <w:pPr>
        <w:spacing w:before="240" w:line="276" w:lineRule="auto"/>
        <w:rPr>
          <w:rFonts w:eastAsia="Calibri"/>
        </w:rPr>
      </w:pPr>
      <w:r w:rsidRPr="00A4268A">
        <w:rPr>
          <w:rFonts w:eastAsia="Calibri"/>
        </w:rPr>
        <w:t>Staff are appointed, orientated and managed using current good practice. Staff are suitably skilled and experienced. Staffing levels are sufficient to provide clinically and culturally appropriate care. A systematic approach to identify and deliver ongoing learning supports safe and equitable service delivery. Staff performance was monitored.</w:t>
      </w:r>
    </w:p>
    <w:p w14:paraId="4EA16822" w14:textId="77777777" w:rsidR="00717584" w:rsidRPr="00A4268A" w:rsidRDefault="00000000">
      <w:pPr>
        <w:spacing w:before="240" w:line="276" w:lineRule="auto"/>
        <w:rPr>
          <w:rFonts w:eastAsia="Calibri"/>
        </w:rPr>
      </w:pPr>
      <w:r w:rsidRPr="00A4268A">
        <w:rPr>
          <w:rFonts w:eastAsia="Calibri"/>
        </w:rPr>
        <w:t>Residents’ information was accurately recorded, securely stored, was not on public display, or accessible to unauthorised people.</w:t>
      </w:r>
    </w:p>
    <w:bookmarkEnd w:id="19"/>
    <w:p w14:paraId="2124C069" w14:textId="77777777" w:rsidR="00717584" w:rsidRPr="00A4268A" w:rsidRDefault="00717584">
      <w:pPr>
        <w:spacing w:before="240" w:line="276" w:lineRule="auto"/>
        <w:rPr>
          <w:rFonts w:eastAsia="Calibri"/>
        </w:rPr>
      </w:pPr>
    </w:p>
    <w:p w14:paraId="19F650BE"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7C8E019A" w14:textId="77777777" w:rsidTr="00A4268A">
        <w:trPr>
          <w:cantSplit/>
        </w:trPr>
        <w:tc>
          <w:tcPr>
            <w:tcW w:w="10206" w:type="dxa"/>
            <w:vAlign w:val="center"/>
          </w:tcPr>
          <w:p w14:paraId="19843F4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17C276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2FFDB5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EE05F5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residents enter the service, a person-centred and whānau-centred approach is adopted. Relevant information was provided to the potential resident and their whānau.   </w:t>
      </w:r>
    </w:p>
    <w:p w14:paraId="30B6DF3B" w14:textId="77777777" w:rsidR="00717584"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based on comprehensive information and accommodated any new problems that arose.  Files reviewed demonstrated that care met the needs of residents and whānau and was evaluated on a regular and timely basis.  </w:t>
      </w:r>
    </w:p>
    <w:p w14:paraId="729EA4AF" w14:textId="77777777" w:rsidR="00717584" w:rsidRPr="00A4268A" w:rsidRDefault="00000000" w:rsidP="00621629">
      <w:pPr>
        <w:spacing w:before="240" w:line="276" w:lineRule="auto"/>
        <w:rPr>
          <w:rFonts w:eastAsia="Calibri"/>
        </w:rPr>
      </w:pPr>
      <w:r w:rsidRPr="00A4268A">
        <w:rPr>
          <w:rFonts w:eastAsia="Calibri"/>
        </w:rPr>
        <w:lastRenderedPageBreak/>
        <w:t xml:space="preserve">Residents were supported to maintain and develop their interests and participate in meaningful community and social activities suitable to their age and stage of life. </w:t>
      </w:r>
    </w:p>
    <w:p w14:paraId="4B20CE00" w14:textId="77777777" w:rsidR="00717584"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448BBCBA" w14:textId="77777777" w:rsidR="00717584" w:rsidRPr="00A4268A" w:rsidRDefault="00000000" w:rsidP="00621629">
      <w:pPr>
        <w:spacing w:before="240" w:line="276" w:lineRule="auto"/>
        <w:rPr>
          <w:rFonts w:eastAsia="Calibri"/>
        </w:rPr>
      </w:pPr>
      <w:r w:rsidRPr="00A4268A">
        <w:rPr>
          <w:rFonts w:eastAsia="Calibri"/>
        </w:rPr>
        <w:t xml:space="preserve">The food service met the nutritional needs of the residents/patients, with special cultural needs catered for. Food was safely managed.   </w:t>
      </w:r>
    </w:p>
    <w:p w14:paraId="3FD40689" w14:textId="77777777" w:rsidR="00717584"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440B7CE0" w14:textId="77777777" w:rsidR="00717584" w:rsidRPr="00A4268A" w:rsidRDefault="00717584" w:rsidP="00621629">
      <w:pPr>
        <w:spacing w:before="240" w:line="276" w:lineRule="auto"/>
        <w:rPr>
          <w:rFonts w:eastAsia="Calibri"/>
        </w:rPr>
      </w:pPr>
    </w:p>
    <w:p w14:paraId="07C285A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5DB121D1" w14:textId="77777777" w:rsidTr="00A4268A">
        <w:trPr>
          <w:cantSplit/>
        </w:trPr>
        <w:tc>
          <w:tcPr>
            <w:tcW w:w="10206" w:type="dxa"/>
            <w:vAlign w:val="center"/>
          </w:tcPr>
          <w:p w14:paraId="4C8F11B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A696F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CF9FECF"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F6B27DD"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 maintained. There was a current building warrant of fitness. Electrical and biomedical equipment has been checked and tested as required. External areas are accessible, safe, and provide shade and seating.</w:t>
      </w:r>
    </w:p>
    <w:p w14:paraId="7CE53A6C" w14:textId="77777777" w:rsidR="00717584"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and family/whānau interviewed understood emergency and security arrangements. Security is maintained.</w:t>
      </w:r>
    </w:p>
    <w:bookmarkEnd w:id="25"/>
    <w:p w14:paraId="00FF4C3B" w14:textId="77777777" w:rsidR="00717584" w:rsidRPr="00A4268A" w:rsidRDefault="00717584">
      <w:pPr>
        <w:spacing w:before="240" w:line="276" w:lineRule="auto"/>
        <w:rPr>
          <w:rFonts w:eastAsia="Calibri"/>
        </w:rPr>
      </w:pPr>
    </w:p>
    <w:p w14:paraId="5D1C24C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50158CDC" w14:textId="77777777" w:rsidTr="00A4268A">
        <w:trPr>
          <w:cantSplit/>
        </w:trPr>
        <w:tc>
          <w:tcPr>
            <w:tcW w:w="10206" w:type="dxa"/>
            <w:vAlign w:val="center"/>
          </w:tcPr>
          <w:p w14:paraId="1BBD0DF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CC9557"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8A0CB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5C9B45A" w14:textId="77777777" w:rsidR="00000000" w:rsidRDefault="00000000">
      <w:pPr>
        <w:spacing w:before="240" w:line="276" w:lineRule="auto"/>
        <w:rPr>
          <w:rFonts w:eastAsia="Calibri"/>
        </w:rPr>
      </w:pPr>
      <w:bookmarkStart w:id="28" w:name="RestraintMinimisationAndSafePractice"/>
      <w:r w:rsidRPr="00A4268A">
        <w:rPr>
          <w:rFonts w:eastAsia="Calibri"/>
        </w:rPr>
        <w:t>The governing body oversees the implementation of the infection prevention and control programme, which is linked to the quality management system. Annual reviews of the programme were reported to the board, as were any significant infection events.</w:t>
      </w:r>
    </w:p>
    <w:p w14:paraId="0618D823" w14:textId="77777777" w:rsidR="00717584" w:rsidRPr="00A4268A" w:rsidRDefault="00000000">
      <w:pPr>
        <w:spacing w:before="240" w:line="276" w:lineRule="auto"/>
        <w:rPr>
          <w:rFonts w:eastAsia="Calibri"/>
        </w:rPr>
      </w:pPr>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0228585D" w14:textId="77777777" w:rsidR="00717584" w:rsidRPr="00A4268A" w:rsidRDefault="00000000">
      <w:pPr>
        <w:spacing w:before="240" w:line="276" w:lineRule="auto"/>
        <w:rPr>
          <w:rFonts w:eastAsia="Calibri"/>
        </w:rPr>
      </w:pPr>
      <w:r w:rsidRPr="00A4268A">
        <w:rPr>
          <w:rFonts w:eastAsia="Calibri"/>
        </w:rPr>
        <w:t xml:space="preserve">The infection control coordinator is involved in procurement processes, any facility changes, and processes related to decontamination of any reusable devices. </w:t>
      </w:r>
    </w:p>
    <w:p w14:paraId="60D28A40" w14:textId="77777777" w:rsidR="00717584" w:rsidRPr="00A4268A" w:rsidRDefault="00000000">
      <w:pPr>
        <w:spacing w:before="240" w:line="276" w:lineRule="auto"/>
        <w:rPr>
          <w:rFonts w:eastAsia="Calibri"/>
        </w:rPr>
      </w:pPr>
      <w:r w:rsidRPr="00A4268A">
        <w:rPr>
          <w:rFonts w:eastAsia="Calibri"/>
        </w:rPr>
        <w:t xml:space="preserve">Staff demonstrated good principles and practice around infection control. Staff, residents and whānau were familiar with the pandemic/infectious diseases response plan. </w:t>
      </w:r>
    </w:p>
    <w:p w14:paraId="080EA860" w14:textId="77777777" w:rsidR="00717584" w:rsidRPr="00A4268A" w:rsidRDefault="00000000">
      <w:pPr>
        <w:spacing w:before="240" w:line="276" w:lineRule="auto"/>
        <w:rPr>
          <w:rFonts w:eastAsia="Calibri"/>
        </w:rPr>
      </w:pPr>
      <w:r w:rsidRPr="00A4268A">
        <w:rPr>
          <w:rFonts w:eastAsia="Calibri"/>
        </w:rPr>
        <w:t xml:space="preserve">The service promotes responsible prescribing of antimicrobials.  Infection surveillance is undertaken, with follow-up action taken as required. </w:t>
      </w:r>
    </w:p>
    <w:p w14:paraId="355E1D4D" w14:textId="77777777" w:rsidR="00717584"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and cleaning services.</w:t>
      </w:r>
    </w:p>
    <w:bookmarkEnd w:id="28"/>
    <w:p w14:paraId="7696F62D" w14:textId="77777777" w:rsidR="00717584" w:rsidRPr="00A4268A" w:rsidRDefault="00717584">
      <w:pPr>
        <w:spacing w:before="240" w:line="276" w:lineRule="auto"/>
        <w:rPr>
          <w:rFonts w:eastAsia="Calibri"/>
        </w:rPr>
      </w:pPr>
    </w:p>
    <w:p w14:paraId="186F091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17584" w14:paraId="1F9EACD2" w14:textId="77777777" w:rsidTr="00A4268A">
        <w:trPr>
          <w:cantSplit/>
        </w:trPr>
        <w:tc>
          <w:tcPr>
            <w:tcW w:w="10206" w:type="dxa"/>
            <w:vAlign w:val="center"/>
          </w:tcPr>
          <w:p w14:paraId="76BBC09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BD864E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A2E7A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558A704" w14:textId="77777777" w:rsidR="00000000"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w:t>
      </w:r>
    </w:p>
    <w:p w14:paraId="550C1D2B" w14:textId="77777777" w:rsidR="00717584" w:rsidRPr="00A4268A" w:rsidRDefault="00000000">
      <w:pPr>
        <w:spacing w:before="240" w:line="276" w:lineRule="auto"/>
        <w:rPr>
          <w:rFonts w:eastAsia="Calibri"/>
        </w:rPr>
      </w:pPr>
      <w:r w:rsidRPr="00A4268A">
        <w:rPr>
          <w:rFonts w:eastAsia="Calibri"/>
        </w:rPr>
        <w:t>A suitably qualified restraint coordinator manages the process. Staff interviewed demonstrated a sound knowledge and understanding of providing the least restrictive practice, de-escalation techniques, alternative interventions to restraint, and restraint monitoring.</w:t>
      </w:r>
    </w:p>
    <w:bookmarkEnd w:id="31"/>
    <w:p w14:paraId="4CC7D6DB" w14:textId="77777777" w:rsidR="00717584" w:rsidRPr="00A4268A" w:rsidRDefault="00717584">
      <w:pPr>
        <w:spacing w:before="240" w:line="276" w:lineRule="auto"/>
        <w:rPr>
          <w:rFonts w:eastAsia="Calibri"/>
        </w:rPr>
      </w:pPr>
    </w:p>
    <w:p w14:paraId="298A8067" w14:textId="77777777" w:rsidR="00000000" w:rsidRDefault="00000000" w:rsidP="000E6E02">
      <w:pPr>
        <w:pStyle w:val="Heading2"/>
        <w:spacing w:before="0"/>
        <w:rPr>
          <w:rFonts w:cs="Arial"/>
        </w:rPr>
      </w:pPr>
      <w:r>
        <w:rPr>
          <w:rFonts w:cs="Arial"/>
        </w:rPr>
        <w:lastRenderedPageBreak/>
        <w:t>Summary of attainment</w:t>
      </w:r>
    </w:p>
    <w:p w14:paraId="416CB80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17584" w14:paraId="07B3938E" w14:textId="77777777">
        <w:tc>
          <w:tcPr>
            <w:tcW w:w="1384" w:type="dxa"/>
            <w:vAlign w:val="center"/>
          </w:tcPr>
          <w:p w14:paraId="02DC986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3CF28D7" w14:textId="77777777" w:rsidR="00000000" w:rsidRDefault="00000000">
            <w:pPr>
              <w:keepNext/>
              <w:spacing w:before="60" w:after="60"/>
              <w:jc w:val="center"/>
              <w:rPr>
                <w:rFonts w:cs="Arial"/>
                <w:b/>
                <w:sz w:val="20"/>
                <w:szCs w:val="20"/>
              </w:rPr>
            </w:pPr>
            <w:r>
              <w:rPr>
                <w:rFonts w:cs="Arial"/>
                <w:b/>
                <w:sz w:val="20"/>
                <w:szCs w:val="20"/>
              </w:rPr>
              <w:t>Continuous Improvement</w:t>
            </w:r>
          </w:p>
          <w:p w14:paraId="1D5EAB4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3DCC3B7" w14:textId="77777777" w:rsidR="00000000" w:rsidRDefault="00000000">
            <w:pPr>
              <w:keepNext/>
              <w:spacing w:before="60" w:after="60"/>
              <w:jc w:val="center"/>
              <w:rPr>
                <w:rFonts w:cs="Arial"/>
                <w:b/>
                <w:sz w:val="20"/>
                <w:szCs w:val="20"/>
              </w:rPr>
            </w:pPr>
            <w:r>
              <w:rPr>
                <w:rFonts w:cs="Arial"/>
                <w:b/>
                <w:sz w:val="20"/>
                <w:szCs w:val="20"/>
              </w:rPr>
              <w:t>Fully Attained</w:t>
            </w:r>
          </w:p>
          <w:p w14:paraId="574D1AE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40EA89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166DFC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2A2D7B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3A50D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3C006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CE74C8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06F8ED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2C89A7C"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4DB7DF6"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37C0409" w14:textId="77777777" w:rsidR="00000000" w:rsidRDefault="00000000">
            <w:pPr>
              <w:keepNext/>
              <w:spacing w:before="60" w:after="60"/>
              <w:jc w:val="center"/>
              <w:rPr>
                <w:rFonts w:cs="Arial"/>
                <w:b/>
                <w:sz w:val="20"/>
                <w:szCs w:val="20"/>
              </w:rPr>
            </w:pPr>
            <w:r>
              <w:rPr>
                <w:rFonts w:cs="Arial"/>
                <w:b/>
                <w:sz w:val="20"/>
                <w:szCs w:val="20"/>
              </w:rPr>
              <w:t>(PA Critical)</w:t>
            </w:r>
          </w:p>
        </w:tc>
      </w:tr>
      <w:tr w:rsidR="00717584" w14:paraId="0A9D11C7" w14:textId="77777777">
        <w:tc>
          <w:tcPr>
            <w:tcW w:w="1384" w:type="dxa"/>
            <w:vAlign w:val="center"/>
          </w:tcPr>
          <w:p w14:paraId="0F30709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5C786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6839A3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01C06D4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E2C035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98931A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F4350C6"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47EAC1A"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17584" w14:paraId="62521FF1" w14:textId="77777777">
        <w:tc>
          <w:tcPr>
            <w:tcW w:w="1384" w:type="dxa"/>
            <w:vAlign w:val="center"/>
          </w:tcPr>
          <w:p w14:paraId="46BFB8D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422D6C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795DBB2"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1B1A01E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FC6A96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135E4CCF"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B559F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F4A595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3A0496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17584" w14:paraId="49712271" w14:textId="77777777">
        <w:tc>
          <w:tcPr>
            <w:tcW w:w="1384" w:type="dxa"/>
            <w:vAlign w:val="center"/>
          </w:tcPr>
          <w:p w14:paraId="372BC62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55CF38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9F7281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9CA7824" w14:textId="77777777" w:rsidR="00000000" w:rsidRDefault="00000000">
            <w:pPr>
              <w:keepNext/>
              <w:spacing w:before="60" w:after="60"/>
              <w:jc w:val="center"/>
              <w:rPr>
                <w:rFonts w:cs="Arial"/>
                <w:b/>
                <w:sz w:val="20"/>
                <w:szCs w:val="20"/>
              </w:rPr>
            </w:pPr>
            <w:r>
              <w:rPr>
                <w:rFonts w:cs="Arial"/>
                <w:b/>
                <w:sz w:val="20"/>
                <w:szCs w:val="20"/>
              </w:rPr>
              <w:t>Unattained Low Risk</w:t>
            </w:r>
          </w:p>
          <w:p w14:paraId="076FB8F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416FAC5" w14:textId="77777777" w:rsidR="00000000" w:rsidRDefault="00000000">
            <w:pPr>
              <w:keepNext/>
              <w:spacing w:before="60" w:after="60"/>
              <w:jc w:val="center"/>
              <w:rPr>
                <w:rFonts w:cs="Arial"/>
                <w:b/>
                <w:sz w:val="20"/>
                <w:szCs w:val="20"/>
              </w:rPr>
            </w:pPr>
            <w:r>
              <w:rPr>
                <w:rFonts w:cs="Arial"/>
                <w:b/>
                <w:sz w:val="20"/>
                <w:szCs w:val="20"/>
              </w:rPr>
              <w:t>Unattained Moderate Risk</w:t>
            </w:r>
          </w:p>
          <w:p w14:paraId="609F561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BB7B515" w14:textId="77777777" w:rsidR="00000000" w:rsidRDefault="00000000">
            <w:pPr>
              <w:keepNext/>
              <w:spacing w:before="60" w:after="60"/>
              <w:jc w:val="center"/>
              <w:rPr>
                <w:rFonts w:cs="Arial"/>
                <w:b/>
                <w:sz w:val="20"/>
                <w:szCs w:val="20"/>
              </w:rPr>
            </w:pPr>
            <w:r>
              <w:rPr>
                <w:rFonts w:cs="Arial"/>
                <w:b/>
                <w:sz w:val="20"/>
                <w:szCs w:val="20"/>
              </w:rPr>
              <w:t>Unattained High Risk</w:t>
            </w:r>
          </w:p>
          <w:p w14:paraId="31AACDF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0ABF5FE" w14:textId="77777777" w:rsidR="00000000" w:rsidRDefault="00000000">
            <w:pPr>
              <w:keepNext/>
              <w:spacing w:before="60" w:after="60"/>
              <w:jc w:val="center"/>
              <w:rPr>
                <w:rFonts w:cs="Arial"/>
                <w:b/>
                <w:sz w:val="20"/>
                <w:szCs w:val="20"/>
              </w:rPr>
            </w:pPr>
            <w:r>
              <w:rPr>
                <w:rFonts w:cs="Arial"/>
                <w:b/>
                <w:sz w:val="20"/>
                <w:szCs w:val="20"/>
              </w:rPr>
              <w:t>Unattained Critical Risk</w:t>
            </w:r>
          </w:p>
          <w:p w14:paraId="6008B769" w14:textId="77777777" w:rsidR="00000000" w:rsidRDefault="00000000">
            <w:pPr>
              <w:keepNext/>
              <w:spacing w:before="60" w:after="60"/>
              <w:jc w:val="center"/>
              <w:rPr>
                <w:rFonts w:cs="Arial"/>
                <w:b/>
                <w:sz w:val="20"/>
                <w:szCs w:val="20"/>
              </w:rPr>
            </w:pPr>
            <w:r>
              <w:rPr>
                <w:rFonts w:cs="Arial"/>
                <w:b/>
                <w:sz w:val="20"/>
                <w:szCs w:val="20"/>
              </w:rPr>
              <w:t>(UA Critical)</w:t>
            </w:r>
          </w:p>
        </w:tc>
      </w:tr>
      <w:tr w:rsidR="00717584" w14:paraId="05B83134" w14:textId="77777777">
        <w:tc>
          <w:tcPr>
            <w:tcW w:w="1384" w:type="dxa"/>
            <w:vAlign w:val="center"/>
          </w:tcPr>
          <w:p w14:paraId="1443328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0F71B7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2E5B90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1F8849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6031AB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024255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17584" w14:paraId="136B4B88" w14:textId="77777777">
        <w:tc>
          <w:tcPr>
            <w:tcW w:w="1384" w:type="dxa"/>
            <w:vAlign w:val="center"/>
          </w:tcPr>
          <w:p w14:paraId="064441C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39C45C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2C8AD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0D841A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5AD11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E147F7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63D5C9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B1547C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A6F3E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8C2C68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5"/>
        <w:gridCol w:w="1359"/>
        <w:gridCol w:w="6450"/>
      </w:tblGrid>
      <w:tr w:rsidR="00717584" w14:paraId="3FF52806" w14:textId="77777777">
        <w:tc>
          <w:tcPr>
            <w:tcW w:w="0" w:type="auto"/>
          </w:tcPr>
          <w:p w14:paraId="13474F03"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1AEE6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C8EB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17584" w14:paraId="746F02CB" w14:textId="77777777">
        <w:tc>
          <w:tcPr>
            <w:tcW w:w="0" w:type="auto"/>
          </w:tcPr>
          <w:p w14:paraId="3B0D56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9AD212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DE8D3E" w14:textId="77777777" w:rsidR="00000000" w:rsidRPr="00BE00C7" w:rsidRDefault="00000000" w:rsidP="00BE00C7">
            <w:pPr>
              <w:pStyle w:val="OutcomeDescription"/>
              <w:spacing w:before="120" w:after="120"/>
              <w:rPr>
                <w:rFonts w:cs="Arial"/>
                <w:lang w:eastAsia="en-NZ"/>
              </w:rPr>
            </w:pPr>
          </w:p>
        </w:tc>
        <w:tc>
          <w:tcPr>
            <w:tcW w:w="0" w:type="auto"/>
          </w:tcPr>
          <w:p w14:paraId="61DD71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644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Somerfield is managed by the Golden Healthcare Group Limited (Golden Healthcare). Golden Healthcare operates as a subsidiary of Heritage Lifecare and therefore is governed by the Heritage Lifecare governance board. </w:t>
            </w:r>
          </w:p>
          <w:p w14:paraId="2D0A700C"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(HLL) has a Māori health plan which guides care delivery for Māori using Te Whare Tapa Whā model, and by ensuring mana motuhake is respected. The plan has been developed with input from cultural advisers and can be used for residents who identify as Māori.</w:t>
            </w:r>
          </w:p>
          <w:p w14:paraId="04793D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HLL has introduced a head of cultural partnerships (HCP), who is part of the executive team and identifies as Māori/Pasifika. The function of the HCP is to assist with the implementation of Ngā Paerewa and inform the HLL models of care and service delivery. This is allied to a Māori Network Komiti, a group of Māori employees. The Komiti has a mandate to further assist the organisation in relation to its Te Tiriti obligations. The Māori Network Komiti has a kaupapa Māori structure and involves people from the clinical leadership group, clinical service managers, site managers, registered nurses, and other care workers. The group provides information through the clinical governance structure to the board. The HCP is also assisting site managers in the </w:t>
            </w:r>
            <w:r w:rsidRPr="00BE00C7">
              <w:rPr>
                <w:rFonts w:cs="Arial"/>
                <w:lang w:eastAsia="en-NZ"/>
              </w:rPr>
              <w:lastRenderedPageBreak/>
              <w:t>facilities to connect to their local Māori/Pasifika/tāngata whaikaha communities.</w:t>
            </w:r>
          </w:p>
          <w:p w14:paraId="3A439E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HLL is committed to recruiting and retaining a diverse workforce, and to increasing the Māori percentage of the workforce. There is a diversity and inclusion policy in place that commits the organisation to uphold the principles of Te Tiriti o Waitangi and to support HLL’s drive for staff to have a beneficial experience when working in the service. There were residents and staff who identified as Māori at the time of the audit.  </w:t>
            </w:r>
          </w:p>
          <w:p w14:paraId="4F1F098F"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Te Tiriti is part of the HLL training programme. Staff and training records confirmed Te Tiriti o Waitangi and cultural training. The training is geared to assist staff to understand the key elements of service provision for Māori and Pasifika, including self-determination (mana motuhake), and providing equity in care services. The quality assurance manager (QAM) reported, and documentation evidenced, input at resident advocacy meetings from a Māori cultural advisor. Staff reported being aware of residents’ cultural and spiritual needs through the care plans and talking with the residents and their family/whānau.</w:t>
            </w:r>
          </w:p>
          <w:p w14:paraId="74BEA0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audit opened with a karakia and closed with a waiata.</w:t>
            </w:r>
          </w:p>
          <w:p w14:paraId="501FF10B" w14:textId="77777777" w:rsidR="00000000" w:rsidRPr="00BE00C7" w:rsidRDefault="00000000" w:rsidP="00BE00C7">
            <w:pPr>
              <w:pStyle w:val="OutcomeDescription"/>
              <w:spacing w:before="120" w:after="120"/>
              <w:rPr>
                <w:rFonts w:cs="Arial"/>
                <w:lang w:eastAsia="en-NZ"/>
              </w:rPr>
            </w:pPr>
          </w:p>
        </w:tc>
      </w:tr>
      <w:tr w:rsidR="00717584" w14:paraId="1B8E19CA" w14:textId="77777777">
        <w:tc>
          <w:tcPr>
            <w:tcW w:w="0" w:type="auto"/>
          </w:tcPr>
          <w:p w14:paraId="61CB10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64E31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CFB09C" w14:textId="77777777" w:rsidR="00000000" w:rsidRPr="00BE00C7" w:rsidRDefault="00000000" w:rsidP="00BE00C7">
            <w:pPr>
              <w:pStyle w:val="OutcomeDescription"/>
              <w:spacing w:before="120" w:after="120"/>
              <w:rPr>
                <w:rFonts w:cs="Arial"/>
                <w:lang w:eastAsia="en-NZ"/>
              </w:rPr>
            </w:pPr>
          </w:p>
        </w:tc>
        <w:tc>
          <w:tcPr>
            <w:tcW w:w="0" w:type="auto"/>
          </w:tcPr>
          <w:p w14:paraId="7AB727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84F9A8"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understood the equity issues faced by Pacific peoples and can access guidance from people within the organisation around appropriate care and service for Pasifika. Two members of the executive team identify as Pasifika. They can assist the board to meet their Ngā Paerewa obligations to Pacific peoples.</w:t>
            </w:r>
          </w:p>
          <w:p w14:paraId="0B6A947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which utilises the Fonofale model of care, documenting care requirements for Pacific peoples to ensure culturally appropriate services. The plan has been developed with input from cultural advisers. The QAM reported that the organisation has access to local Pasifika communities through HLL and Te Whatu Ora – Health New Zealand Waitaha Canterbury (Te Whatu Ora Waitaha Canterbury) when required. There were no residents who identified as Pasifika at the time of the audit.</w:t>
            </w:r>
          </w:p>
          <w:p w14:paraId="12CDC1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staff recruitment policy is clear that recruitment will be non-discriminatory, and that cultural fit is one aspect of appointing staff. The service supports increasing Pasifika capacity by employing more Pasifika staff members across differing levels of the organisation, and this is outlined in its strategic plan, and in policy documentation. Ethnicity data is gathered when staff are employed, and this data is analysed at a management level. There were staff who identified as Pasifika at the time of the audit. </w:t>
            </w:r>
          </w:p>
          <w:p w14:paraId="7A7C1E1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on culturally specific care, including care for Pasifika, is part of the HLL training programme, and this is implemented in the service. The training is geared to assist staff to understand the key elements of service provision for Pasifika and providing equity in care services. Staff and training records confirmed the cultural training.</w:t>
            </w:r>
          </w:p>
          <w:p w14:paraId="069BA178" w14:textId="77777777" w:rsidR="00000000" w:rsidRPr="00BE00C7" w:rsidRDefault="00000000" w:rsidP="00BE00C7">
            <w:pPr>
              <w:pStyle w:val="OutcomeDescription"/>
              <w:spacing w:before="120" w:after="120"/>
              <w:rPr>
                <w:rFonts w:cs="Arial"/>
                <w:lang w:eastAsia="en-NZ"/>
              </w:rPr>
            </w:pPr>
          </w:p>
        </w:tc>
      </w:tr>
      <w:tr w:rsidR="00717584" w14:paraId="02A6F548" w14:textId="77777777">
        <w:tc>
          <w:tcPr>
            <w:tcW w:w="0" w:type="auto"/>
          </w:tcPr>
          <w:p w14:paraId="35801F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F4F8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7BB679" w14:textId="77777777" w:rsidR="00000000" w:rsidRPr="00BE00C7" w:rsidRDefault="00000000" w:rsidP="00BE00C7">
            <w:pPr>
              <w:pStyle w:val="OutcomeDescription"/>
              <w:spacing w:before="120" w:after="120"/>
              <w:rPr>
                <w:rFonts w:cs="Arial"/>
                <w:lang w:eastAsia="en-NZ"/>
              </w:rPr>
            </w:pPr>
          </w:p>
        </w:tc>
        <w:tc>
          <w:tcPr>
            <w:tcW w:w="0" w:type="auto"/>
          </w:tcPr>
          <w:p w14:paraId="3D1441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1C34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Ltd and the Golden Healthcare Group were aware of their responsibilities under the Code of Health and Disability Services Consumers’ Rights (the Code) and have policies and procedures in place to ensure these are respected. Staff interviewed understood the requirements of the Code, including the right to self-determination (mana motuhake) and were observed supporting residents in accordance with their wishes.  </w:t>
            </w:r>
          </w:p>
          <w:p w14:paraId="4E19B03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 and whānau interviewed reported being made aware of the Code and the Nationwide Health and Disability Advocacy Service (Advocacy Service) and were provided with opportunities to discuss and clarify their rights.</w:t>
            </w:r>
          </w:p>
          <w:p w14:paraId="4A88F189" w14:textId="77777777" w:rsidR="00000000" w:rsidRPr="00BE00C7" w:rsidRDefault="00000000" w:rsidP="00BE00C7">
            <w:pPr>
              <w:pStyle w:val="OutcomeDescription"/>
              <w:spacing w:before="120" w:after="120"/>
              <w:rPr>
                <w:rFonts w:cs="Arial"/>
                <w:lang w:eastAsia="en-NZ"/>
              </w:rPr>
            </w:pPr>
          </w:p>
        </w:tc>
      </w:tr>
      <w:tr w:rsidR="00717584" w14:paraId="6262FD38" w14:textId="77777777">
        <w:tc>
          <w:tcPr>
            <w:tcW w:w="0" w:type="auto"/>
          </w:tcPr>
          <w:p w14:paraId="5A1C7C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1EDE1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DF5BDB2" w14:textId="77777777" w:rsidR="00000000" w:rsidRPr="00BE00C7" w:rsidRDefault="00000000" w:rsidP="00BE00C7">
            <w:pPr>
              <w:pStyle w:val="OutcomeDescription"/>
              <w:spacing w:before="120" w:after="120"/>
              <w:rPr>
                <w:rFonts w:cs="Arial"/>
                <w:lang w:eastAsia="en-NZ"/>
              </w:rPr>
            </w:pPr>
          </w:p>
        </w:tc>
        <w:tc>
          <w:tcPr>
            <w:tcW w:w="0" w:type="auto"/>
          </w:tcPr>
          <w:p w14:paraId="077B38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27AA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Somerfield supported residents in a way that is inclusive and respects their identity and experiences. A resident and whānau interviewed confirmed residents, including people with disabilities, received services in a manner that has regard for their dignity, gender, privacy, sexual orientation, spirituality and choices.  </w:t>
            </w:r>
          </w:p>
          <w:p w14:paraId="15C8F1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or share a room with another person </w:t>
            </w:r>
            <w:r w:rsidRPr="00BE00C7">
              <w:rPr>
                <w:rFonts w:cs="Arial"/>
                <w:lang w:eastAsia="en-NZ"/>
              </w:rPr>
              <w:lastRenderedPageBreak/>
              <w:t xml:space="preserve">with their consent.  </w:t>
            </w:r>
          </w:p>
          <w:p w14:paraId="58DFB2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policy and education of staff.  Bilingual signage was evident throughout the facility, and key resident information, such as the Code of Rights, was displayed in te reo Māori.  </w:t>
            </w:r>
          </w:p>
          <w:p w14:paraId="18D0E5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undertaken training in Te Tiriti o Waitangi and understood the principles and how to apply these in their daily work.  Cultural resources and support for staff are available.</w:t>
            </w:r>
          </w:p>
          <w:p w14:paraId="20EED3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were responded to, including their participation in te ao Māori.</w:t>
            </w:r>
          </w:p>
          <w:p w14:paraId="0545D0AC" w14:textId="77777777" w:rsidR="00000000" w:rsidRPr="00BE00C7" w:rsidRDefault="00000000" w:rsidP="00BE00C7">
            <w:pPr>
              <w:pStyle w:val="OutcomeDescription"/>
              <w:spacing w:before="120" w:after="120"/>
              <w:rPr>
                <w:rFonts w:cs="Arial"/>
                <w:lang w:eastAsia="en-NZ"/>
              </w:rPr>
            </w:pPr>
          </w:p>
        </w:tc>
      </w:tr>
      <w:tr w:rsidR="00717584" w14:paraId="75ADC7B0" w14:textId="77777777">
        <w:tc>
          <w:tcPr>
            <w:tcW w:w="0" w:type="auto"/>
          </w:tcPr>
          <w:p w14:paraId="0A994A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5B9AB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F95AF0" w14:textId="77777777" w:rsidR="00000000" w:rsidRPr="00BE00C7" w:rsidRDefault="00000000" w:rsidP="00BE00C7">
            <w:pPr>
              <w:pStyle w:val="OutcomeDescription"/>
              <w:spacing w:before="120" w:after="120"/>
              <w:rPr>
                <w:rFonts w:cs="Arial"/>
                <w:lang w:eastAsia="en-NZ"/>
              </w:rPr>
            </w:pPr>
          </w:p>
        </w:tc>
        <w:tc>
          <w:tcPr>
            <w:tcW w:w="0" w:type="auto"/>
          </w:tcPr>
          <w:p w14:paraId="2F2265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867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There were no examples of discrimination, coercion or harassment identified during the audit through staff, resident, whānau and Enduring Power of Attorney (EPOA) interviews, or in documentation reviewed.   </w:t>
            </w:r>
          </w:p>
          <w:p w14:paraId="389D4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property was labelled on admission; A resident, whānau and EPOA interviewed reported that residents’ property was respected and well cared for. Resident finances are protected, and staff do not handle residents’ money. </w:t>
            </w:r>
          </w:p>
          <w:p w14:paraId="04BA13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were maintained by staff.  Staff interviewed felt comfortable in raising any concerns in relation to institutional and systemic racism and that any concerns would be acted upon.  </w:t>
            </w:r>
          </w:p>
          <w:p w14:paraId="7190FE80"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provision was holistic, encompassing the pillars of Te Whare Tapa Whā, and is based on the identified strengths of residents. Wellbeing outcomes for all residents, including Māori, are evaluated as part of the assessment and care planning process six-monthly in order to ensure the needs of residents are met.</w:t>
            </w:r>
          </w:p>
          <w:p w14:paraId="628078F9" w14:textId="77777777" w:rsidR="00000000" w:rsidRPr="00BE00C7" w:rsidRDefault="00000000" w:rsidP="00BE00C7">
            <w:pPr>
              <w:pStyle w:val="OutcomeDescription"/>
              <w:spacing w:before="120" w:after="120"/>
              <w:rPr>
                <w:rFonts w:cs="Arial"/>
                <w:lang w:eastAsia="en-NZ"/>
              </w:rPr>
            </w:pPr>
          </w:p>
        </w:tc>
      </w:tr>
      <w:tr w:rsidR="00717584" w14:paraId="0A54B5AD" w14:textId="77777777">
        <w:tc>
          <w:tcPr>
            <w:tcW w:w="0" w:type="auto"/>
          </w:tcPr>
          <w:p w14:paraId="26D2A5F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7A35FE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47DB56E" w14:textId="77777777" w:rsidR="00000000" w:rsidRPr="00BE00C7" w:rsidRDefault="00000000" w:rsidP="00BE00C7">
            <w:pPr>
              <w:pStyle w:val="OutcomeDescription"/>
              <w:spacing w:before="120" w:after="120"/>
              <w:rPr>
                <w:rFonts w:cs="Arial"/>
                <w:lang w:eastAsia="en-NZ"/>
              </w:rPr>
            </w:pPr>
          </w:p>
        </w:tc>
        <w:tc>
          <w:tcPr>
            <w:tcW w:w="0" w:type="auto"/>
          </w:tcPr>
          <w:p w14:paraId="65A5E9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F1D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w:t>
            </w:r>
            <w:r w:rsidRPr="00BE00C7">
              <w:rPr>
                <w:rFonts w:cs="Arial"/>
                <w:lang w:eastAsia="en-NZ"/>
              </w:rPr>
              <w:lastRenderedPageBreak/>
              <w:t xml:space="preserve">communicated to EPOA and whānau in a timely manner.  Where other agencies were involved in care, communication had occurred. The general practitioner interviewed stated communication from staff was appropriate, timely and included all relevant information. </w:t>
            </w:r>
          </w:p>
          <w:p w14:paraId="60C94F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5F45A5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2A39E6B7" w14:textId="77777777" w:rsidR="00000000" w:rsidRPr="00BE00C7" w:rsidRDefault="00000000" w:rsidP="00BE00C7">
            <w:pPr>
              <w:pStyle w:val="OutcomeDescription"/>
              <w:spacing w:before="120" w:after="120"/>
              <w:rPr>
                <w:rFonts w:cs="Arial"/>
                <w:lang w:eastAsia="en-NZ"/>
              </w:rPr>
            </w:pPr>
          </w:p>
        </w:tc>
      </w:tr>
      <w:tr w:rsidR="00717584" w14:paraId="40E6C293" w14:textId="77777777">
        <w:tc>
          <w:tcPr>
            <w:tcW w:w="0" w:type="auto"/>
          </w:tcPr>
          <w:p w14:paraId="6ECA74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7DE9D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25F4E45" w14:textId="77777777" w:rsidR="00000000" w:rsidRPr="00BE00C7" w:rsidRDefault="00000000" w:rsidP="00BE00C7">
            <w:pPr>
              <w:pStyle w:val="OutcomeDescription"/>
              <w:spacing w:before="120" w:after="120"/>
              <w:rPr>
                <w:rFonts w:cs="Arial"/>
                <w:lang w:eastAsia="en-NZ"/>
              </w:rPr>
            </w:pPr>
          </w:p>
        </w:tc>
        <w:tc>
          <w:tcPr>
            <w:tcW w:w="0" w:type="auto"/>
          </w:tcPr>
          <w:p w14:paraId="7D4A8D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2BD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legal representative are provided with the information necessary to make informed decisions. With the consent of the resident, whānau were included in decision-making. The resident, whānau and EPOA interviewed felt empowered to actively participate in decision-making. Nursing and care staff interviewed understood the principles and practice of informed consent and described involving residents and whānau in the process. Tikanga guidelines were available to support staff when working with Māori residents and whānau; these were known to staff. </w:t>
            </w:r>
          </w:p>
          <w:p w14:paraId="1D116528"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are documented, as relevant, in the resident’s record.  All residents in the Somerfield House secure dementia units have a documented EPOA or welfare guardian on file that has been activated by an appropriate medical practitioner.</w:t>
            </w:r>
          </w:p>
          <w:p w14:paraId="3F628074" w14:textId="77777777" w:rsidR="00000000" w:rsidRPr="00BE00C7" w:rsidRDefault="00000000" w:rsidP="00BE00C7">
            <w:pPr>
              <w:pStyle w:val="OutcomeDescription"/>
              <w:spacing w:before="120" w:after="120"/>
              <w:rPr>
                <w:rFonts w:cs="Arial"/>
                <w:lang w:eastAsia="en-NZ"/>
              </w:rPr>
            </w:pPr>
          </w:p>
        </w:tc>
      </w:tr>
      <w:tr w:rsidR="00717584" w14:paraId="0DEF6831" w14:textId="77777777">
        <w:tc>
          <w:tcPr>
            <w:tcW w:w="0" w:type="auto"/>
          </w:tcPr>
          <w:p w14:paraId="6FC352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33FDA5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3A7916C" w14:textId="77777777" w:rsidR="00000000" w:rsidRPr="00BE00C7" w:rsidRDefault="00000000" w:rsidP="00BE00C7">
            <w:pPr>
              <w:pStyle w:val="OutcomeDescription"/>
              <w:spacing w:before="120" w:after="120"/>
              <w:rPr>
                <w:rFonts w:cs="Arial"/>
                <w:lang w:eastAsia="en-NZ"/>
              </w:rPr>
            </w:pPr>
          </w:p>
        </w:tc>
        <w:tc>
          <w:tcPr>
            <w:tcW w:w="0" w:type="auto"/>
          </w:tcPr>
          <w:p w14:paraId="3E82AB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0BBA09"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that leads to improvements.  This meets the requirements of the Code.</w:t>
            </w:r>
          </w:p>
          <w:p w14:paraId="7AECB18D"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EPOA understood their right to make a complaint and knew how to do so. Complaint forms and a box were at reception in each of the units.</w:t>
            </w:r>
          </w:p>
          <w:p w14:paraId="656456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was available in te reo Māori and English.</w:t>
            </w:r>
          </w:p>
          <w:p w14:paraId="555B06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 review of the complaints register showed actions taken, through to </w:t>
            </w:r>
            <w:r w:rsidRPr="00BE00C7">
              <w:rPr>
                <w:rFonts w:cs="Arial"/>
                <w:lang w:eastAsia="en-NZ"/>
              </w:rPr>
              <w:lastRenderedPageBreak/>
              <w:t xml:space="preserve">an agreed resolution, were documented and completed within the required timeframes.  </w:t>
            </w:r>
          </w:p>
          <w:p w14:paraId="201410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Complainants had been informed of findings following investigation. </w:t>
            </w:r>
          </w:p>
          <w:p w14:paraId="3CBA55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There have been no complaints received from external sources since the previous audit.  </w:t>
            </w:r>
          </w:p>
          <w:p w14:paraId="53611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Staff reported they knew what to do should they receive a complaint. The care home manager is responsible for complaints management and follow-up within their area. Quality improvements following complaints include staff training.</w:t>
            </w:r>
          </w:p>
          <w:p w14:paraId="4F1DF7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QAM reported, and documentation evidenced, that a translator and the cultural advisor who identified as Māori would be available to support people if needed. There have been no complaints received by Māori to date. </w:t>
            </w:r>
          </w:p>
          <w:p w14:paraId="4B9AF2AE"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person who identifies as Māori and speaks te reo would be available to support the people concerned if needed.</w:t>
            </w:r>
          </w:p>
          <w:p w14:paraId="125CD1F5" w14:textId="77777777" w:rsidR="00000000" w:rsidRPr="00BE00C7" w:rsidRDefault="00000000" w:rsidP="00BE00C7">
            <w:pPr>
              <w:pStyle w:val="OutcomeDescription"/>
              <w:spacing w:before="120" w:after="120"/>
              <w:rPr>
                <w:rFonts w:cs="Arial"/>
                <w:lang w:eastAsia="en-NZ"/>
              </w:rPr>
            </w:pPr>
          </w:p>
        </w:tc>
      </w:tr>
      <w:tr w:rsidR="00717584" w14:paraId="6D090079" w14:textId="77777777">
        <w:tc>
          <w:tcPr>
            <w:tcW w:w="0" w:type="auto"/>
          </w:tcPr>
          <w:p w14:paraId="347CDE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57149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60CE638" w14:textId="77777777" w:rsidR="00000000" w:rsidRPr="00BE00C7" w:rsidRDefault="00000000" w:rsidP="00BE00C7">
            <w:pPr>
              <w:pStyle w:val="OutcomeDescription"/>
              <w:spacing w:before="120" w:after="120"/>
              <w:rPr>
                <w:rFonts w:cs="Arial"/>
                <w:lang w:eastAsia="en-NZ"/>
              </w:rPr>
            </w:pPr>
          </w:p>
        </w:tc>
        <w:tc>
          <w:tcPr>
            <w:tcW w:w="0" w:type="auto"/>
          </w:tcPr>
          <w:p w14:paraId="47E8D2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DC8E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Lifecare has a legal team who monitor changes to legislative and clinical requirements and have access to domestic and international legal advice.</w:t>
            </w:r>
          </w:p>
          <w:p w14:paraId="2D40E5B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infection prevention and control). Heritage Lifecare also utilises the skills of staff and senior managers and supports them in making sure barriers to equitable service delivery are surmounted.</w:t>
            </w:r>
          </w:p>
          <w:p w14:paraId="2DB8F1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a strategic plan in place which outlines the </w:t>
            </w:r>
            <w:r w:rsidRPr="00BE00C7">
              <w:rPr>
                <w:rFonts w:cs="Arial"/>
                <w:lang w:eastAsia="en-NZ"/>
              </w:rPr>
              <w:lastRenderedPageBreak/>
              <w:t>organisation’s structure, purpose, values, scope, direction, performance, and goals. The plan incorporates the Ngā Paerewa Standard in relation to antimicrobial stewardship (AMS) and restraint elimination across ethnicity. Ethnicity data is collected to support equitable service delivery.</w:t>
            </w:r>
          </w:p>
          <w:p w14:paraId="2B0FBD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the care home manager (CHM), who has a background in business operations management and has worked at this facility since July 2024. The CHM is supported by the clinical services manager, who is an experienced RN and was previously the unit co-ordinator at Somerfield. The CSM shares responsibility with a local Heritage facility. </w:t>
            </w:r>
          </w:p>
          <w:p w14:paraId="15ED31C1" w14:textId="77777777" w:rsidR="00000000" w:rsidRPr="00BE00C7" w:rsidRDefault="00000000" w:rsidP="00BE00C7">
            <w:pPr>
              <w:pStyle w:val="OutcomeDescription"/>
              <w:spacing w:before="120" w:after="120"/>
              <w:rPr>
                <w:rFonts w:cs="Arial"/>
                <w:lang w:eastAsia="en-NZ"/>
              </w:rPr>
            </w:pPr>
            <w:r w:rsidRPr="00BE00C7">
              <w:rPr>
                <w:rFonts w:cs="Arial"/>
                <w:lang w:eastAsia="en-NZ"/>
              </w:rPr>
              <w:t>Somerfield has its own business plan, which was sighted. Evidence was sighted of quarterly reporting. Governance and the senior leadership team commits to quality and risk via policy, processes and through feedback mechanisms. This includes receiving regular information from each of its care facilities. The HLL reporting structure relies on information from its strategic plan to inform facility-based business plans. Internal data collection (e.g., adverse events, infections, audits, and complaints) are aggregated and corrective action (at facility and organisation level, as applicable) actioned. Feedback is to the clinical governance group and to the board. Changes are made to business and/or the strategic plans as required.</w:t>
            </w:r>
          </w:p>
          <w:p w14:paraId="479A75A8" w14:textId="77777777" w:rsidR="00000000" w:rsidRPr="00BE00C7" w:rsidRDefault="00000000" w:rsidP="00BE00C7">
            <w:pPr>
              <w:pStyle w:val="OutcomeDescription"/>
              <w:spacing w:before="120" w:after="120"/>
              <w:rPr>
                <w:rFonts w:cs="Arial"/>
                <w:lang w:eastAsia="en-NZ"/>
              </w:rPr>
            </w:pPr>
            <w:r w:rsidRPr="00BE00C7">
              <w:rPr>
                <w:rFonts w:cs="Arial"/>
                <w:lang w:eastAsia="en-NZ"/>
              </w:rPr>
              <w:t>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they look for the ‘right people in the right place’ and aim to keep them in place for a longer period to promote stability. They also use feedback from cultural advisers, including the Māori Network Komiti, to inform workforce planning, sensitive and appropriate collection and use of ethnicity data, and how it can support its ethnically diverse staff.</w:t>
            </w:r>
          </w:p>
          <w:p w14:paraId="0BA07EE2"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supports people to participate locally through resident meetings, and through satisfaction surveys. There is also a staff satisfaction survey for a wider view of how residents and staff are being supported. Results of both are used to improve services.</w:t>
            </w:r>
          </w:p>
          <w:p w14:paraId="273057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Directors of HLL have undertaken the e-learning education on Te Tiriti, health equity, and cultural safety provided by the Manatū Hauora.</w:t>
            </w:r>
          </w:p>
          <w:p w14:paraId="048E3B17" w14:textId="77777777" w:rsidR="00000000" w:rsidRPr="00BE00C7" w:rsidRDefault="00000000" w:rsidP="00BE00C7">
            <w:pPr>
              <w:pStyle w:val="OutcomeDescription"/>
              <w:spacing w:before="120" w:after="120"/>
              <w:rPr>
                <w:rFonts w:cs="Arial"/>
                <w:lang w:eastAsia="en-NZ"/>
              </w:rPr>
            </w:pPr>
            <w:r w:rsidRPr="00BE00C7">
              <w:rPr>
                <w:rFonts w:cs="Arial"/>
                <w:lang w:eastAsia="en-NZ"/>
              </w:rPr>
              <w:t>Somerfield holds contracts with Te Whatu Ora Waitaha Canterbury to provide dementia level care under the age-related residential care agreement (ARRC) for up to 39 residents.  Thirty-one residents were receiving care on the day of the audit.</w:t>
            </w:r>
          </w:p>
          <w:p w14:paraId="5F7D829F" w14:textId="77777777" w:rsidR="00000000" w:rsidRPr="00BE00C7" w:rsidRDefault="00000000" w:rsidP="00BE00C7">
            <w:pPr>
              <w:pStyle w:val="OutcomeDescription"/>
              <w:spacing w:before="120" w:after="120"/>
              <w:rPr>
                <w:rFonts w:cs="Arial"/>
                <w:lang w:eastAsia="en-NZ"/>
              </w:rPr>
            </w:pPr>
          </w:p>
        </w:tc>
      </w:tr>
      <w:tr w:rsidR="00717584" w14:paraId="4D8F6F53" w14:textId="77777777">
        <w:tc>
          <w:tcPr>
            <w:tcW w:w="0" w:type="auto"/>
          </w:tcPr>
          <w:p w14:paraId="0D6425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066A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F35D4AB" w14:textId="77777777" w:rsidR="00000000" w:rsidRPr="00BE00C7" w:rsidRDefault="00000000" w:rsidP="00BE00C7">
            <w:pPr>
              <w:pStyle w:val="OutcomeDescription"/>
              <w:spacing w:before="120" w:after="120"/>
              <w:rPr>
                <w:rFonts w:cs="Arial"/>
                <w:lang w:eastAsia="en-NZ"/>
              </w:rPr>
            </w:pPr>
          </w:p>
        </w:tc>
        <w:tc>
          <w:tcPr>
            <w:tcW w:w="0" w:type="auto"/>
          </w:tcPr>
          <w:p w14:paraId="5F2C7B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92DB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Somerfield uses the HLL’s planned quality and risk system, which reflects the principles of continuous quality improvement. This includes HLL organisation-wide policies and procedures, the management of complaints, internal audit activities, health and safety reviews, regular resident satisfaction surveys, monitoring against key performance indicators, reporting and review of accidents and incidents, and monitoring of clinical events such as infections. </w:t>
            </w:r>
          </w:p>
          <w:p w14:paraId="450BA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staff contribute to quality improvement through meetings and staff attendance at education/training, meetings and surveys, and reporting issues of concern. Resident meeting minutes, including the resident advocacy meeting minutes, were reviewed. </w:t>
            </w:r>
          </w:p>
          <w:p w14:paraId="6B447B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last next of kin survey was completed in May 2024, with results above average. The QAM reported that an action plan is being developed and the results will be included in the next newsletter. Positive comments about the meals were noted.</w:t>
            </w:r>
          </w:p>
          <w:p w14:paraId="3D3BE1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last staff survey was completed during August 2024. The QAM reported that the results were above average and that a plan is in place to share the results with the staff. </w:t>
            </w:r>
          </w:p>
          <w:p w14:paraId="3D456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QAM coordinates the quality and risk system for all Golden Healthcare Group facilities. A sample of quality and risk-related meeting minutes were reviewed and confirmed there has been regular review and analysis of quality indicators, and that related information is reported and discussed. A sample of meeting minutes evidenced comprehensive reporting. </w:t>
            </w:r>
          </w:p>
          <w:p w14:paraId="29E590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improvement initiatives include the redecoration of the reception area and the early stages of the development of a cultural </w:t>
            </w:r>
            <w:r w:rsidRPr="00BE00C7">
              <w:rPr>
                <w:rFonts w:cs="Arial"/>
                <w:lang w:eastAsia="en-NZ"/>
              </w:rPr>
              <w:lastRenderedPageBreak/>
              <w:t>lounge reflecting the resident’s heritage.</w:t>
            </w:r>
          </w:p>
          <w:p w14:paraId="66E592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contractual requirements and were current. </w:t>
            </w:r>
          </w:p>
          <w:p w14:paraId="103CEE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internal audit schedule was sighted. Completed audits include cleaning, environmental, emergency equipment, infection prevent and control, kitchen, laundry, medication, and restraint. Relevant corrective actions are developed and implemented to address any shortfalls. Progress against quality outcomes was evaluated. </w:t>
            </w:r>
          </w:p>
          <w:p w14:paraId="0C92C6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QAM described the processes for the identification, documentation, monitoring, review and reporting of risks, including health and safety risks, and the development of mitigation strategies. Staff reported at interview that they knew to report risks. </w:t>
            </w:r>
          </w:p>
          <w:p w14:paraId="75E54B7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A sample of incident forms reviewed showed these were fully completed, incidents were investigated, action plans developed, and actions followed up in a timely manner. Evidence was sighted that resident-related incidents are being disclosed with the designated next of kin. The National Adverse Events Reporting Policy is followed, with corrective actions supporting systems learnings.</w:t>
            </w:r>
          </w:p>
          <w:p w14:paraId="788CA2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 Section 31 notifications were sighted for the change of CHM and clinical services manager (CSM).</w:t>
            </w:r>
          </w:p>
          <w:p w14:paraId="46447C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CHM reported that there have been no police investigations, coroner’s inquests, issues-based audits or employment disputes since the previous audit.</w:t>
            </w:r>
          </w:p>
          <w:p w14:paraId="4C6EB12A" w14:textId="77777777" w:rsidR="00000000" w:rsidRPr="00BE00C7" w:rsidRDefault="00000000" w:rsidP="00BE00C7">
            <w:pPr>
              <w:pStyle w:val="OutcomeDescription"/>
              <w:spacing w:before="120" w:after="120"/>
              <w:rPr>
                <w:rFonts w:cs="Arial"/>
                <w:lang w:eastAsia="en-NZ"/>
              </w:rPr>
            </w:pPr>
          </w:p>
        </w:tc>
      </w:tr>
      <w:tr w:rsidR="00717584" w14:paraId="113B71E3" w14:textId="77777777">
        <w:tc>
          <w:tcPr>
            <w:tcW w:w="0" w:type="auto"/>
          </w:tcPr>
          <w:p w14:paraId="12AE9F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02B49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27B16696" w14:textId="77777777" w:rsidR="00000000" w:rsidRPr="00BE00C7" w:rsidRDefault="00000000" w:rsidP="00BE00C7">
            <w:pPr>
              <w:pStyle w:val="OutcomeDescription"/>
              <w:spacing w:before="120" w:after="120"/>
              <w:rPr>
                <w:rFonts w:cs="Arial"/>
                <w:lang w:eastAsia="en-NZ"/>
              </w:rPr>
            </w:pPr>
          </w:p>
        </w:tc>
        <w:tc>
          <w:tcPr>
            <w:tcW w:w="0" w:type="auto"/>
          </w:tcPr>
          <w:p w14:paraId="5BB963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2946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w:t>
            </w:r>
          </w:p>
          <w:p w14:paraId="3486B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RNs on duty eight hours per day, seven days per week (24/7), and there is a first aid certified staff member on duty 24/7.</w:t>
            </w:r>
          </w:p>
          <w:p w14:paraId="2F264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w:t>
            </w:r>
            <w:r w:rsidRPr="00BE00C7">
              <w:rPr>
                <w:rFonts w:cs="Arial"/>
                <w:lang w:eastAsia="en-NZ"/>
              </w:rPr>
              <w:lastRenderedPageBreak/>
              <w:t>residents. Care staff reported there were sufficient staff to complete the work allocated to them. Family/ whānau interviewed supported this.</w:t>
            </w:r>
          </w:p>
          <w:p w14:paraId="69CA67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staff who have worked in this care home for between four months and twenty years.</w:t>
            </w:r>
          </w:p>
          <w:p w14:paraId="14F65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afterhours on-call system is in place, with the RNs sharing on-call 24/7. Staff reported that good access to advice is available when needed.   </w:t>
            </w:r>
          </w:p>
          <w:p w14:paraId="4932F4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Bureau staff have been used to cover RN shortages. </w:t>
            </w:r>
          </w:p>
          <w:p w14:paraId="42E89B3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Related competencies are assessed and support equitable service delivery. Care staff have access to a New Zealand Qualification Authority education programme to meet the requirements of the provider’s agreements with Te Whatu Ora Waitaha Canterbury.</w:t>
            </w:r>
          </w:p>
          <w:p w14:paraId="7097CAD9"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Seventeen health care assistants working in the dementia unit have completed the required standard units. Five staff are either to be enrolled or have commenced the training.</w:t>
            </w:r>
          </w:p>
          <w:p w14:paraId="0A4DCB51"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Meetings are held with the resident and their family/whānau to discuss and sign care plans. Resident and family/whānau advocacy meetings are held monthly, chaired by the cultural advisor, and are an opportunity for people to discuss and express opinions on aspects of the service. Positive comments regarding the meals were noted in the minutes.</w:t>
            </w:r>
          </w:p>
          <w:p w14:paraId="657D85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QAM reported that Somerfield is building on its own knowledge through cultural training, communication with the resident and family/whānau and learning te reo Māori. For example, staff and managers reported the use of te reo Māori in language, signage and email greetings.</w:t>
            </w:r>
          </w:p>
          <w:p w14:paraId="1B856C45" w14:textId="77777777" w:rsidR="00000000" w:rsidRPr="00BE00C7" w:rsidRDefault="00000000" w:rsidP="00BE00C7">
            <w:pPr>
              <w:pStyle w:val="OutcomeDescription"/>
              <w:spacing w:before="120" w:after="120"/>
              <w:rPr>
                <w:rFonts w:cs="Arial"/>
                <w:lang w:eastAsia="en-NZ"/>
              </w:rPr>
            </w:pPr>
            <w:r w:rsidRPr="00BE00C7">
              <w:rPr>
                <w:rFonts w:cs="Arial"/>
                <w:lang w:eastAsia="en-NZ"/>
              </w:rPr>
              <w:t>High-quality Māori health information is accessed and used to support training and development programmes, policy development, and care delivery.</w:t>
            </w:r>
          </w:p>
          <w:p w14:paraId="689745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QAM reported that, where health equity expertise is not available, external agencies are contacted. For example, Te Whatu Ora Waitaha </w:t>
            </w:r>
            <w:r w:rsidRPr="00BE00C7">
              <w:rPr>
                <w:rFonts w:cs="Arial"/>
                <w:lang w:eastAsia="en-NZ"/>
              </w:rPr>
              <w:lastRenderedPageBreak/>
              <w:t>Canterbury gerontology staff.</w:t>
            </w:r>
          </w:p>
          <w:p w14:paraId="0E5795B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w:t>
            </w:r>
          </w:p>
          <w:p w14:paraId="51179852" w14:textId="77777777" w:rsidR="00000000" w:rsidRPr="00BE00C7" w:rsidRDefault="00000000" w:rsidP="00BE00C7">
            <w:pPr>
              <w:pStyle w:val="OutcomeDescription"/>
              <w:spacing w:before="120" w:after="120"/>
              <w:rPr>
                <w:rFonts w:cs="Arial"/>
                <w:lang w:eastAsia="en-NZ"/>
              </w:rPr>
            </w:pPr>
          </w:p>
        </w:tc>
      </w:tr>
      <w:tr w:rsidR="00717584" w14:paraId="48246BCB" w14:textId="77777777">
        <w:tc>
          <w:tcPr>
            <w:tcW w:w="0" w:type="auto"/>
          </w:tcPr>
          <w:p w14:paraId="308CBA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1E534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127D9F7" w14:textId="77777777" w:rsidR="00000000" w:rsidRPr="00BE00C7" w:rsidRDefault="00000000" w:rsidP="00BE00C7">
            <w:pPr>
              <w:pStyle w:val="OutcomeDescription"/>
              <w:spacing w:before="120" w:after="120"/>
              <w:rPr>
                <w:rFonts w:cs="Arial"/>
                <w:lang w:eastAsia="en-NZ"/>
              </w:rPr>
            </w:pPr>
          </w:p>
        </w:tc>
        <w:tc>
          <w:tcPr>
            <w:tcW w:w="0" w:type="auto"/>
          </w:tcPr>
          <w:p w14:paraId="20E1C0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ABA446"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nine staff records reviewed confirmed the organisation’s policies are being consistently implemented.  Job descriptions were documented for each role. Professional qualifications and registration (where applicable) had been validated prior to employment. Current annual practicing certificates were sighted.</w:t>
            </w:r>
          </w:p>
          <w:p w14:paraId="46C9B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orientation programme prepared them well for the role, and evidence of this was seen in files reviewed.  Opportunities to discuss and review performance occur following appointment and yearly thereafter, as confirmed in records reviewed. </w:t>
            </w:r>
          </w:p>
          <w:p w14:paraId="43C4FEC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performance is reviewed and discussed at regular intervals. Completed reviews were sighted.</w:t>
            </w:r>
          </w:p>
          <w:p w14:paraId="776ED6A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722CE37C"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support is available to them.</w:t>
            </w:r>
          </w:p>
          <w:p w14:paraId="3F1FF5C5" w14:textId="77777777" w:rsidR="00000000" w:rsidRPr="00BE00C7" w:rsidRDefault="00000000" w:rsidP="00BE00C7">
            <w:pPr>
              <w:pStyle w:val="OutcomeDescription"/>
              <w:spacing w:before="120" w:after="120"/>
              <w:rPr>
                <w:rFonts w:cs="Arial"/>
                <w:lang w:eastAsia="en-NZ"/>
              </w:rPr>
            </w:pPr>
          </w:p>
        </w:tc>
      </w:tr>
      <w:tr w:rsidR="00717584" w14:paraId="1FB4A956" w14:textId="77777777">
        <w:tc>
          <w:tcPr>
            <w:tcW w:w="0" w:type="auto"/>
          </w:tcPr>
          <w:p w14:paraId="384833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4F7E5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53BFC73" w14:textId="77777777" w:rsidR="00000000" w:rsidRPr="00BE00C7" w:rsidRDefault="00000000" w:rsidP="00BE00C7">
            <w:pPr>
              <w:pStyle w:val="OutcomeDescription"/>
              <w:spacing w:before="120" w:after="120"/>
              <w:rPr>
                <w:rFonts w:cs="Arial"/>
                <w:lang w:eastAsia="en-NZ"/>
              </w:rPr>
            </w:pPr>
          </w:p>
        </w:tc>
        <w:tc>
          <w:tcPr>
            <w:tcW w:w="0" w:type="auto"/>
          </w:tcPr>
          <w:p w14:paraId="1950BB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3D4F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password protected. Any paper-based records are held securely, available only to authorised users.</w:t>
            </w:r>
          </w:p>
          <w:p w14:paraId="5011E9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are integrated electronic and hard copy files. Files for residents and staff are held securely for the required period before being destroyed. No personal or private resident information was on </w:t>
            </w:r>
            <w:r w:rsidRPr="00BE00C7">
              <w:rPr>
                <w:rFonts w:cs="Arial"/>
                <w:lang w:eastAsia="en-NZ"/>
              </w:rPr>
              <w:lastRenderedPageBreak/>
              <w:t>public display during the audit.</w:t>
            </w:r>
          </w:p>
          <w:p w14:paraId="5A41442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are sighted for data collection. Data collected includes ethnicity data.</w:t>
            </w:r>
          </w:p>
          <w:p w14:paraId="14DFE74E" w14:textId="77777777" w:rsidR="00000000" w:rsidRPr="00BE00C7" w:rsidRDefault="00000000" w:rsidP="00BE00C7">
            <w:pPr>
              <w:pStyle w:val="OutcomeDescription"/>
              <w:spacing w:before="120" w:after="120"/>
              <w:rPr>
                <w:rFonts w:cs="Arial"/>
                <w:lang w:eastAsia="en-NZ"/>
              </w:rPr>
            </w:pPr>
            <w:r w:rsidRPr="00BE00C7">
              <w:rPr>
                <w:rFonts w:cs="Arial"/>
                <w:lang w:eastAsia="en-NZ"/>
              </w:rPr>
              <w:t>Somerfield is not responsible for National Health Index registration of people receiving services.</w:t>
            </w:r>
          </w:p>
          <w:p w14:paraId="6CB96716" w14:textId="77777777" w:rsidR="00000000" w:rsidRPr="00BE00C7" w:rsidRDefault="00000000" w:rsidP="00BE00C7">
            <w:pPr>
              <w:pStyle w:val="OutcomeDescription"/>
              <w:spacing w:before="120" w:after="120"/>
              <w:rPr>
                <w:rFonts w:cs="Arial"/>
                <w:lang w:eastAsia="en-NZ"/>
              </w:rPr>
            </w:pPr>
          </w:p>
        </w:tc>
      </w:tr>
      <w:tr w:rsidR="00717584" w14:paraId="05DF0AD2" w14:textId="77777777">
        <w:tc>
          <w:tcPr>
            <w:tcW w:w="0" w:type="auto"/>
          </w:tcPr>
          <w:p w14:paraId="70D102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D6987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470BDFE" w14:textId="77777777" w:rsidR="00000000" w:rsidRPr="00BE00C7" w:rsidRDefault="00000000" w:rsidP="00BE00C7">
            <w:pPr>
              <w:pStyle w:val="OutcomeDescription"/>
              <w:spacing w:before="120" w:after="120"/>
              <w:rPr>
                <w:rFonts w:cs="Arial"/>
                <w:lang w:eastAsia="en-NZ"/>
              </w:rPr>
            </w:pPr>
          </w:p>
        </w:tc>
        <w:tc>
          <w:tcPr>
            <w:tcW w:w="0" w:type="auto"/>
          </w:tcPr>
          <w:p w14:paraId="2435B9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166F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Residents were welcomed into Somerfield House when they had been assessed and confirmed by the local Needs Assessment and Service Coordination (NASC) agency. All residents admitted to the Somerfield House secure dementia units had a specialist’s authorisation for placement and were admitted with the consent of their EPOA or welfare guardian.   </w:t>
            </w:r>
          </w:p>
          <w:p w14:paraId="43B795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 and whānau/EPOA interviewed were satisfied with the admission process and the information that had been made available to them on admission.  </w:t>
            </w:r>
          </w:p>
          <w:p w14:paraId="74EFA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Enquiries are documented and, where a prospective resident is declined entry, there are processes for communicating the decision, although this rarely occurs. Related data is documented and analysis of entry and decline rates, including for Māori, is occurring.  </w:t>
            </w:r>
          </w:p>
          <w:p w14:paraId="2A089A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local Māori communities and organisations and supports Māori and their whānau when entering the service. There were currently no residents who had requested the services of a Māori health practitioner or traditional Māori healer. Māori staff at Somerfield can support residents and staff as needed.</w:t>
            </w:r>
          </w:p>
          <w:p w14:paraId="2715AEC9" w14:textId="77777777" w:rsidR="00000000" w:rsidRPr="00BE00C7" w:rsidRDefault="00000000" w:rsidP="00BE00C7">
            <w:pPr>
              <w:pStyle w:val="OutcomeDescription"/>
              <w:spacing w:before="120" w:after="120"/>
              <w:rPr>
                <w:rFonts w:cs="Arial"/>
                <w:lang w:eastAsia="en-NZ"/>
              </w:rPr>
            </w:pPr>
          </w:p>
        </w:tc>
      </w:tr>
      <w:tr w:rsidR="00717584" w14:paraId="3F22DF17" w14:textId="77777777">
        <w:tc>
          <w:tcPr>
            <w:tcW w:w="0" w:type="auto"/>
          </w:tcPr>
          <w:p w14:paraId="58AEDDC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77FCE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D16545F" w14:textId="77777777" w:rsidR="00000000" w:rsidRPr="00BE00C7" w:rsidRDefault="00000000" w:rsidP="00BE00C7">
            <w:pPr>
              <w:pStyle w:val="OutcomeDescription"/>
              <w:spacing w:before="120" w:after="120"/>
              <w:rPr>
                <w:rFonts w:cs="Arial"/>
                <w:lang w:eastAsia="en-NZ"/>
              </w:rPr>
            </w:pPr>
          </w:p>
        </w:tc>
        <w:tc>
          <w:tcPr>
            <w:tcW w:w="0" w:type="auto"/>
          </w:tcPr>
          <w:p w14:paraId="2CAF6B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C830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Six resident files were reviewed and </w:t>
            </w:r>
            <w:r w:rsidRPr="00BE00C7">
              <w:rPr>
                <w:rFonts w:cs="Arial"/>
                <w:lang w:eastAsia="en-NZ"/>
              </w:rPr>
              <w:lastRenderedPageBreak/>
              <w:t>verified that a registered nurse develops a plan of care to suit the resident’s needs following a comprehensive assessment. Assessments were based on a range of clinical assessments, including consideration of the person’s lived experience, cultural needs, values, and beliefs, and which included wider service integration, where required.</w:t>
            </w:r>
          </w:p>
          <w:p w14:paraId="7B005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Assessments included resident and whānau input (as applicable). Timeframes for the initial assessment, general practitioner input, initial care plan, long-term care plan, short-term care plans, and review/evaluation met contractual requirements. </w:t>
            </w:r>
          </w:p>
          <w:p w14:paraId="56410170"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Short-term care plans are developed, if necessary, and examples were sighted for infections and wound care. These are reviewed weekly, or earlier if clinically indicated. The stop and watch tool are used to document when a resident’s condition changes. Where progress was different from that expected, changes were made to the care plan in collaboration with the resident and/or whānau. The EPOA or welfare guardian is involved at every step of the assessment, care planning and review process for residents. Those interviewed confirmed active involvement, including for residents with a disability.</w:t>
            </w:r>
          </w:p>
          <w:p w14:paraId="16E1181B" w14:textId="77777777" w:rsidR="00000000" w:rsidRPr="00BE00C7" w:rsidRDefault="00000000" w:rsidP="00BE00C7">
            <w:pPr>
              <w:pStyle w:val="OutcomeDescription"/>
              <w:spacing w:before="120" w:after="120"/>
              <w:rPr>
                <w:rFonts w:cs="Arial"/>
                <w:lang w:eastAsia="en-NZ"/>
              </w:rPr>
            </w:pPr>
            <w:r w:rsidRPr="00BE00C7">
              <w:rPr>
                <w:rFonts w:cs="Arial"/>
                <w:lang w:eastAsia="en-NZ"/>
              </w:rPr>
              <w:t>When a resident’s needs change and Somerfield is no longer able to provide the level of care they require, for example, when a resident requires hospital level care, referral is made to the NASC for reassessment of needs and the EPOA and whānau assisted to find an appropriate facility. Examples of this occurring appropriately were sighted, and the general practitioner confirmed nurses identify when a resident’s needs change and they are called appropriately when needed.</w:t>
            </w:r>
          </w:p>
          <w:p w14:paraId="54668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need for residents and whānau, including Māori, to have input into their care and identify their own goals or outcomes. Nursing and medical review occurs, with resident and whānau input when possible. Residents and whānau are given choices and staff ensure they have access to information.  </w:t>
            </w:r>
          </w:p>
          <w:p w14:paraId="7C1485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Policies and processes were in place to ensure tāngata whaikaha and whānau participate in service development. Examples of choices and control over service delivery were discussed with staff, residents and whānau.  Tāngata whaikaha and whānau can independently access information.</w:t>
            </w:r>
          </w:p>
          <w:p w14:paraId="7F17624B" w14:textId="77777777" w:rsidR="00000000" w:rsidRPr="00BE00C7" w:rsidRDefault="00000000" w:rsidP="00FD682D">
            <w:pPr>
              <w:pStyle w:val="OutcomeDescription"/>
              <w:spacing w:before="120" w:after="120"/>
              <w:rPr>
                <w:rFonts w:cs="Arial"/>
                <w:lang w:eastAsia="en-NZ"/>
              </w:rPr>
            </w:pPr>
          </w:p>
        </w:tc>
      </w:tr>
      <w:tr w:rsidR="00717584" w14:paraId="2E29CC90" w14:textId="77777777">
        <w:tc>
          <w:tcPr>
            <w:tcW w:w="0" w:type="auto"/>
          </w:tcPr>
          <w:p w14:paraId="37D55B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F1DAD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0A4A76C" w14:textId="77777777" w:rsidR="00000000" w:rsidRPr="00BE00C7" w:rsidRDefault="00000000" w:rsidP="00BE00C7">
            <w:pPr>
              <w:pStyle w:val="OutcomeDescription"/>
              <w:spacing w:before="120" w:after="120"/>
              <w:rPr>
                <w:rFonts w:cs="Arial"/>
                <w:lang w:eastAsia="en-NZ"/>
              </w:rPr>
            </w:pPr>
          </w:p>
        </w:tc>
        <w:tc>
          <w:tcPr>
            <w:tcW w:w="0" w:type="auto"/>
          </w:tcPr>
          <w:p w14:paraId="47B798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5F5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at Somerfield is a strength of the service. An activities coordinator and two activities assistants provide an activities programme seven days a week that supports residents to maintain and develop their interests and was suitable for their age and stage of life. The activities coordinator is new to the role and is supported by a diversional therapist from another facility in the Golden Healthcare Group. Personal profiles, a person-centred summary and diversional therapy plans identify individual interests and consider the resident’s identity.  </w:t>
            </w:r>
          </w:p>
          <w:p w14:paraId="0AB16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based on diversional therapy needs and are aimed to maintain the residents’ current level of ability. A programme is developed based on the residents' interests and ordinary patterns of life and included normal community activities, such as organising visiting entertainers and Church services. A variety of activities were observed during the audit and included music, ball games, quizzes, visiting entertainers and pet therapy.  Quiet areas are available should the resident or whānau want time to themselves, the garden allows space for walking, and a men’s shed allows resident access to gardening tools. Caregivers assist in providing activity support 24 hours a day when the activities team are not present. </w:t>
            </w:r>
          </w:p>
          <w:p w14:paraId="51D3C9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Opportunities for Māori and whānau to participate in te ao Māori are facilitated. Community initiatives meet the needs of Māori.   </w:t>
            </w:r>
          </w:p>
          <w:p w14:paraId="44E0D152"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on the programme is provided through resident meetings and surveys.  Those interviewed confirmed they find the programme meets their needs.</w:t>
            </w:r>
          </w:p>
          <w:p w14:paraId="7FCB1D23" w14:textId="77777777" w:rsidR="00000000" w:rsidRPr="00BE00C7" w:rsidRDefault="00000000" w:rsidP="00BE00C7">
            <w:pPr>
              <w:pStyle w:val="OutcomeDescription"/>
              <w:spacing w:before="120" w:after="120"/>
              <w:rPr>
                <w:rFonts w:cs="Arial"/>
                <w:lang w:eastAsia="en-NZ"/>
              </w:rPr>
            </w:pPr>
          </w:p>
        </w:tc>
      </w:tr>
      <w:tr w:rsidR="00717584" w14:paraId="7F07A56A" w14:textId="77777777">
        <w:tc>
          <w:tcPr>
            <w:tcW w:w="0" w:type="auto"/>
          </w:tcPr>
          <w:p w14:paraId="14998C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1A0887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6A091A6" w14:textId="77777777" w:rsidR="00000000" w:rsidRPr="00BE00C7" w:rsidRDefault="00000000" w:rsidP="00BE00C7">
            <w:pPr>
              <w:pStyle w:val="OutcomeDescription"/>
              <w:spacing w:before="120" w:after="120"/>
              <w:rPr>
                <w:rFonts w:cs="Arial"/>
                <w:lang w:eastAsia="en-NZ"/>
              </w:rPr>
            </w:pPr>
          </w:p>
        </w:tc>
        <w:tc>
          <w:tcPr>
            <w:tcW w:w="0" w:type="auto"/>
          </w:tcPr>
          <w:p w14:paraId="39008B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F9A9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and current best </w:t>
            </w:r>
            <w:r w:rsidRPr="00BE00C7">
              <w:rPr>
                <w:rFonts w:cs="Arial"/>
                <w:lang w:eastAsia="en-NZ"/>
              </w:rPr>
              <w:lastRenderedPageBreak/>
              <w:t xml:space="preserve">practice.  A safe system for medicine management using an electronic system was observed on the day of audit.  All staff who administer medicines were competent to perform the function they manage.  </w:t>
            </w:r>
          </w:p>
          <w:p w14:paraId="58DA4A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were stored safely, including controlled drugs. All medications sighted were within current use-by dates.  The required stock checks had been completed.  Medicines stored were within the recommended temperature range. </w:t>
            </w:r>
          </w:p>
          <w:p w14:paraId="496FBA12"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and medication reconciliation occurs.  Over-the-counter medication and supplements are considered by the prescriber as part of the person’s medication.</w:t>
            </w:r>
          </w:p>
          <w:p w14:paraId="5E421B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Medicine-related allergies or sensitivities were recorded, and any adverse events responded to appropriately. The required three-monthly GP review was consistently recorded on the medicine chart.  </w:t>
            </w:r>
          </w:p>
          <w:p w14:paraId="2929E5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w:t>
            </w:r>
          </w:p>
          <w:p w14:paraId="475DB614"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were self-administrating medication at the time of audit, and the registered nurse stated this did not occur in the dementia unit.</w:t>
            </w:r>
          </w:p>
          <w:p w14:paraId="711F03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including Māori residents and their whānau, are supported to understand their medications.</w:t>
            </w:r>
          </w:p>
          <w:p w14:paraId="4DE9023C" w14:textId="77777777" w:rsidR="00000000" w:rsidRPr="00BE00C7" w:rsidRDefault="00000000" w:rsidP="00BE00C7">
            <w:pPr>
              <w:pStyle w:val="OutcomeDescription"/>
              <w:spacing w:before="120" w:after="120"/>
              <w:rPr>
                <w:rFonts w:cs="Arial"/>
                <w:lang w:eastAsia="en-NZ"/>
              </w:rPr>
            </w:pPr>
          </w:p>
        </w:tc>
      </w:tr>
      <w:tr w:rsidR="00717584" w14:paraId="358C79C5" w14:textId="77777777">
        <w:tc>
          <w:tcPr>
            <w:tcW w:w="0" w:type="auto"/>
          </w:tcPr>
          <w:p w14:paraId="6361C9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9857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2BE10E" w14:textId="77777777" w:rsidR="00000000" w:rsidRPr="00BE00C7" w:rsidRDefault="00000000" w:rsidP="00BE00C7">
            <w:pPr>
              <w:pStyle w:val="OutcomeDescription"/>
              <w:spacing w:before="120" w:after="120"/>
              <w:rPr>
                <w:rFonts w:cs="Arial"/>
                <w:lang w:eastAsia="en-NZ"/>
              </w:rPr>
            </w:pPr>
          </w:p>
        </w:tc>
        <w:tc>
          <w:tcPr>
            <w:tcW w:w="0" w:type="auto"/>
          </w:tcPr>
          <w:p w14:paraId="6165B6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291C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has been reviewed by a qualified dietitian within the last two years.  Recommendations made at that time have been implemented. </w:t>
            </w:r>
          </w:p>
          <w:p w14:paraId="423B88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aspects of food management comply with current legislation and guidelines. The service operates with an approved food safety plan and registration. </w:t>
            </w:r>
          </w:p>
          <w:p w14:paraId="00F7464B"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access to foods that are culturally specific to te ao Māori.  Cultural protocols around food are followed, including the laundering of kitchen-related and food-related items separately.</w:t>
            </w:r>
          </w:p>
          <w:p w14:paraId="29505E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in the Somerfield secure dementia units have access to snacks such as sandwiches, fruit and biscuits 24 hours a day.</w:t>
            </w:r>
          </w:p>
          <w:p w14:paraId="0B5470A0"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and satisfaction surveys. Residents were given sufficient time to eat their meals in an unhurried fashion and those requiring assistance had this provided with dignity.</w:t>
            </w:r>
          </w:p>
          <w:p w14:paraId="41716069" w14:textId="77777777" w:rsidR="00000000" w:rsidRPr="00BE00C7" w:rsidRDefault="00000000" w:rsidP="00BE00C7">
            <w:pPr>
              <w:pStyle w:val="OutcomeDescription"/>
              <w:spacing w:before="120" w:after="120"/>
              <w:rPr>
                <w:rFonts w:cs="Arial"/>
                <w:lang w:eastAsia="en-NZ"/>
              </w:rPr>
            </w:pPr>
          </w:p>
        </w:tc>
      </w:tr>
      <w:tr w:rsidR="00717584" w14:paraId="2B42F3D5" w14:textId="77777777">
        <w:tc>
          <w:tcPr>
            <w:tcW w:w="0" w:type="auto"/>
          </w:tcPr>
          <w:p w14:paraId="69283F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81EAF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C3706D1" w14:textId="77777777" w:rsidR="00000000" w:rsidRPr="00BE00C7" w:rsidRDefault="00000000" w:rsidP="00BE00C7">
            <w:pPr>
              <w:pStyle w:val="OutcomeDescription"/>
              <w:spacing w:before="120" w:after="120"/>
              <w:rPr>
                <w:rFonts w:cs="Arial"/>
                <w:lang w:eastAsia="en-NZ"/>
              </w:rPr>
            </w:pPr>
          </w:p>
        </w:tc>
        <w:tc>
          <w:tcPr>
            <w:tcW w:w="0" w:type="auto"/>
          </w:tcPr>
          <w:p w14:paraId="460D59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2E06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Transfer or discharge from Somerfield is planned and managed safely, with coordination between services and in collaboration with the resident and whānau/EPOA. Risks and current support needs are identified and managed. Options to access other health and disability services and social/cultural supports are discussed, where appropriate. </w:t>
            </w:r>
          </w:p>
          <w:p w14:paraId="45B81434"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actions taken to transfer residents to more appropriate facilities when their needs change, such as hospital level care, was sighted.</w:t>
            </w:r>
          </w:p>
          <w:p w14:paraId="41EBDB9E" w14:textId="77777777" w:rsidR="00000000" w:rsidRPr="00BE00C7" w:rsidRDefault="00000000" w:rsidP="00BE00C7">
            <w:pPr>
              <w:pStyle w:val="OutcomeDescription"/>
              <w:spacing w:before="120" w:after="120"/>
              <w:rPr>
                <w:rFonts w:cs="Arial"/>
                <w:lang w:eastAsia="en-NZ"/>
              </w:rPr>
            </w:pPr>
            <w:r w:rsidRPr="00BE00C7">
              <w:rPr>
                <w:rFonts w:cs="Arial"/>
                <w:lang w:eastAsia="en-NZ"/>
              </w:rPr>
              <w:t>Processes were in place to transfer residents to acute care if needed. Whānau/EPOA reported being kept well informed during the transfer of their relative.</w:t>
            </w:r>
          </w:p>
          <w:p w14:paraId="1055163E" w14:textId="77777777" w:rsidR="00000000" w:rsidRPr="00BE00C7" w:rsidRDefault="00000000" w:rsidP="00BE00C7">
            <w:pPr>
              <w:pStyle w:val="OutcomeDescription"/>
              <w:spacing w:before="120" w:after="120"/>
              <w:rPr>
                <w:rFonts w:cs="Arial"/>
                <w:lang w:eastAsia="en-NZ"/>
              </w:rPr>
            </w:pPr>
          </w:p>
        </w:tc>
      </w:tr>
      <w:tr w:rsidR="00717584" w14:paraId="224A28FF" w14:textId="77777777">
        <w:tc>
          <w:tcPr>
            <w:tcW w:w="0" w:type="auto"/>
          </w:tcPr>
          <w:p w14:paraId="42910B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17D52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FDE017F" w14:textId="77777777" w:rsidR="00000000" w:rsidRPr="00BE00C7" w:rsidRDefault="00000000" w:rsidP="00BE00C7">
            <w:pPr>
              <w:pStyle w:val="OutcomeDescription"/>
              <w:spacing w:before="120" w:after="120"/>
              <w:rPr>
                <w:rFonts w:cs="Arial"/>
                <w:lang w:eastAsia="en-NZ"/>
              </w:rPr>
            </w:pPr>
          </w:p>
        </w:tc>
        <w:tc>
          <w:tcPr>
            <w:tcW w:w="0" w:type="auto"/>
          </w:tcPr>
          <w:p w14:paraId="12EC57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E4C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had a current building warrant of fitness which expires on 1 April 2025. </w:t>
            </w:r>
          </w:p>
          <w:p w14:paraId="5647D3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w:t>
            </w:r>
          </w:p>
          <w:p w14:paraId="1C8638CA" w14:textId="77777777" w:rsidR="00000000" w:rsidRPr="00BE00C7" w:rsidRDefault="00000000" w:rsidP="00BE00C7">
            <w:pPr>
              <w:pStyle w:val="OutcomeDescription"/>
              <w:spacing w:before="120" w:after="120"/>
              <w:rPr>
                <w:rFonts w:cs="Arial"/>
                <w:lang w:eastAsia="en-NZ"/>
              </w:rPr>
            </w:pPr>
            <w:r w:rsidRPr="00BE00C7">
              <w:rPr>
                <w:rFonts w:cs="Arial"/>
                <w:lang w:eastAsia="en-NZ"/>
              </w:rPr>
              <w:t>A planned maintenance schedule included electrical testing and tagging, resident equipment checks, and checking and calibration of clinical equipment. Monthly hot water tests were completed for resident areas; these were sighted and were all within normal limits.</w:t>
            </w:r>
          </w:p>
          <w:p w14:paraId="643D6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An internal courtyard and a fenced back garden were available for residents to use. External areas are safely maintained and were appropriate for </w:t>
            </w:r>
            <w:r w:rsidRPr="00BE00C7">
              <w:rPr>
                <w:rFonts w:cs="Arial"/>
                <w:lang w:eastAsia="en-NZ"/>
              </w:rPr>
              <w:lastRenderedPageBreak/>
              <w:t xml:space="preserve">people with dementia, with items such as a wheelbarrow and bicycle secured. </w:t>
            </w:r>
          </w:p>
          <w:p w14:paraId="22DD50DC"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Communal areas are available for residents to engage in activities. The dining and lounge areas are spacious and enable easy access for residents and staff. There are quiet areas at the end of each wing where residents can go for privacy, as well as a sitting area beside the courtyard. A shed in the internal courtyard, known as the ‘Man Cave’, is a retreat for some of the men in particular.</w:t>
            </w:r>
          </w:p>
          <w:p w14:paraId="1F73C1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Spaces were culturally inclusive and suited the needs of the resident groups.  </w:t>
            </w:r>
          </w:p>
          <w:p w14:paraId="36C65FC5" w14:textId="77777777" w:rsidR="00000000" w:rsidRPr="00BE00C7" w:rsidRDefault="00000000" w:rsidP="00BE00C7">
            <w:pPr>
              <w:pStyle w:val="OutcomeDescription"/>
              <w:spacing w:before="120" w:after="120"/>
              <w:rPr>
                <w:rFonts w:cs="Arial"/>
                <w:lang w:eastAsia="en-NZ"/>
              </w:rPr>
            </w:pPr>
            <w:r w:rsidRPr="00BE00C7">
              <w:rPr>
                <w:rFonts w:cs="Arial"/>
                <w:lang w:eastAsia="en-NZ"/>
              </w:rPr>
              <w:t>Furniture is appropriate to the setting and residents’ needs.</w:t>
            </w:r>
          </w:p>
          <w:p w14:paraId="7354D7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hallways are decorated using themes that are consistent with the interests of the residents living in that area. With support from family/whānau members and creative ideas, the decorations not only brighten the facility but provide visual and tactile stimulation to the residents. The decorations varied from flower boxes, nautical themes, photographs of people’s pets, sport and travel, for example.</w:t>
            </w:r>
          </w:p>
          <w:p w14:paraId="18DDB4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resident has their own ensuite. The number of toilet and shared accessible bathroom facilities for visitors and staff are adequate. Appropriately secured and approved handrails are provided in the bathroom areas, and other equipment is available to promote residents’ independence. Privacy locks have not been installed on bathrooms in resident areas for their safety. </w:t>
            </w:r>
          </w:p>
          <w:p w14:paraId="0C571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provide single accommodation, except for one room in each wing which is a shared room. The CHM and QAM informed these would only be shared by a married couple. </w:t>
            </w:r>
          </w:p>
          <w:p w14:paraId="05385A1B"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personal space is provided to allow residents and staff to move around within the spacious bedrooms safely.  Rooms are personalised, with furnishings, photos and other personal items displayed. Staff reported that they respect the residents’ spiritual and cultural requirements. Family/whānau reported the adequacy of bedrooms.</w:t>
            </w:r>
          </w:p>
          <w:p w14:paraId="5DE56A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staff were happy with the environment, including heating and ventilation, privacy, and maintenance.  There are heat </w:t>
            </w:r>
            <w:r w:rsidRPr="00BE00C7">
              <w:rPr>
                <w:rFonts w:cs="Arial"/>
                <w:lang w:eastAsia="en-NZ"/>
              </w:rPr>
              <w:lastRenderedPageBreak/>
              <w:t>pumps in corridors and communal areas, convection heaters in residents’ rooms, underfloor heating in some rooms, and electric heating that give the appearance of a fireplace in both lounges. The temperature of each room and communal area can be individually adjusted. Each area was warm and well-ventilated throughout the audit.</w:t>
            </w:r>
          </w:p>
          <w:p w14:paraId="45465A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currently no plans for further building projects requiring consultation, but Heritage Lifecare directors were aware of the requirement to consult with Māori if this was envisaged.</w:t>
            </w:r>
          </w:p>
          <w:p w14:paraId="36F9A560" w14:textId="77777777" w:rsidR="00000000" w:rsidRPr="00BE00C7" w:rsidRDefault="00000000" w:rsidP="00BE00C7">
            <w:pPr>
              <w:pStyle w:val="OutcomeDescription"/>
              <w:spacing w:before="120" w:after="120"/>
              <w:rPr>
                <w:rFonts w:cs="Arial"/>
                <w:lang w:eastAsia="en-NZ"/>
              </w:rPr>
            </w:pPr>
          </w:p>
        </w:tc>
      </w:tr>
      <w:tr w:rsidR="00717584" w14:paraId="151E9062" w14:textId="77777777">
        <w:tc>
          <w:tcPr>
            <w:tcW w:w="0" w:type="auto"/>
          </w:tcPr>
          <w:p w14:paraId="12137F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1077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7645B66" w14:textId="77777777" w:rsidR="00000000" w:rsidRPr="00BE00C7" w:rsidRDefault="00000000" w:rsidP="00BE00C7">
            <w:pPr>
              <w:pStyle w:val="OutcomeDescription"/>
              <w:spacing w:before="120" w:after="120"/>
              <w:rPr>
                <w:rFonts w:cs="Arial"/>
                <w:lang w:eastAsia="en-NZ"/>
              </w:rPr>
            </w:pPr>
          </w:p>
        </w:tc>
        <w:tc>
          <w:tcPr>
            <w:tcW w:w="0" w:type="auto"/>
          </w:tcPr>
          <w:p w14:paraId="101341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D23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9 June 2006 and the requirements of this are reflected in the Fire and Emergency Management Scheme. A fire evacuation drill is held six-monthly, the most recent drill being on 31 July 2024. </w:t>
            </w:r>
          </w:p>
          <w:p w14:paraId="142DE564"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been trained and knew what to do in an emergency. Flip charts were sighted.</w:t>
            </w:r>
          </w:p>
          <w:p w14:paraId="3FC5D8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first aid certified staff member on duty 24/7 and the activities co-ordinator holds current first aid certification. A sample of certificates were sighted.</w:t>
            </w:r>
          </w:p>
          <w:p w14:paraId="24065F41"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medical supplies and torches, were sighted. Eight hundred litres of water is stored. This meets the National Emergency Management Agency recommendations for the region. Alternative essential energy and utility resources are available, should the main supplies fail.</w:t>
            </w:r>
          </w:p>
          <w:p w14:paraId="2380FD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Family/whānau reported staff respond promptly to call bells. </w:t>
            </w:r>
          </w:p>
          <w:p w14:paraId="2679D883" w14:textId="59B8A10E" w:rsidR="00000000" w:rsidRPr="00BE00C7" w:rsidRDefault="00000000" w:rsidP="00BE00C7">
            <w:pPr>
              <w:pStyle w:val="OutcomeDescription"/>
              <w:spacing w:before="120" w:after="120"/>
              <w:rPr>
                <w:rFonts w:cs="Arial"/>
                <w:lang w:eastAsia="en-NZ"/>
              </w:rPr>
            </w:pPr>
            <w:r w:rsidRPr="00BE00C7">
              <w:rPr>
                <w:rFonts w:cs="Arial"/>
                <w:lang w:eastAsia="en-NZ"/>
              </w:rPr>
              <w:t>Security arrangements are in pla</w:t>
            </w:r>
            <w:r w:rsidR="00025B63">
              <w:rPr>
                <w:rFonts w:cs="Arial"/>
                <w:lang w:eastAsia="en-NZ"/>
              </w:rPr>
              <w:t>ce</w:t>
            </w:r>
            <w:r w:rsidRPr="00BE00C7">
              <w:rPr>
                <w:rFonts w:cs="Arial"/>
                <w:lang w:eastAsia="en-NZ"/>
              </w:rPr>
              <w:t xml:space="preserve"> and family/whānau are informed of these at the time of their relative’s admission. Residents are informed as applicable. Somerfield is a secure facility due to its provision of dementia care. All fire exit doors are locked and, although the front door is locked, it may be entered and exited using codes, bells or </w:t>
            </w:r>
            <w:r w:rsidRPr="00BE00C7">
              <w:rPr>
                <w:rFonts w:cs="Arial"/>
                <w:lang w:eastAsia="en-NZ"/>
              </w:rPr>
              <w:lastRenderedPageBreak/>
              <w:t>buttons. Surveillance cameras are located on the outside and in communal areas inside. Residents and family/whānau members are fully informed of these and their use does not compromise personal privacy. Staff undertake security checks at night.</w:t>
            </w:r>
          </w:p>
          <w:p w14:paraId="2B73D0D0" w14:textId="77777777" w:rsidR="00000000" w:rsidRPr="00BE00C7" w:rsidRDefault="00000000" w:rsidP="00BE00C7">
            <w:pPr>
              <w:pStyle w:val="OutcomeDescription"/>
              <w:spacing w:before="120" w:after="120"/>
              <w:rPr>
                <w:rFonts w:cs="Arial"/>
                <w:lang w:eastAsia="en-NZ"/>
              </w:rPr>
            </w:pPr>
          </w:p>
        </w:tc>
      </w:tr>
      <w:tr w:rsidR="00717584" w14:paraId="2857E30B" w14:textId="77777777">
        <w:tc>
          <w:tcPr>
            <w:tcW w:w="0" w:type="auto"/>
          </w:tcPr>
          <w:p w14:paraId="5095CA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D902F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F6AA107" w14:textId="77777777" w:rsidR="00000000" w:rsidRPr="00BE00C7" w:rsidRDefault="00000000" w:rsidP="00BE00C7">
            <w:pPr>
              <w:pStyle w:val="OutcomeDescription"/>
              <w:spacing w:before="120" w:after="120"/>
              <w:rPr>
                <w:rFonts w:cs="Arial"/>
                <w:lang w:eastAsia="en-NZ"/>
              </w:rPr>
            </w:pPr>
          </w:p>
        </w:tc>
        <w:tc>
          <w:tcPr>
            <w:tcW w:w="0" w:type="auto"/>
          </w:tcPr>
          <w:p w14:paraId="78B05B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A266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were appropriate to the size and complexity of the service, had been approved by the governing body, were linked to the quality improvement system, and were being reviewed and reported on yearly. </w:t>
            </w:r>
          </w:p>
          <w:p w14:paraId="114805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w:t>
            </w:r>
          </w:p>
          <w:p w14:paraId="12F5D5E2"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and advice are sought following a defined process. Clinical specialists can access IP and AMS expertise through external agencies, including Te Whatu Ora Waitaha Canterbury.</w:t>
            </w:r>
          </w:p>
          <w:p w14:paraId="7C1AE7A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AMS information, including issues and significant events, is discussed at facility level, at clinical governance meetings, and reported to the board at board meetings.</w:t>
            </w:r>
          </w:p>
          <w:p w14:paraId="2F353C52" w14:textId="77777777" w:rsidR="00000000" w:rsidRPr="00BE00C7" w:rsidRDefault="00000000" w:rsidP="00BE00C7">
            <w:pPr>
              <w:pStyle w:val="OutcomeDescription"/>
              <w:spacing w:before="120" w:after="120"/>
              <w:rPr>
                <w:rFonts w:cs="Arial"/>
                <w:lang w:eastAsia="en-NZ"/>
              </w:rPr>
            </w:pPr>
          </w:p>
        </w:tc>
      </w:tr>
      <w:tr w:rsidR="00717584" w14:paraId="74A7A71E" w14:textId="77777777">
        <w:tc>
          <w:tcPr>
            <w:tcW w:w="0" w:type="auto"/>
          </w:tcPr>
          <w:p w14:paraId="4EADDAE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EB311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B90FAE" w14:textId="77777777" w:rsidR="00000000" w:rsidRPr="00BE00C7" w:rsidRDefault="00000000" w:rsidP="00BE00C7">
            <w:pPr>
              <w:pStyle w:val="OutcomeDescription"/>
              <w:spacing w:before="120" w:after="120"/>
              <w:rPr>
                <w:rFonts w:cs="Arial"/>
                <w:lang w:eastAsia="en-NZ"/>
              </w:rPr>
            </w:pPr>
          </w:p>
        </w:tc>
        <w:tc>
          <w:tcPr>
            <w:tcW w:w="0" w:type="auto"/>
          </w:tcPr>
          <w:p w14:paraId="749B62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1120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There is an infection prevention and antimicrobial stewardship programme in place that has been developed by those with IP expertise, is linked to the quality improvement programme and has been approved by the Heritage Lifecare (GHG) Limited governing body. Annual review of the programme, with reporting to governance, has occurred.</w:t>
            </w:r>
          </w:p>
          <w:p w14:paraId="14232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services manager, who is a registered nurse, is the infection prevention and control (IPC) resource nurse and is responsible for overseeing and implementing the IP programme, with </w:t>
            </w:r>
            <w:r w:rsidRPr="00BE00C7">
              <w:rPr>
                <w:rFonts w:cs="Arial"/>
                <w:lang w:eastAsia="en-NZ"/>
              </w:rPr>
              <w:lastRenderedPageBreak/>
              <w:t>reporting lines to senior management and to the Heritage Lifecare Ltd regional quality manager, who is the national IP lead. The IPC resource nurse has the appropriate skills, knowledge and qualifications for the role and confirmed access to the necessary resources and support. Their advice, and/or the advice of the Heritage Lifecare Ltd national IP lead, has been sought when making decisions around procurement relevant to care delivery, procurement and policies. There have been no facility changes or design of any new building, and policy confirmed IPC advice would be sought should this occur.</w:t>
            </w:r>
          </w:p>
          <w:p w14:paraId="2355C9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Cultural advice is accessed where appropriate. </w:t>
            </w:r>
          </w:p>
          <w:p w14:paraId="2D1756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whānau/EPOA are educated about infection prevention in a manner that meets their needs. Educational resources are available in te reo Māori. </w:t>
            </w:r>
          </w:p>
          <w:p w14:paraId="735B5ED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1351AC9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3F568135" w14:textId="77777777" w:rsidR="00000000" w:rsidRPr="00BE00C7" w:rsidRDefault="00000000" w:rsidP="00BE00C7">
            <w:pPr>
              <w:pStyle w:val="OutcomeDescription"/>
              <w:spacing w:before="120" w:after="120"/>
              <w:rPr>
                <w:rFonts w:cs="Arial"/>
                <w:lang w:eastAsia="en-NZ"/>
              </w:rPr>
            </w:pPr>
          </w:p>
        </w:tc>
      </w:tr>
      <w:tr w:rsidR="00717584" w14:paraId="052ADA49" w14:textId="77777777">
        <w:tc>
          <w:tcPr>
            <w:tcW w:w="0" w:type="auto"/>
          </w:tcPr>
          <w:p w14:paraId="5EC314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7CE5DF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9B1114E" w14:textId="77777777" w:rsidR="00000000" w:rsidRPr="00BE00C7" w:rsidRDefault="00000000" w:rsidP="00BE00C7">
            <w:pPr>
              <w:pStyle w:val="OutcomeDescription"/>
              <w:spacing w:before="120" w:after="120"/>
              <w:rPr>
                <w:rFonts w:cs="Arial"/>
                <w:lang w:eastAsia="en-NZ"/>
              </w:rPr>
            </w:pPr>
          </w:p>
        </w:tc>
        <w:tc>
          <w:tcPr>
            <w:tcW w:w="0" w:type="auto"/>
          </w:tcPr>
          <w:p w14:paraId="38F1AC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6F1D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Antimicrobial Stewardship (AMS) programme is appropriate for the size and complexity of the service, supported by policies and procedures.  The effectiveness of the AMS programme is evaluated by monitoring antimicrobial use and identifying areas for improvement.  </w:t>
            </w:r>
          </w:p>
          <w:p w14:paraId="03D107F4" w14:textId="77777777" w:rsidR="00000000" w:rsidRPr="00BE00C7" w:rsidRDefault="00000000" w:rsidP="00BE00C7">
            <w:pPr>
              <w:pStyle w:val="OutcomeDescription"/>
              <w:spacing w:before="120" w:after="120"/>
              <w:rPr>
                <w:rFonts w:cs="Arial"/>
                <w:lang w:eastAsia="en-NZ"/>
              </w:rPr>
            </w:pPr>
          </w:p>
        </w:tc>
      </w:tr>
      <w:tr w:rsidR="00717584" w14:paraId="68B74929" w14:textId="77777777">
        <w:tc>
          <w:tcPr>
            <w:tcW w:w="0" w:type="auto"/>
          </w:tcPr>
          <w:p w14:paraId="5804D0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BB7F3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AF76565" w14:textId="77777777" w:rsidR="00000000" w:rsidRPr="00BE00C7" w:rsidRDefault="00000000" w:rsidP="00BE00C7">
            <w:pPr>
              <w:pStyle w:val="OutcomeDescription"/>
              <w:spacing w:before="120" w:after="120"/>
              <w:rPr>
                <w:rFonts w:cs="Arial"/>
                <w:lang w:eastAsia="en-NZ"/>
              </w:rPr>
            </w:pPr>
          </w:p>
        </w:tc>
        <w:tc>
          <w:tcPr>
            <w:tcW w:w="0" w:type="auto"/>
          </w:tcPr>
          <w:p w14:paraId="2FF9D2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00AC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long-term care facilities and is in line with priorities defined in the infection control programme. Standardised definitions are used, and monthly surveillance data, including ethnicity data, is collated and analysed to identify any trends, possible causative factors and required actions.  Benchmarking with other facilities in the group occurs. </w:t>
            </w:r>
          </w:p>
          <w:p w14:paraId="1AF37931" w14:textId="77777777" w:rsidR="00000000" w:rsidRPr="00BE00C7" w:rsidRDefault="00000000" w:rsidP="00BE00C7">
            <w:pPr>
              <w:pStyle w:val="OutcomeDescription"/>
              <w:spacing w:before="120" w:after="120"/>
              <w:rPr>
                <w:rFonts w:cs="Arial"/>
                <w:lang w:eastAsia="en-NZ"/>
              </w:rPr>
            </w:pPr>
            <w:r w:rsidRPr="00BE00C7">
              <w:rPr>
                <w:rFonts w:cs="Arial"/>
                <w:lang w:eastAsia="en-NZ"/>
              </w:rPr>
              <w:t>Results of the surveillance programme are reported to management and shared with staff. Documentation from a 2024 COVID-19 outbreak was reviewed and demonstrated a thorough process for monitoring and follow-up.  Learnings from the event have been incorporated into practice.</w:t>
            </w:r>
          </w:p>
          <w:p w14:paraId="097D1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clear processes for culturally safe communication between staff and residents. A resident and whānau/EPOA interviewed were happy with the communication from staff in relation to health care-acquired infection.</w:t>
            </w:r>
          </w:p>
          <w:p w14:paraId="1E38162C" w14:textId="77777777" w:rsidR="00000000" w:rsidRPr="00BE00C7" w:rsidRDefault="00000000" w:rsidP="00BE00C7">
            <w:pPr>
              <w:pStyle w:val="OutcomeDescription"/>
              <w:spacing w:before="120" w:after="120"/>
              <w:rPr>
                <w:rFonts w:cs="Arial"/>
                <w:lang w:eastAsia="en-NZ"/>
              </w:rPr>
            </w:pPr>
          </w:p>
        </w:tc>
      </w:tr>
      <w:tr w:rsidR="00717584" w14:paraId="1A5E1178" w14:textId="77777777">
        <w:tc>
          <w:tcPr>
            <w:tcW w:w="0" w:type="auto"/>
          </w:tcPr>
          <w:p w14:paraId="5A7E86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2E9B0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A369A19" w14:textId="77777777" w:rsidR="00000000" w:rsidRPr="00BE00C7" w:rsidRDefault="00000000" w:rsidP="00BE00C7">
            <w:pPr>
              <w:pStyle w:val="OutcomeDescription"/>
              <w:spacing w:before="120" w:after="120"/>
              <w:rPr>
                <w:rFonts w:cs="Arial"/>
                <w:lang w:eastAsia="en-NZ"/>
              </w:rPr>
            </w:pPr>
          </w:p>
        </w:tc>
        <w:tc>
          <w:tcPr>
            <w:tcW w:w="0" w:type="auto"/>
          </w:tcPr>
          <w:p w14:paraId="3BC2648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9893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1764142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cleaning, laundry and the management of waste and infectious and hazardous substances.  Chemicals were stored safely. Staff involved had completed relevant training and were observed to carry out duties safely.</w:t>
            </w:r>
          </w:p>
          <w:p w14:paraId="7565EA64"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are monitored for effectiveness. Infection prevention personnel have oversight of the environmental testing and monitoring programme.  Whānau/EPOA reported that the laundry is managed very well, and the facility is kept clean and tidy. This was confirmed through observations.</w:t>
            </w:r>
          </w:p>
          <w:p w14:paraId="61DDF071" w14:textId="77777777" w:rsidR="00000000" w:rsidRPr="00BE00C7" w:rsidRDefault="00000000" w:rsidP="00BE00C7">
            <w:pPr>
              <w:pStyle w:val="OutcomeDescription"/>
              <w:spacing w:before="120" w:after="120"/>
              <w:rPr>
                <w:rFonts w:cs="Arial"/>
                <w:lang w:eastAsia="en-NZ"/>
              </w:rPr>
            </w:pPr>
          </w:p>
        </w:tc>
      </w:tr>
      <w:tr w:rsidR="00717584" w14:paraId="6F9EDE26" w14:textId="77777777">
        <w:tc>
          <w:tcPr>
            <w:tcW w:w="0" w:type="auto"/>
          </w:tcPr>
          <w:p w14:paraId="25D0EA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AB0F8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227FA8F" w14:textId="77777777" w:rsidR="00000000" w:rsidRPr="00BE00C7" w:rsidRDefault="00000000" w:rsidP="00BE00C7">
            <w:pPr>
              <w:pStyle w:val="OutcomeDescription"/>
              <w:spacing w:before="120" w:after="120"/>
              <w:rPr>
                <w:rFonts w:cs="Arial"/>
                <w:lang w:eastAsia="en-NZ"/>
              </w:rPr>
            </w:pPr>
          </w:p>
        </w:tc>
        <w:tc>
          <w:tcPr>
            <w:tcW w:w="0" w:type="auto"/>
          </w:tcPr>
          <w:p w14:paraId="62C42D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2089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w:t>
            </w:r>
            <w:r w:rsidRPr="00BE00C7">
              <w:rPr>
                <w:rFonts w:cs="Arial"/>
                <w:lang w:eastAsia="en-NZ"/>
              </w:rPr>
              <w:lastRenderedPageBreak/>
              <w:t>governance group demonstrated commitment to this through documented policy and regular reporting requirements. The clinical advisory group (CAG) monitors any use of restraint across the organisation and is chaired by one of the organisation’s regional managers, who has responsibility for ensuring that restraint minimisation is achieved.</w:t>
            </w:r>
          </w:p>
          <w:p w14:paraId="4A43C92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there was no restraint in use.</w:t>
            </w:r>
          </w:p>
          <w:p w14:paraId="258982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CSM is the restraint co-ordinator. Their position description was sighted. The CSM described the process should any restraint be needed.</w:t>
            </w:r>
          </w:p>
          <w:p w14:paraId="276F19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w:t>
            </w:r>
          </w:p>
          <w:p w14:paraId="6C3237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have been trained in the least restrictive practice, safe restraint practice, alternative cultural-specific interventions, and de-escalation techniques. </w:t>
            </w:r>
          </w:p>
          <w:p w14:paraId="5D98D65D" w14:textId="77777777" w:rsidR="00000000" w:rsidRPr="00BE00C7" w:rsidRDefault="00000000" w:rsidP="00BE00C7">
            <w:pPr>
              <w:pStyle w:val="OutcomeDescription"/>
              <w:spacing w:before="120" w:after="120"/>
              <w:rPr>
                <w:rFonts w:cs="Arial"/>
                <w:lang w:eastAsia="en-NZ"/>
              </w:rPr>
            </w:pPr>
            <w:r w:rsidRPr="00BE00C7">
              <w:rPr>
                <w:rFonts w:cs="Arial"/>
                <w:lang w:eastAsia="en-NZ"/>
              </w:rPr>
              <w:t>Given there has been no restraint reported to governance since the last audit, subsections 6.2 and 6.3 have not been audited.</w:t>
            </w:r>
          </w:p>
          <w:p w14:paraId="4B64A871" w14:textId="77777777" w:rsidR="00000000" w:rsidRPr="00BE00C7" w:rsidRDefault="00000000" w:rsidP="00BE00C7">
            <w:pPr>
              <w:pStyle w:val="OutcomeDescription"/>
              <w:spacing w:before="120" w:after="120"/>
              <w:rPr>
                <w:rFonts w:cs="Arial"/>
                <w:lang w:eastAsia="en-NZ"/>
              </w:rPr>
            </w:pPr>
          </w:p>
        </w:tc>
      </w:tr>
    </w:tbl>
    <w:p w14:paraId="3CBD559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68A1A9D" w14:textId="77777777" w:rsidR="00000000" w:rsidRDefault="00000000">
      <w:pPr>
        <w:pStyle w:val="Heading1"/>
        <w:rPr>
          <w:rFonts w:cs="Arial"/>
        </w:rPr>
      </w:pPr>
      <w:r>
        <w:rPr>
          <w:rFonts w:cs="Arial"/>
        </w:rPr>
        <w:lastRenderedPageBreak/>
        <w:t>Specific results for criterion where corrective actions are required</w:t>
      </w:r>
    </w:p>
    <w:p w14:paraId="3B2BC3D0"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903E70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5C35AB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17584" w14:paraId="28AA7E68" w14:textId="77777777">
        <w:tc>
          <w:tcPr>
            <w:tcW w:w="0" w:type="auto"/>
          </w:tcPr>
          <w:p w14:paraId="727C61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FC02656"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98B80D0" w14:textId="77777777" w:rsidR="00000000" w:rsidRDefault="00000000">
      <w:pPr>
        <w:pStyle w:val="Heading1"/>
        <w:rPr>
          <w:rFonts w:cs="Arial"/>
        </w:rPr>
      </w:pPr>
      <w:r>
        <w:rPr>
          <w:rFonts w:cs="Arial"/>
        </w:rPr>
        <w:lastRenderedPageBreak/>
        <w:t>Specific results for criterion where a continuous improvement has been recorded</w:t>
      </w:r>
    </w:p>
    <w:p w14:paraId="77D9A80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40F966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0A4F2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717584" w14:paraId="6DD0EF3A" w14:textId="77777777">
        <w:tc>
          <w:tcPr>
            <w:tcW w:w="0" w:type="auto"/>
          </w:tcPr>
          <w:p w14:paraId="478C562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376699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0BDF13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E4CE" w14:textId="77777777" w:rsidR="00075770" w:rsidRDefault="00075770">
      <w:r>
        <w:separator/>
      </w:r>
    </w:p>
  </w:endnote>
  <w:endnote w:type="continuationSeparator" w:id="0">
    <w:p w14:paraId="4855C3D9" w14:textId="77777777" w:rsidR="00075770" w:rsidRDefault="0007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196E" w14:textId="77777777" w:rsidR="00000000" w:rsidRDefault="00000000">
    <w:pPr>
      <w:pStyle w:val="Footer"/>
    </w:pPr>
  </w:p>
  <w:p w14:paraId="0B9F803C" w14:textId="77777777" w:rsidR="00000000" w:rsidRDefault="00000000"/>
  <w:p w14:paraId="0107273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7D7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(GHG) Limited - Somerfield House</w:t>
    </w:r>
    <w:bookmarkEnd w:id="59"/>
    <w:r>
      <w:rPr>
        <w:rFonts w:cs="Arial"/>
        <w:sz w:val="16"/>
        <w:szCs w:val="20"/>
      </w:rPr>
      <w:tab/>
      <w:t xml:space="preserve">Date of Audit: </w:t>
    </w:r>
    <w:bookmarkStart w:id="60" w:name="AuditStartDate1"/>
    <w:r>
      <w:rPr>
        <w:rFonts w:cs="Arial"/>
        <w:sz w:val="16"/>
        <w:szCs w:val="20"/>
      </w:rPr>
      <w:t>2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48FF24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497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1E3F" w14:textId="77777777" w:rsidR="00075770" w:rsidRDefault="00075770">
      <w:r>
        <w:separator/>
      </w:r>
    </w:p>
  </w:footnote>
  <w:footnote w:type="continuationSeparator" w:id="0">
    <w:p w14:paraId="72E35C45" w14:textId="77777777" w:rsidR="00075770" w:rsidRDefault="0007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C794" w14:textId="77777777" w:rsidR="00000000" w:rsidRDefault="00000000">
    <w:pPr>
      <w:pStyle w:val="Header"/>
    </w:pPr>
  </w:p>
  <w:p w14:paraId="76F0235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E506" w14:textId="77777777" w:rsidR="00000000" w:rsidRDefault="00000000">
    <w:pPr>
      <w:pStyle w:val="Header"/>
    </w:pPr>
  </w:p>
  <w:p w14:paraId="243A07C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03A1"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D684622">
      <w:start w:val="1"/>
      <w:numFmt w:val="decimal"/>
      <w:lvlText w:val="%1."/>
      <w:lvlJc w:val="left"/>
      <w:pPr>
        <w:ind w:left="360" w:hanging="360"/>
      </w:pPr>
    </w:lvl>
    <w:lvl w:ilvl="1" w:tplc="EB526306" w:tentative="1">
      <w:start w:val="1"/>
      <w:numFmt w:val="lowerLetter"/>
      <w:lvlText w:val="%2."/>
      <w:lvlJc w:val="left"/>
      <w:pPr>
        <w:ind w:left="1080" w:hanging="360"/>
      </w:pPr>
    </w:lvl>
    <w:lvl w:ilvl="2" w:tplc="617E95B0" w:tentative="1">
      <w:start w:val="1"/>
      <w:numFmt w:val="lowerRoman"/>
      <w:lvlText w:val="%3."/>
      <w:lvlJc w:val="right"/>
      <w:pPr>
        <w:ind w:left="1800" w:hanging="180"/>
      </w:pPr>
    </w:lvl>
    <w:lvl w:ilvl="3" w:tplc="277AFDE8" w:tentative="1">
      <w:start w:val="1"/>
      <w:numFmt w:val="decimal"/>
      <w:lvlText w:val="%4."/>
      <w:lvlJc w:val="left"/>
      <w:pPr>
        <w:ind w:left="2520" w:hanging="360"/>
      </w:pPr>
    </w:lvl>
    <w:lvl w:ilvl="4" w:tplc="3E80FFAC" w:tentative="1">
      <w:start w:val="1"/>
      <w:numFmt w:val="lowerLetter"/>
      <w:lvlText w:val="%5."/>
      <w:lvlJc w:val="left"/>
      <w:pPr>
        <w:ind w:left="3240" w:hanging="360"/>
      </w:pPr>
    </w:lvl>
    <w:lvl w:ilvl="5" w:tplc="1AC45A58" w:tentative="1">
      <w:start w:val="1"/>
      <w:numFmt w:val="lowerRoman"/>
      <w:lvlText w:val="%6."/>
      <w:lvlJc w:val="right"/>
      <w:pPr>
        <w:ind w:left="3960" w:hanging="180"/>
      </w:pPr>
    </w:lvl>
    <w:lvl w:ilvl="6" w:tplc="59684A38" w:tentative="1">
      <w:start w:val="1"/>
      <w:numFmt w:val="decimal"/>
      <w:lvlText w:val="%7."/>
      <w:lvlJc w:val="left"/>
      <w:pPr>
        <w:ind w:left="4680" w:hanging="360"/>
      </w:pPr>
    </w:lvl>
    <w:lvl w:ilvl="7" w:tplc="BA82C7B0" w:tentative="1">
      <w:start w:val="1"/>
      <w:numFmt w:val="lowerLetter"/>
      <w:lvlText w:val="%8."/>
      <w:lvlJc w:val="left"/>
      <w:pPr>
        <w:ind w:left="5400" w:hanging="360"/>
      </w:pPr>
    </w:lvl>
    <w:lvl w:ilvl="8" w:tplc="63B828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E70FE1E">
      <w:start w:val="1"/>
      <w:numFmt w:val="bullet"/>
      <w:lvlText w:val=""/>
      <w:lvlJc w:val="left"/>
      <w:pPr>
        <w:ind w:left="720" w:hanging="360"/>
      </w:pPr>
      <w:rPr>
        <w:rFonts w:ascii="Symbol" w:hAnsi="Symbol" w:hint="default"/>
      </w:rPr>
    </w:lvl>
    <w:lvl w:ilvl="1" w:tplc="7EBEC030" w:tentative="1">
      <w:start w:val="1"/>
      <w:numFmt w:val="bullet"/>
      <w:lvlText w:val="o"/>
      <w:lvlJc w:val="left"/>
      <w:pPr>
        <w:ind w:left="1440" w:hanging="360"/>
      </w:pPr>
      <w:rPr>
        <w:rFonts w:ascii="Courier New" w:hAnsi="Courier New" w:cs="Courier New" w:hint="default"/>
      </w:rPr>
    </w:lvl>
    <w:lvl w:ilvl="2" w:tplc="97F64C20" w:tentative="1">
      <w:start w:val="1"/>
      <w:numFmt w:val="bullet"/>
      <w:lvlText w:val=""/>
      <w:lvlJc w:val="left"/>
      <w:pPr>
        <w:ind w:left="2160" w:hanging="360"/>
      </w:pPr>
      <w:rPr>
        <w:rFonts w:ascii="Wingdings" w:hAnsi="Wingdings" w:hint="default"/>
      </w:rPr>
    </w:lvl>
    <w:lvl w:ilvl="3" w:tplc="C88EA59C" w:tentative="1">
      <w:start w:val="1"/>
      <w:numFmt w:val="bullet"/>
      <w:lvlText w:val=""/>
      <w:lvlJc w:val="left"/>
      <w:pPr>
        <w:ind w:left="2880" w:hanging="360"/>
      </w:pPr>
      <w:rPr>
        <w:rFonts w:ascii="Symbol" w:hAnsi="Symbol" w:hint="default"/>
      </w:rPr>
    </w:lvl>
    <w:lvl w:ilvl="4" w:tplc="BDC48740" w:tentative="1">
      <w:start w:val="1"/>
      <w:numFmt w:val="bullet"/>
      <w:lvlText w:val="o"/>
      <w:lvlJc w:val="left"/>
      <w:pPr>
        <w:ind w:left="3600" w:hanging="360"/>
      </w:pPr>
      <w:rPr>
        <w:rFonts w:ascii="Courier New" w:hAnsi="Courier New" w:cs="Courier New" w:hint="default"/>
      </w:rPr>
    </w:lvl>
    <w:lvl w:ilvl="5" w:tplc="37BA3EA0" w:tentative="1">
      <w:start w:val="1"/>
      <w:numFmt w:val="bullet"/>
      <w:lvlText w:val=""/>
      <w:lvlJc w:val="left"/>
      <w:pPr>
        <w:ind w:left="4320" w:hanging="360"/>
      </w:pPr>
      <w:rPr>
        <w:rFonts w:ascii="Wingdings" w:hAnsi="Wingdings" w:hint="default"/>
      </w:rPr>
    </w:lvl>
    <w:lvl w:ilvl="6" w:tplc="0332D12A" w:tentative="1">
      <w:start w:val="1"/>
      <w:numFmt w:val="bullet"/>
      <w:lvlText w:val=""/>
      <w:lvlJc w:val="left"/>
      <w:pPr>
        <w:ind w:left="5040" w:hanging="360"/>
      </w:pPr>
      <w:rPr>
        <w:rFonts w:ascii="Symbol" w:hAnsi="Symbol" w:hint="default"/>
      </w:rPr>
    </w:lvl>
    <w:lvl w:ilvl="7" w:tplc="C2B0506E" w:tentative="1">
      <w:start w:val="1"/>
      <w:numFmt w:val="bullet"/>
      <w:lvlText w:val="o"/>
      <w:lvlJc w:val="left"/>
      <w:pPr>
        <w:ind w:left="5760" w:hanging="360"/>
      </w:pPr>
      <w:rPr>
        <w:rFonts w:ascii="Courier New" w:hAnsi="Courier New" w:cs="Courier New" w:hint="default"/>
      </w:rPr>
    </w:lvl>
    <w:lvl w:ilvl="8" w:tplc="F70AEEBE" w:tentative="1">
      <w:start w:val="1"/>
      <w:numFmt w:val="bullet"/>
      <w:lvlText w:val=""/>
      <w:lvlJc w:val="left"/>
      <w:pPr>
        <w:ind w:left="6480" w:hanging="360"/>
      </w:pPr>
      <w:rPr>
        <w:rFonts w:ascii="Wingdings" w:hAnsi="Wingdings" w:hint="default"/>
      </w:rPr>
    </w:lvl>
  </w:abstractNum>
  <w:num w:numId="1" w16cid:durableId="882986490">
    <w:abstractNumId w:val="1"/>
  </w:num>
  <w:num w:numId="2" w16cid:durableId="103064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7584"/>
    <w:rsid w:val="00025B63"/>
    <w:rsid w:val="00075770"/>
    <w:rsid w:val="00717584"/>
    <w:rsid w:val="00BA3CE4"/>
    <w:rsid w:val="00FD68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A775"/>
  <w15:docId w15:val="{3247DB1C-76AF-4E12-84FB-26A0385C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10366</Words>
  <Characters>59091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2024-11-06T03:53:00Z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