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F4F78" w14:textId="77777777" w:rsidR="00000000" w:rsidRDefault="00000000">
      <w:pPr>
        <w:pStyle w:val="Heading1"/>
        <w:rPr>
          <w:rFonts w:cs="Arial"/>
        </w:rPr>
      </w:pPr>
      <w:bookmarkStart w:id="0" w:name="PRMS_RIName"/>
      <w:r>
        <w:rPr>
          <w:rFonts w:cs="Arial"/>
        </w:rPr>
        <w:t>Metlifecare Retirement Villages Limited - Metlifecare Bayswater</w:t>
      </w:r>
      <w:bookmarkEnd w:id="0"/>
    </w:p>
    <w:p w14:paraId="2338867D" w14:textId="77777777" w:rsidR="00000000" w:rsidRDefault="00000000">
      <w:pPr>
        <w:pStyle w:val="Heading2"/>
        <w:spacing w:after="0"/>
        <w:rPr>
          <w:rFonts w:cs="Arial"/>
        </w:rPr>
      </w:pPr>
      <w:r>
        <w:rPr>
          <w:rFonts w:cs="Arial"/>
        </w:rPr>
        <w:t>Introduction</w:t>
      </w:r>
    </w:p>
    <w:p w14:paraId="4A8C1F5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C9BDDDE"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29B788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16A7AE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CF8BBF2" w14:textId="77777777" w:rsidR="00000000" w:rsidRDefault="00000000">
      <w:pPr>
        <w:spacing w:before="240" w:after="240"/>
        <w:rPr>
          <w:rFonts w:cs="Arial"/>
          <w:lang w:eastAsia="en-NZ"/>
        </w:rPr>
      </w:pPr>
      <w:r>
        <w:rPr>
          <w:rFonts w:cs="Arial"/>
          <w:lang w:eastAsia="en-NZ"/>
        </w:rPr>
        <w:t>The specifics of this audit included:</w:t>
      </w:r>
    </w:p>
    <w:p w14:paraId="3D4EF1D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8A1283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79908EA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Metlifecare Bayswater</w:t>
      </w:r>
      <w:bookmarkEnd w:id="5"/>
    </w:p>
    <w:p w14:paraId="39BDCA9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11159D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3 </w:t>
      </w:r>
      <w:r>
        <w:rPr>
          <w:rFonts w:cs="Arial"/>
        </w:rPr>
        <w:t>September 2024</w:t>
      </w:r>
      <w:bookmarkEnd w:id="7"/>
      <w:r w:rsidRPr="009418D4">
        <w:rPr>
          <w:rFonts w:cs="Arial"/>
        </w:rPr>
        <w:tab/>
        <w:t xml:space="preserve">End date: </w:t>
      </w:r>
      <w:bookmarkStart w:id="8" w:name="AuditEndDate"/>
      <w:r>
        <w:rPr>
          <w:rFonts w:cs="Arial"/>
        </w:rPr>
        <w:t>4 September 2024</w:t>
      </w:r>
      <w:bookmarkEnd w:id="8"/>
    </w:p>
    <w:p w14:paraId="51B18C23"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is suitable to provide hospital-medical services. Please add this to the certificate.</w:t>
      </w:r>
    </w:p>
    <w:bookmarkEnd w:id="9"/>
    <w:p w14:paraId="235A0989" w14:textId="77777777" w:rsidR="002366E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18</w:t>
      </w:r>
      <w:bookmarkEnd w:id="10"/>
    </w:p>
    <w:p w14:paraId="502C990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9F837C0" w14:textId="77777777" w:rsidR="00000000" w:rsidRDefault="00000000">
      <w:pPr>
        <w:pStyle w:val="Heading1"/>
        <w:rPr>
          <w:rFonts w:cs="Arial"/>
        </w:rPr>
      </w:pPr>
      <w:r>
        <w:rPr>
          <w:rFonts w:cs="Arial"/>
        </w:rPr>
        <w:lastRenderedPageBreak/>
        <w:t>Executive summary of the audit</w:t>
      </w:r>
    </w:p>
    <w:p w14:paraId="227FAB26" w14:textId="77777777" w:rsidR="00000000" w:rsidRDefault="00000000">
      <w:pPr>
        <w:pStyle w:val="Heading2"/>
        <w:rPr>
          <w:rFonts w:cs="Arial"/>
        </w:rPr>
      </w:pPr>
      <w:r>
        <w:rPr>
          <w:rFonts w:cs="Arial"/>
        </w:rPr>
        <w:t>Introduction</w:t>
      </w:r>
    </w:p>
    <w:p w14:paraId="16D5A7F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D98D24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AC7755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0EE318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CEEB91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D40B32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624BCF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A71867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03FD141"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366EE" w14:paraId="1530B1DA" w14:textId="77777777">
        <w:trPr>
          <w:cantSplit/>
          <w:tblHeader/>
        </w:trPr>
        <w:tc>
          <w:tcPr>
            <w:tcW w:w="1260" w:type="dxa"/>
            <w:tcBorders>
              <w:bottom w:val="single" w:sz="4" w:space="0" w:color="000000"/>
            </w:tcBorders>
            <w:vAlign w:val="center"/>
          </w:tcPr>
          <w:p w14:paraId="3B4B7E8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A42120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3BA8297" w14:textId="77777777" w:rsidR="00000000" w:rsidRDefault="00000000">
            <w:pPr>
              <w:spacing w:before="60" w:after="60"/>
              <w:rPr>
                <w:rFonts w:eastAsia="Calibri"/>
                <w:b/>
                <w:szCs w:val="24"/>
              </w:rPr>
            </w:pPr>
            <w:r>
              <w:rPr>
                <w:rFonts w:eastAsia="Calibri"/>
                <w:b/>
                <w:szCs w:val="24"/>
              </w:rPr>
              <w:t>Definition</w:t>
            </w:r>
          </w:p>
        </w:tc>
      </w:tr>
      <w:tr w:rsidR="002366EE" w14:paraId="292B79FF" w14:textId="77777777">
        <w:trPr>
          <w:cantSplit/>
          <w:trHeight w:val="964"/>
        </w:trPr>
        <w:tc>
          <w:tcPr>
            <w:tcW w:w="1260" w:type="dxa"/>
            <w:tcBorders>
              <w:bottom w:val="single" w:sz="4" w:space="0" w:color="000000"/>
            </w:tcBorders>
            <w:shd w:val="clear" w:color="0066FF" w:fill="0000FF"/>
            <w:vAlign w:val="center"/>
          </w:tcPr>
          <w:p w14:paraId="0823A74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AD41EC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6ADEB6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366EE" w14:paraId="1C3A7C0E" w14:textId="77777777">
        <w:trPr>
          <w:cantSplit/>
          <w:trHeight w:val="964"/>
        </w:trPr>
        <w:tc>
          <w:tcPr>
            <w:tcW w:w="1260" w:type="dxa"/>
            <w:shd w:val="clear" w:color="33CC33" w:fill="00FF00"/>
            <w:vAlign w:val="center"/>
          </w:tcPr>
          <w:p w14:paraId="03F4075A" w14:textId="77777777" w:rsidR="00000000" w:rsidRDefault="00000000">
            <w:pPr>
              <w:spacing w:before="60" w:after="60"/>
              <w:rPr>
                <w:rFonts w:eastAsia="Calibri"/>
                <w:szCs w:val="24"/>
              </w:rPr>
            </w:pPr>
          </w:p>
        </w:tc>
        <w:tc>
          <w:tcPr>
            <w:tcW w:w="7095" w:type="dxa"/>
            <w:shd w:val="clear" w:color="auto" w:fill="auto"/>
            <w:vAlign w:val="center"/>
          </w:tcPr>
          <w:p w14:paraId="43CAC7C2"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55E42E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366EE" w14:paraId="162D29A5" w14:textId="77777777">
        <w:trPr>
          <w:cantSplit/>
          <w:trHeight w:val="964"/>
        </w:trPr>
        <w:tc>
          <w:tcPr>
            <w:tcW w:w="1260" w:type="dxa"/>
            <w:tcBorders>
              <w:bottom w:val="single" w:sz="4" w:space="0" w:color="000000"/>
            </w:tcBorders>
            <w:shd w:val="clear" w:color="auto" w:fill="FFFF00"/>
            <w:vAlign w:val="center"/>
          </w:tcPr>
          <w:p w14:paraId="0AB5E587" w14:textId="77777777" w:rsidR="00000000" w:rsidRDefault="00000000">
            <w:pPr>
              <w:spacing w:before="60" w:after="60"/>
              <w:rPr>
                <w:rFonts w:eastAsia="Calibri"/>
                <w:szCs w:val="24"/>
              </w:rPr>
            </w:pPr>
          </w:p>
        </w:tc>
        <w:tc>
          <w:tcPr>
            <w:tcW w:w="7095" w:type="dxa"/>
            <w:shd w:val="clear" w:color="auto" w:fill="auto"/>
            <w:vAlign w:val="center"/>
          </w:tcPr>
          <w:p w14:paraId="7F33279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883750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366EE" w14:paraId="7788EBA6" w14:textId="77777777">
        <w:trPr>
          <w:cantSplit/>
          <w:trHeight w:val="964"/>
        </w:trPr>
        <w:tc>
          <w:tcPr>
            <w:tcW w:w="1260" w:type="dxa"/>
            <w:tcBorders>
              <w:bottom w:val="single" w:sz="4" w:space="0" w:color="000000"/>
            </w:tcBorders>
            <w:shd w:val="clear" w:color="auto" w:fill="FFC800"/>
            <w:vAlign w:val="center"/>
          </w:tcPr>
          <w:p w14:paraId="5DA356D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E473CE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DF8A96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366EE" w14:paraId="057489BE" w14:textId="77777777">
        <w:trPr>
          <w:cantSplit/>
          <w:trHeight w:val="964"/>
        </w:trPr>
        <w:tc>
          <w:tcPr>
            <w:tcW w:w="1260" w:type="dxa"/>
            <w:shd w:val="clear" w:color="auto" w:fill="FF0000"/>
            <w:vAlign w:val="center"/>
          </w:tcPr>
          <w:p w14:paraId="5AC547E6" w14:textId="77777777" w:rsidR="00000000" w:rsidRDefault="00000000">
            <w:pPr>
              <w:spacing w:before="60" w:after="60"/>
              <w:rPr>
                <w:rFonts w:eastAsia="Calibri"/>
                <w:szCs w:val="24"/>
              </w:rPr>
            </w:pPr>
          </w:p>
        </w:tc>
        <w:tc>
          <w:tcPr>
            <w:tcW w:w="7095" w:type="dxa"/>
            <w:shd w:val="clear" w:color="auto" w:fill="auto"/>
            <w:vAlign w:val="center"/>
          </w:tcPr>
          <w:p w14:paraId="5D64217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565979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2D4FF5C" w14:textId="77777777" w:rsidR="00000000" w:rsidRDefault="00000000">
      <w:pPr>
        <w:pStyle w:val="Heading2"/>
        <w:spacing w:after="0"/>
        <w:rPr>
          <w:rFonts w:cs="Arial"/>
        </w:rPr>
      </w:pPr>
      <w:r>
        <w:rPr>
          <w:rFonts w:cs="Arial"/>
        </w:rPr>
        <w:t>General overview of the audit</w:t>
      </w:r>
    </w:p>
    <w:p w14:paraId="20555540" w14:textId="77777777" w:rsidR="00000000" w:rsidRDefault="00000000">
      <w:pPr>
        <w:spacing w:before="240" w:line="276" w:lineRule="auto"/>
        <w:rPr>
          <w:rFonts w:eastAsia="Calibri"/>
        </w:rPr>
      </w:pPr>
      <w:bookmarkStart w:id="13" w:name="GeneralOverview"/>
      <w:r w:rsidRPr="00A4268A">
        <w:rPr>
          <w:rFonts w:eastAsia="Calibri"/>
        </w:rPr>
        <w:t xml:space="preserve">Metlifecare Bayswater is owned and operated by Metlifecare Retirement Villages Limited. The facility opened in December 2023 and part of a well-established village in Tauranga. The service provides hospital (geriatric) and rest home levels of care for up to 24 residents. On the day of the audit there were 18 residents. </w:t>
      </w:r>
    </w:p>
    <w:p w14:paraId="04B43027" w14:textId="77777777" w:rsidR="002366EE"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nurse practitioner. </w:t>
      </w:r>
    </w:p>
    <w:p w14:paraId="0FA7E89D" w14:textId="77777777" w:rsidR="002366EE" w:rsidRPr="00A4268A" w:rsidRDefault="00000000">
      <w:pPr>
        <w:spacing w:before="240" w:line="276" w:lineRule="auto"/>
        <w:rPr>
          <w:rFonts w:eastAsia="Calibri"/>
        </w:rPr>
      </w:pPr>
      <w:r w:rsidRPr="00A4268A">
        <w:rPr>
          <w:rFonts w:eastAsia="Calibri"/>
        </w:rPr>
        <w:t>The nurse manager, a registered nurse, is suitably qualified and experienced in aged care. The nurse manager is supported by the regional clinical manager, village manager, and team of experienced care staff. These roles are supported by the Metlifecare head of clinical.</w:t>
      </w:r>
    </w:p>
    <w:p w14:paraId="37939B76" w14:textId="77777777" w:rsidR="002366EE" w:rsidRPr="00A4268A" w:rsidRDefault="00000000">
      <w:pPr>
        <w:spacing w:before="240" w:line="276" w:lineRule="auto"/>
        <w:rPr>
          <w:rFonts w:eastAsia="Calibri"/>
        </w:rPr>
      </w:pPr>
      <w:r w:rsidRPr="00A4268A">
        <w:rPr>
          <w:rFonts w:eastAsia="Calibri"/>
        </w:rPr>
        <w:t>This audit has identified the service meets the Ngā Paerewa Health and Disability Services Standards.</w:t>
      </w:r>
    </w:p>
    <w:bookmarkEnd w:id="13"/>
    <w:p w14:paraId="34BFE232" w14:textId="77777777" w:rsidR="002366EE" w:rsidRPr="00A4268A" w:rsidRDefault="002366EE">
      <w:pPr>
        <w:spacing w:before="240" w:line="276" w:lineRule="auto"/>
        <w:rPr>
          <w:rFonts w:eastAsia="Calibri"/>
        </w:rPr>
      </w:pPr>
    </w:p>
    <w:p w14:paraId="40557A5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366EE" w14:paraId="4E343E8B" w14:textId="77777777" w:rsidTr="00A4268A">
        <w:trPr>
          <w:cantSplit/>
        </w:trPr>
        <w:tc>
          <w:tcPr>
            <w:tcW w:w="10206" w:type="dxa"/>
            <w:vAlign w:val="center"/>
          </w:tcPr>
          <w:p w14:paraId="2A4273A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25CB68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9D3042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F522A7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5504B7D" w14:textId="77777777" w:rsidR="00000000" w:rsidRDefault="00000000">
      <w:pPr>
        <w:spacing w:before="240" w:line="276" w:lineRule="auto"/>
        <w:rPr>
          <w:rFonts w:eastAsia="Calibri"/>
        </w:rPr>
      </w:pPr>
      <w:bookmarkStart w:id="16" w:name="ConsumerRights"/>
      <w:r w:rsidRPr="00A4268A">
        <w:rPr>
          <w:rFonts w:eastAsia="Calibri"/>
        </w:rPr>
        <w:t>Metlifecare Bayswater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346CD0F4" w14:textId="77777777" w:rsidR="002366EE"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Metlifecare Bayswater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4D98F29D" w14:textId="77777777" w:rsidR="002366EE"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7FA03FEE" w14:textId="77777777" w:rsidR="002366EE" w:rsidRPr="00A4268A" w:rsidRDefault="002366EE">
      <w:pPr>
        <w:spacing w:before="240" w:line="276" w:lineRule="auto"/>
        <w:rPr>
          <w:rFonts w:eastAsia="Calibri"/>
        </w:rPr>
      </w:pPr>
    </w:p>
    <w:p w14:paraId="41C197E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366EE" w14:paraId="35AB9E0A" w14:textId="77777777" w:rsidTr="00A4268A">
        <w:trPr>
          <w:cantSplit/>
        </w:trPr>
        <w:tc>
          <w:tcPr>
            <w:tcW w:w="10206" w:type="dxa"/>
            <w:vAlign w:val="center"/>
          </w:tcPr>
          <w:p w14:paraId="3AEE52B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3E7F45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496BBB3"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3DAC193" w14:textId="77777777" w:rsidR="00000000" w:rsidRDefault="00000000">
      <w:pPr>
        <w:spacing w:before="240" w:line="276" w:lineRule="auto"/>
        <w:rPr>
          <w:rFonts w:eastAsia="Calibri"/>
        </w:rPr>
      </w:pPr>
      <w:bookmarkStart w:id="19" w:name="OrganisationalManagement"/>
      <w:r w:rsidRPr="00A4268A">
        <w:rPr>
          <w:rFonts w:eastAsia="Calibri"/>
        </w:rPr>
        <w:t xml:space="preserve">Metlifecare Bayswater is part of the Metlifecare Retirement Villages Limited. The business plan includes a mission statement and operational and clinical objectives. The service has effective quality and risk management systems in place that takes a risk-based </w:t>
      </w:r>
      <w:r w:rsidRPr="00A4268A">
        <w:rPr>
          <w:rFonts w:eastAsia="Calibri"/>
        </w:rPr>
        <w:lastRenderedPageBreak/>
        <w:t xml:space="preserve">approach, and these systems meet the needs of residents and their staff. Quality improvement projects are implemented. Internal audits, meetings, and collation of data were all documented as taking place as scheduled, with corrective actions as indicated. </w:t>
      </w:r>
    </w:p>
    <w:p w14:paraId="4A40D302" w14:textId="77777777" w:rsidR="002366EE"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Staff incidents, hazards and risk information is collated at facility level, reported to the head of health and safety and general manager clinical and risk and a consolidated report and analysis of all Metlifecare facilities are then provided to the Board each month.</w:t>
      </w:r>
    </w:p>
    <w:p w14:paraId="33EBCCD1" w14:textId="77777777" w:rsidR="002366EE"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w:t>
      </w:r>
    </w:p>
    <w:p w14:paraId="781D46A3" w14:textId="77777777" w:rsidR="002366EE"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162BDDD1" w14:textId="77777777" w:rsidR="002366EE" w:rsidRPr="00A4268A" w:rsidRDefault="002366EE">
      <w:pPr>
        <w:spacing w:before="240" w:line="276" w:lineRule="auto"/>
        <w:rPr>
          <w:rFonts w:eastAsia="Calibri"/>
        </w:rPr>
      </w:pPr>
    </w:p>
    <w:p w14:paraId="2BE9657B"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366EE" w14:paraId="7A3BDF6F" w14:textId="77777777" w:rsidTr="00A4268A">
        <w:trPr>
          <w:cantSplit/>
        </w:trPr>
        <w:tc>
          <w:tcPr>
            <w:tcW w:w="10206" w:type="dxa"/>
            <w:vAlign w:val="center"/>
          </w:tcPr>
          <w:p w14:paraId="33E6EF4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D758D1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1B1BA10"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5F7AD8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On entry to the service, information is provided to residents and their family/whānau and consultation occurs regarding entry criteria and service provision. Information is provided in accessible formats, as required. Registered nurses assess residents on admission. InterRAI assessments and risk assessments are used to identify residents’ needs, and long-term care plans are developed and implemented. The general practitioner or nurse practitioner completes a medical assessment on admission and reviews occur thereafter on a regular basis. Handovers between shifts guide continuity of care and teamwork is encouraged.</w:t>
      </w:r>
    </w:p>
    <w:p w14:paraId="69C99006" w14:textId="77777777" w:rsidR="002366EE" w:rsidRPr="00A4268A" w:rsidRDefault="00000000" w:rsidP="00621629">
      <w:pPr>
        <w:spacing w:before="240" w:line="276" w:lineRule="auto"/>
        <w:rPr>
          <w:rFonts w:eastAsia="Calibri"/>
        </w:rPr>
      </w:pPr>
      <w:r w:rsidRPr="00A4268A">
        <w:rPr>
          <w:rFonts w:eastAsia="Calibri"/>
        </w:rPr>
        <w:lastRenderedPageBreak/>
        <w:t>The activity programme is provided by a diversional therapist who provides a programme with a variety of individual, group activities and maintains resident links with the community. Activities are adapted to encourage sensory stimulation, and residents are able to participate in a range of activities that are appropriate to their cognitive and physical capabilities.</w:t>
      </w:r>
    </w:p>
    <w:p w14:paraId="74A730E9" w14:textId="77777777" w:rsidR="002366EE" w:rsidRPr="00A4268A" w:rsidRDefault="0000000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4D0C48B7" w14:textId="77777777" w:rsidR="002366EE" w:rsidRPr="00A4268A" w:rsidRDefault="00000000" w:rsidP="00621629">
      <w:pPr>
        <w:spacing w:before="240" w:line="276" w:lineRule="auto"/>
        <w:rPr>
          <w:rFonts w:eastAsia="Calibri"/>
        </w:rPr>
      </w:pPr>
      <w:r w:rsidRPr="00A4268A">
        <w:rPr>
          <w:rFonts w:eastAsia="Calibri"/>
        </w:rPr>
        <w:t xml:space="preserve">The food service meets the nutritional needs of the residents. All meals are prepared on site. The service has a current food control plan. The organisational dietitian reviews the menu plans. Residents and family/whānau confirmed satisfaction with meals provided. </w:t>
      </w:r>
    </w:p>
    <w:p w14:paraId="6B4E67E0" w14:textId="77777777" w:rsidR="002366EE" w:rsidRPr="00A4268A" w:rsidRDefault="00000000" w:rsidP="00621629">
      <w:pPr>
        <w:spacing w:before="240" w:line="276" w:lineRule="auto"/>
        <w:rPr>
          <w:rFonts w:eastAsia="Calibri"/>
        </w:rPr>
      </w:pPr>
      <w:r w:rsidRPr="00A4268A">
        <w:rPr>
          <w:rFonts w:eastAsia="Calibri"/>
        </w:rPr>
        <w:t>Discharge, or transfer is managed in a planned and coordinated manner.</w:t>
      </w:r>
    </w:p>
    <w:bookmarkEnd w:id="22"/>
    <w:p w14:paraId="39F3DC95" w14:textId="77777777" w:rsidR="002366EE" w:rsidRPr="00A4268A" w:rsidRDefault="002366EE" w:rsidP="00621629">
      <w:pPr>
        <w:spacing w:before="240" w:line="276" w:lineRule="auto"/>
        <w:rPr>
          <w:rFonts w:eastAsia="Calibri"/>
        </w:rPr>
      </w:pPr>
    </w:p>
    <w:p w14:paraId="5B6222A9"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366EE" w14:paraId="2FBFE0F9" w14:textId="77777777" w:rsidTr="00A4268A">
        <w:trPr>
          <w:cantSplit/>
        </w:trPr>
        <w:tc>
          <w:tcPr>
            <w:tcW w:w="10206" w:type="dxa"/>
            <w:vAlign w:val="center"/>
          </w:tcPr>
          <w:p w14:paraId="5ED881C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2F703E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95DD4F7"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F2670BE"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certificate. There is an annual maintenance plan that includes electrical compliance testing, call bell checks, calibration of medical equipment, hot water temperatures and appropriate pest control management. Residents can freely mobilise within the communal areas. Residents` bedrooms are all single occupancy, apart from one double bedroom occupied by a couple. Toilets have privacy locks. Resident rooms are personalised. The outdoor areas provide seating and shade. Systems are in place for essential, emergency and security services. Staff have planned and implemented strategies for emergency management. There are adequate civil defence supplies in the event of an emergency.</w:t>
      </w:r>
    </w:p>
    <w:bookmarkEnd w:id="25"/>
    <w:p w14:paraId="30C02362" w14:textId="77777777" w:rsidR="002366EE" w:rsidRPr="00A4268A" w:rsidRDefault="002366EE">
      <w:pPr>
        <w:spacing w:before="240" w:line="276" w:lineRule="auto"/>
        <w:rPr>
          <w:rFonts w:eastAsia="Calibri"/>
        </w:rPr>
      </w:pPr>
    </w:p>
    <w:p w14:paraId="561A31E7"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366EE" w14:paraId="546D2C5E" w14:textId="77777777" w:rsidTr="00A4268A">
        <w:trPr>
          <w:cantSplit/>
        </w:trPr>
        <w:tc>
          <w:tcPr>
            <w:tcW w:w="10206" w:type="dxa"/>
            <w:vAlign w:val="center"/>
          </w:tcPr>
          <w:p w14:paraId="45F959D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9F753D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056FE78"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B4BE5D7"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tikanga guidelines.</w:t>
      </w:r>
    </w:p>
    <w:p w14:paraId="29BD6530" w14:textId="77777777" w:rsidR="002366EE"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w:t>
      </w:r>
    </w:p>
    <w:p w14:paraId="61DFB47B" w14:textId="77777777" w:rsidR="002366EE" w:rsidRPr="00A4268A" w:rsidRDefault="00000000">
      <w:pPr>
        <w:spacing w:before="240" w:line="276" w:lineRule="auto"/>
        <w:rPr>
          <w:rFonts w:eastAsia="Calibri"/>
        </w:rPr>
      </w:pPr>
      <w:r w:rsidRPr="00A4268A">
        <w:rPr>
          <w:rFonts w:eastAsia="Calibri"/>
        </w:rPr>
        <w:t xml:space="preserve">The service has a robust pandemic and outbreak management plan in place. Covid-19 response procedures are included to ensure screening of residents and visitors, and sufficient supply of protective equipment. The internal audit system monitors for a safe environment. There has been one outbreak since the previous audit. </w:t>
      </w:r>
    </w:p>
    <w:p w14:paraId="5E1BCEEA" w14:textId="77777777" w:rsidR="002366EE"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28"/>
    <w:p w14:paraId="6BDDC6FD" w14:textId="77777777" w:rsidR="002366EE" w:rsidRPr="00A4268A" w:rsidRDefault="002366EE">
      <w:pPr>
        <w:spacing w:before="240" w:line="276" w:lineRule="auto"/>
        <w:rPr>
          <w:rFonts w:eastAsia="Calibri"/>
        </w:rPr>
      </w:pPr>
    </w:p>
    <w:p w14:paraId="3627CBE6"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366EE" w14:paraId="7086483A" w14:textId="77777777" w:rsidTr="00A4268A">
        <w:trPr>
          <w:cantSplit/>
        </w:trPr>
        <w:tc>
          <w:tcPr>
            <w:tcW w:w="10206" w:type="dxa"/>
            <w:vAlign w:val="center"/>
          </w:tcPr>
          <w:p w14:paraId="2FC6174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D78387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81B0B1D"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A8DBA1A" w14:textId="77777777" w:rsidR="00000000" w:rsidRDefault="00000000">
      <w:pPr>
        <w:spacing w:before="240" w:line="276" w:lineRule="auto"/>
        <w:rPr>
          <w:rFonts w:eastAsia="Calibri"/>
        </w:rPr>
      </w:pPr>
      <w:bookmarkStart w:id="31" w:name="InfectionPreventionAndControl"/>
      <w:r w:rsidRPr="00A4268A">
        <w:rPr>
          <w:rFonts w:eastAsia="Calibri"/>
        </w:rPr>
        <w:t xml:space="preserve">Metlifecare has a documented commitment to eliminate restraint in all their facilities. Restraint policies and procedures are in place. Restraint is overseen by the restraint coordinator. At the time of the audit there were no residents using restraint. Maintaining a restraint-free environment is included as part of the education and training plan. The service considers least restrictive practices, implementing de-escalation techniques and alternative interventions, and only uses an approved restraint as the last resort. </w:t>
      </w:r>
    </w:p>
    <w:p w14:paraId="5A2959FA" w14:textId="77777777" w:rsidR="002366EE" w:rsidRPr="00A4268A" w:rsidRDefault="00000000">
      <w:pPr>
        <w:spacing w:before="240" w:line="276" w:lineRule="auto"/>
        <w:rPr>
          <w:rFonts w:eastAsia="Calibri"/>
        </w:rPr>
      </w:pPr>
      <w:r w:rsidRPr="00A4268A">
        <w:rPr>
          <w:rFonts w:eastAsia="Calibri"/>
        </w:rPr>
        <w:t>Restraint is an agenda item at quality, clinical, and staff meetings.</w:t>
      </w:r>
    </w:p>
    <w:bookmarkEnd w:id="31"/>
    <w:p w14:paraId="7F6DA030" w14:textId="77777777" w:rsidR="002366EE" w:rsidRPr="00A4268A" w:rsidRDefault="002366EE">
      <w:pPr>
        <w:spacing w:before="240" w:line="276" w:lineRule="auto"/>
        <w:rPr>
          <w:rFonts w:eastAsia="Calibri"/>
        </w:rPr>
      </w:pPr>
    </w:p>
    <w:p w14:paraId="2BA73F82" w14:textId="77777777" w:rsidR="00000000" w:rsidRDefault="00000000" w:rsidP="000E6E02">
      <w:pPr>
        <w:pStyle w:val="Heading2"/>
        <w:spacing w:before="0"/>
        <w:rPr>
          <w:rFonts w:cs="Arial"/>
        </w:rPr>
      </w:pPr>
      <w:r>
        <w:rPr>
          <w:rFonts w:cs="Arial"/>
        </w:rPr>
        <w:lastRenderedPageBreak/>
        <w:t>Summary of attainment</w:t>
      </w:r>
    </w:p>
    <w:p w14:paraId="4A3C319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366EE" w14:paraId="6256EEBF" w14:textId="77777777">
        <w:tc>
          <w:tcPr>
            <w:tcW w:w="1384" w:type="dxa"/>
            <w:vAlign w:val="center"/>
          </w:tcPr>
          <w:p w14:paraId="024880F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2888CA0" w14:textId="77777777" w:rsidR="00000000" w:rsidRDefault="00000000">
            <w:pPr>
              <w:keepNext/>
              <w:spacing w:before="60" w:after="60"/>
              <w:jc w:val="center"/>
              <w:rPr>
                <w:rFonts w:cs="Arial"/>
                <w:b/>
                <w:sz w:val="20"/>
                <w:szCs w:val="20"/>
              </w:rPr>
            </w:pPr>
            <w:r>
              <w:rPr>
                <w:rFonts w:cs="Arial"/>
                <w:b/>
                <w:sz w:val="20"/>
                <w:szCs w:val="20"/>
              </w:rPr>
              <w:t>Continuous Improvement</w:t>
            </w:r>
          </w:p>
          <w:p w14:paraId="3B87AA7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EA4A8D8" w14:textId="77777777" w:rsidR="00000000" w:rsidRDefault="00000000">
            <w:pPr>
              <w:keepNext/>
              <w:spacing w:before="60" w:after="60"/>
              <w:jc w:val="center"/>
              <w:rPr>
                <w:rFonts w:cs="Arial"/>
                <w:b/>
                <w:sz w:val="20"/>
                <w:szCs w:val="20"/>
              </w:rPr>
            </w:pPr>
            <w:r>
              <w:rPr>
                <w:rFonts w:cs="Arial"/>
                <w:b/>
                <w:sz w:val="20"/>
                <w:szCs w:val="20"/>
              </w:rPr>
              <w:t>Fully Attained</w:t>
            </w:r>
          </w:p>
          <w:p w14:paraId="6DEE571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B8FC10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4EE1CD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DD4329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0A60C0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D27FFF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294ADD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CDE8AB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07B83D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D7E8DE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B17925E" w14:textId="77777777" w:rsidR="00000000" w:rsidRDefault="00000000">
            <w:pPr>
              <w:keepNext/>
              <w:spacing w:before="60" w:after="60"/>
              <w:jc w:val="center"/>
              <w:rPr>
                <w:rFonts w:cs="Arial"/>
                <w:b/>
                <w:sz w:val="20"/>
                <w:szCs w:val="20"/>
              </w:rPr>
            </w:pPr>
            <w:r>
              <w:rPr>
                <w:rFonts w:cs="Arial"/>
                <w:b/>
                <w:sz w:val="20"/>
                <w:szCs w:val="20"/>
              </w:rPr>
              <w:t>(PA Critical)</w:t>
            </w:r>
          </w:p>
        </w:tc>
      </w:tr>
      <w:tr w:rsidR="002366EE" w14:paraId="684C4632" w14:textId="77777777">
        <w:tc>
          <w:tcPr>
            <w:tcW w:w="1384" w:type="dxa"/>
            <w:vAlign w:val="center"/>
          </w:tcPr>
          <w:p w14:paraId="3C1203F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A2F91E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DFDC72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BCCFFE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281FC4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FB76AC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A886FB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F31E5D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366EE" w14:paraId="019B176F" w14:textId="77777777">
        <w:tc>
          <w:tcPr>
            <w:tcW w:w="1384" w:type="dxa"/>
            <w:vAlign w:val="center"/>
          </w:tcPr>
          <w:p w14:paraId="512DD03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598D47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31B01C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2E207D3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F6FC6B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E268B3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7B7435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C9F981B"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5DEA5B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366EE" w14:paraId="730E474E" w14:textId="77777777">
        <w:tc>
          <w:tcPr>
            <w:tcW w:w="1384" w:type="dxa"/>
            <w:vAlign w:val="center"/>
          </w:tcPr>
          <w:p w14:paraId="39880D4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3728A7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C3745C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F7DE7B8" w14:textId="77777777" w:rsidR="00000000" w:rsidRDefault="00000000">
            <w:pPr>
              <w:keepNext/>
              <w:spacing w:before="60" w:after="60"/>
              <w:jc w:val="center"/>
              <w:rPr>
                <w:rFonts w:cs="Arial"/>
                <w:b/>
                <w:sz w:val="20"/>
                <w:szCs w:val="20"/>
              </w:rPr>
            </w:pPr>
            <w:r>
              <w:rPr>
                <w:rFonts w:cs="Arial"/>
                <w:b/>
                <w:sz w:val="20"/>
                <w:szCs w:val="20"/>
              </w:rPr>
              <w:t>Unattained Low Risk</w:t>
            </w:r>
          </w:p>
          <w:p w14:paraId="1C2F6FA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2DB7CEF" w14:textId="77777777" w:rsidR="00000000" w:rsidRDefault="00000000">
            <w:pPr>
              <w:keepNext/>
              <w:spacing w:before="60" w:after="60"/>
              <w:jc w:val="center"/>
              <w:rPr>
                <w:rFonts w:cs="Arial"/>
                <w:b/>
                <w:sz w:val="20"/>
                <w:szCs w:val="20"/>
              </w:rPr>
            </w:pPr>
            <w:r>
              <w:rPr>
                <w:rFonts w:cs="Arial"/>
                <w:b/>
                <w:sz w:val="20"/>
                <w:szCs w:val="20"/>
              </w:rPr>
              <w:t>Unattained Moderate Risk</w:t>
            </w:r>
          </w:p>
          <w:p w14:paraId="1954D52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68254CB" w14:textId="77777777" w:rsidR="00000000" w:rsidRDefault="00000000">
            <w:pPr>
              <w:keepNext/>
              <w:spacing w:before="60" w:after="60"/>
              <w:jc w:val="center"/>
              <w:rPr>
                <w:rFonts w:cs="Arial"/>
                <w:b/>
                <w:sz w:val="20"/>
                <w:szCs w:val="20"/>
              </w:rPr>
            </w:pPr>
            <w:r>
              <w:rPr>
                <w:rFonts w:cs="Arial"/>
                <w:b/>
                <w:sz w:val="20"/>
                <w:szCs w:val="20"/>
              </w:rPr>
              <w:t>Unattained High Risk</w:t>
            </w:r>
          </w:p>
          <w:p w14:paraId="30FBD3D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7FB1F72" w14:textId="77777777" w:rsidR="00000000" w:rsidRDefault="00000000">
            <w:pPr>
              <w:keepNext/>
              <w:spacing w:before="60" w:after="60"/>
              <w:jc w:val="center"/>
              <w:rPr>
                <w:rFonts w:cs="Arial"/>
                <w:b/>
                <w:sz w:val="20"/>
                <w:szCs w:val="20"/>
              </w:rPr>
            </w:pPr>
            <w:r>
              <w:rPr>
                <w:rFonts w:cs="Arial"/>
                <w:b/>
                <w:sz w:val="20"/>
                <w:szCs w:val="20"/>
              </w:rPr>
              <w:t>Unattained Critical Risk</w:t>
            </w:r>
          </w:p>
          <w:p w14:paraId="07F23CAC" w14:textId="77777777" w:rsidR="00000000" w:rsidRDefault="00000000">
            <w:pPr>
              <w:keepNext/>
              <w:spacing w:before="60" w:after="60"/>
              <w:jc w:val="center"/>
              <w:rPr>
                <w:rFonts w:cs="Arial"/>
                <w:b/>
                <w:sz w:val="20"/>
                <w:szCs w:val="20"/>
              </w:rPr>
            </w:pPr>
            <w:r>
              <w:rPr>
                <w:rFonts w:cs="Arial"/>
                <w:b/>
                <w:sz w:val="20"/>
                <w:szCs w:val="20"/>
              </w:rPr>
              <w:t>(UA Critical)</w:t>
            </w:r>
          </w:p>
        </w:tc>
      </w:tr>
      <w:tr w:rsidR="002366EE" w14:paraId="60659DAE" w14:textId="77777777">
        <w:tc>
          <w:tcPr>
            <w:tcW w:w="1384" w:type="dxa"/>
            <w:vAlign w:val="center"/>
          </w:tcPr>
          <w:p w14:paraId="05D27DB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72D8B0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93C6D0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E308B5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75DD5C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5E013D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366EE" w14:paraId="548B8AEB" w14:textId="77777777">
        <w:tc>
          <w:tcPr>
            <w:tcW w:w="1384" w:type="dxa"/>
            <w:vAlign w:val="center"/>
          </w:tcPr>
          <w:p w14:paraId="355F0B1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A39DE0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908915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8BD3AD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E86D10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50CBBC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85D2ED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9DBB7C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D26A29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E393FF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2366EE" w14:paraId="15C304DF" w14:textId="77777777">
        <w:tc>
          <w:tcPr>
            <w:tcW w:w="0" w:type="auto"/>
          </w:tcPr>
          <w:p w14:paraId="0557EC5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912273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87619A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366EE" w14:paraId="5D5A82CA" w14:textId="77777777">
        <w:tc>
          <w:tcPr>
            <w:tcW w:w="0" w:type="auto"/>
          </w:tcPr>
          <w:p w14:paraId="759E93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F89158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90BD0DC" w14:textId="77777777" w:rsidR="00000000" w:rsidRPr="00BE00C7" w:rsidRDefault="00000000" w:rsidP="00BE00C7">
            <w:pPr>
              <w:pStyle w:val="OutcomeDescription"/>
              <w:spacing w:before="120" w:after="120"/>
              <w:rPr>
                <w:rFonts w:cs="Arial"/>
                <w:lang w:eastAsia="en-NZ"/>
              </w:rPr>
            </w:pPr>
          </w:p>
        </w:tc>
        <w:tc>
          <w:tcPr>
            <w:tcW w:w="0" w:type="auto"/>
          </w:tcPr>
          <w:p w14:paraId="455842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F11D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and based on He Korowhai Oranga: Māori Health Strategy 2014. This policy acknowledges Te Tiriti o Waitangi as a founding document for New Zealand. The service has no residents who identify as Māori. Metlifecare is committed to respecting the self-determination, cultural values, and beliefs of Māori residents and family/whānau and the resident care plans include a Māori Health care plan based on Te Whare Tapa Whā. Links are established with local Māori community members. Cultural assessments are in place and are completed for residents who identify as Māori (when required). </w:t>
            </w:r>
          </w:p>
          <w:p w14:paraId="6E1722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Metlifecare strategic direction, mission and values support strategies to increase Māori capacity by employing and recruiting Māori staff at Metlifecare Bayswater. Metlifecare Bayswater business plan and Cultural Responsiveness policy documents a commitment and responsiveness to a culturally diverse workforce. At the time of the audit, there were staff members who identified as Māori. Metlifecare is supporting Māori staff to succeed in the workplace, the Māori health plan documents workforce inclusion strategies. Residents and family/whānau are involved in providing input into the resident’s care planning, their activities, and their dietary needs. </w:t>
            </w:r>
          </w:p>
          <w:p w14:paraId="088097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Interviews included seven staff (two caregiver, two registered nurses [RNs], a diversional therapist [DT], one sous chef and cook) and six managers (village manager, nurse manager, kitchen manager, maintenance manager, regional clinical manager, general manager of operation and Head of Clinical) and a contract cleaner. </w:t>
            </w:r>
          </w:p>
          <w:p w14:paraId="482F65A0" w14:textId="77777777" w:rsidR="00000000" w:rsidRPr="00BE00C7" w:rsidRDefault="00000000" w:rsidP="00BE00C7">
            <w:pPr>
              <w:pStyle w:val="OutcomeDescription"/>
              <w:spacing w:before="120" w:after="120"/>
              <w:rPr>
                <w:rFonts w:cs="Arial"/>
                <w:lang w:eastAsia="en-NZ"/>
              </w:rPr>
            </w:pPr>
          </w:p>
        </w:tc>
      </w:tr>
      <w:tr w:rsidR="002366EE" w14:paraId="20E8D412" w14:textId="77777777">
        <w:tc>
          <w:tcPr>
            <w:tcW w:w="0" w:type="auto"/>
          </w:tcPr>
          <w:p w14:paraId="74586D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F604E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CC2B68C" w14:textId="77777777" w:rsidR="00000000" w:rsidRPr="00BE00C7" w:rsidRDefault="00000000" w:rsidP="00BE00C7">
            <w:pPr>
              <w:pStyle w:val="OutcomeDescription"/>
              <w:spacing w:before="120" w:after="120"/>
              <w:rPr>
                <w:rFonts w:cs="Arial"/>
                <w:lang w:eastAsia="en-NZ"/>
              </w:rPr>
            </w:pPr>
          </w:p>
        </w:tc>
        <w:tc>
          <w:tcPr>
            <w:tcW w:w="0" w:type="auto"/>
          </w:tcPr>
          <w:p w14:paraId="44E1D7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1DBD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Plan describes the commitment to appropriate care and is the basis of the Metlifecare Bayswater. The Pacific Care Plan supports either Te Vaka Atafaga or the Fonafale model of care depending on the model most appropriate for the individual, at their choice. The aim is to uphold the principles of Pacific people by acknowledging respectful relationships, valuing families, and providing high quality healthcare. There are Metlifecare cultural advisors that represent Pasifika staff and residents and ensure they have a voice.</w:t>
            </w:r>
          </w:p>
          <w:p w14:paraId="3AF259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no residents identifying as Pasifika at the time of the audit. The nurse manager confirmed that family/whānau are encouraged to be involved in all aspects of care particularly in nursing and medical decisions, and recognition of cultural needs. </w:t>
            </w:r>
          </w:p>
          <w:p w14:paraId="7E6B0819"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partners with their Pasifika employees to ensure connectivity within the region to increase knowledge, awareness and understanding of the needs of Pacific people and celebrating cultural activities. There were no Pasifika staff at Metlifecare Bayswater at the time of the audit. The Health and Disability Commissioner’s (HDC) Code of Health and Disability Code of Rights (the Code) are accessible in a range of Pasifika languages.</w:t>
            </w:r>
          </w:p>
          <w:p w14:paraId="6B229A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confirmed how Metlifecare Bayswater increases the capacity and capability of the Pacific workforce as described in the business plan 2024. </w:t>
            </w:r>
          </w:p>
          <w:p w14:paraId="29A1027A" w14:textId="77777777" w:rsidR="00000000" w:rsidRPr="00BE00C7" w:rsidRDefault="00000000" w:rsidP="00BE00C7">
            <w:pPr>
              <w:pStyle w:val="OutcomeDescription"/>
              <w:spacing w:before="120" w:after="120"/>
              <w:rPr>
                <w:rFonts w:cs="Arial"/>
                <w:lang w:eastAsia="en-NZ"/>
              </w:rPr>
            </w:pPr>
          </w:p>
        </w:tc>
      </w:tr>
      <w:tr w:rsidR="002366EE" w14:paraId="38BFD203" w14:textId="77777777">
        <w:tc>
          <w:tcPr>
            <w:tcW w:w="0" w:type="auto"/>
          </w:tcPr>
          <w:p w14:paraId="1F1C70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11601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lastRenderedPageBreak/>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452BA80" w14:textId="77777777" w:rsidR="00000000" w:rsidRPr="00BE00C7" w:rsidRDefault="00000000" w:rsidP="00BE00C7">
            <w:pPr>
              <w:pStyle w:val="OutcomeDescription"/>
              <w:spacing w:before="120" w:after="120"/>
              <w:rPr>
                <w:rFonts w:cs="Arial"/>
                <w:lang w:eastAsia="en-NZ"/>
              </w:rPr>
            </w:pPr>
          </w:p>
        </w:tc>
        <w:tc>
          <w:tcPr>
            <w:tcW w:w="0" w:type="auto"/>
          </w:tcPr>
          <w:p w14:paraId="54C9AF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57A9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Health and Disability Commissioner (HDC) Code of Health and Disability Services Consumer Rights (the Code) are included in the information that is provided to new residents and their family/whānau. The nurse manager, clinical nurse manager or clinical </w:t>
            </w:r>
            <w:r w:rsidRPr="00BE00C7">
              <w:rPr>
                <w:rFonts w:cs="Arial"/>
                <w:lang w:eastAsia="en-NZ"/>
              </w:rPr>
              <w:lastRenderedPageBreak/>
              <w:t>team leader discuss aspects of the Code with residents and their family/whānau on admission. The Code is displayed in multiple locations in English, and te reo Māori.</w:t>
            </w:r>
          </w:p>
          <w:p w14:paraId="35FDC792"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Families are invited to attend. Residents and family/whānau interviewed reported that the service is upholding the residents’ rights. Interactions observed between staff and residents during the audit were respectful.</w:t>
            </w:r>
          </w:p>
          <w:p w14:paraId="63DDF012"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resident advocacy is available at the entrance to the facility and in the entry pack of information provided to residents and their family/whānau. There are links to spiritual supports. Interdenominational church services are held weekly, and these are well attended by residents. Staff have completed cultural training which includes Māori rights, Māori model of care and health equity. The service recognises Māori mana motuhake, which reflects in the Metlifecare Bayswater business and quality plan for 2024 and Māori health plan.</w:t>
            </w:r>
          </w:p>
          <w:p w14:paraId="544FE00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is not limited to) understanding the role of advocacy services. Advocacy services are linked to the complaints process.</w:t>
            </w:r>
          </w:p>
          <w:p w14:paraId="1752E9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seven residents (three rest home and four hospital) and three family/whānau (hospital level care) confirm that individual cultural beliefs and values, are respected. </w:t>
            </w:r>
          </w:p>
          <w:p w14:paraId="62CEF5FD" w14:textId="77777777" w:rsidR="00000000" w:rsidRPr="00BE00C7" w:rsidRDefault="00000000" w:rsidP="00BE00C7">
            <w:pPr>
              <w:pStyle w:val="OutcomeDescription"/>
              <w:spacing w:before="120" w:after="120"/>
              <w:rPr>
                <w:rFonts w:cs="Arial"/>
                <w:lang w:eastAsia="en-NZ"/>
              </w:rPr>
            </w:pPr>
          </w:p>
        </w:tc>
      </w:tr>
      <w:tr w:rsidR="002366EE" w14:paraId="7534DC20" w14:textId="77777777">
        <w:tc>
          <w:tcPr>
            <w:tcW w:w="0" w:type="auto"/>
          </w:tcPr>
          <w:p w14:paraId="31E894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296FE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5A5873E" w14:textId="77777777" w:rsidR="00000000" w:rsidRPr="00BE00C7" w:rsidRDefault="00000000" w:rsidP="00BE00C7">
            <w:pPr>
              <w:pStyle w:val="OutcomeDescription"/>
              <w:spacing w:before="120" w:after="120"/>
              <w:rPr>
                <w:rFonts w:cs="Arial"/>
                <w:lang w:eastAsia="en-NZ"/>
              </w:rPr>
            </w:pPr>
          </w:p>
        </w:tc>
        <w:tc>
          <w:tcPr>
            <w:tcW w:w="0" w:type="auto"/>
          </w:tcPr>
          <w:p w14:paraId="2A4217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965D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how they support residents to choose what they want to do. Residents interviewed stated they have choice; they are treated with respect, and they participate in decision making. Residents are supported to make decisions about whether they would like family/whānau members to be involved in their care or other forms of support. Residents have control over their personal matters including choice over activities they participate in and who they socialise with. </w:t>
            </w:r>
          </w:p>
          <w:p w14:paraId="57821A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Metlifecare annual training plan demonstrates training that is </w:t>
            </w:r>
            <w:r w:rsidRPr="00BE00C7">
              <w:rPr>
                <w:rFonts w:cs="Arial"/>
                <w:lang w:eastAsia="en-NZ"/>
              </w:rPr>
              <w:lastRenderedPageBreak/>
              <w:t xml:space="preserve">responsive to the diverse needs of people across the service. The service promotes care that is resident directed, holistic and collective in nature through educating staff about te ao Māori and listening to tāngata whaikaha when planning or changing services. It was observed that residents are treated with dignity, respect and spoke to in a courteous manner. </w:t>
            </w:r>
          </w:p>
          <w:p w14:paraId="353920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have space for intimate relationships, including for the couple admitted in the service. Staff were observed to use person-centred and respectful language with residents. Residents and family/whānau interviewed were positive about the service in relation to their values and beliefs being considered and met. Privacy is ensured and independence is encouraged. Family/whānau interviewed stated that they enjoy coming and going as they please to visit their family member. </w:t>
            </w:r>
          </w:p>
          <w:p w14:paraId="6BA2636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and care plans identified resident’s preferred names. Values and beliefs information is gathered on admission with family involvement and is integrated into the residents' care plans. Spiritual needs are identified, church services are held, and spiritual support is available. A spirituality policy is in place. Satisfaction surveys are completed annually to survey resident satisfaction in relation to upholding resident ‘spiritual and cultural needs.</w:t>
            </w:r>
          </w:p>
          <w:p w14:paraId="4FCBC6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confirmed that cultural diversity is embedded at Metlifecare Bayswater, and this was confirmed during interviews with staff. Te reo Māori is celebrated, and staff are encouraged and supported with correct pronunciation. A tikanga Māori flip chart is available for staff to use and te reo Māori resources are available on the education platform. Cultural training is provided annually and covers Te Tiriti o Waitangi, health equity, Māori models of care and tikanga Māori.</w:t>
            </w:r>
          </w:p>
          <w:p w14:paraId="578DC7BF" w14:textId="77777777" w:rsidR="00000000" w:rsidRPr="00BE00C7" w:rsidRDefault="00000000" w:rsidP="00BE00C7">
            <w:pPr>
              <w:pStyle w:val="OutcomeDescription"/>
              <w:spacing w:before="120" w:after="120"/>
              <w:rPr>
                <w:rFonts w:cs="Arial"/>
                <w:lang w:eastAsia="en-NZ"/>
              </w:rPr>
            </w:pPr>
          </w:p>
        </w:tc>
      </w:tr>
      <w:tr w:rsidR="002366EE" w14:paraId="299C7778" w14:textId="77777777">
        <w:tc>
          <w:tcPr>
            <w:tcW w:w="0" w:type="auto"/>
          </w:tcPr>
          <w:p w14:paraId="07EDAD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42563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r>
            <w:r w:rsidRPr="00BE00C7">
              <w:rPr>
                <w:rFonts w:cs="Arial"/>
                <w:lang w:eastAsia="en-NZ"/>
              </w:rPr>
              <w:lastRenderedPageBreak/>
              <w:t>As service providers: We ensure the people using our services are safe and protected from abuse.</w:t>
            </w:r>
          </w:p>
          <w:p w14:paraId="696B3149" w14:textId="77777777" w:rsidR="00000000" w:rsidRPr="00BE00C7" w:rsidRDefault="00000000" w:rsidP="00BE00C7">
            <w:pPr>
              <w:pStyle w:val="OutcomeDescription"/>
              <w:spacing w:before="120" w:after="120"/>
              <w:rPr>
                <w:rFonts w:cs="Arial"/>
                <w:lang w:eastAsia="en-NZ"/>
              </w:rPr>
            </w:pPr>
          </w:p>
        </w:tc>
        <w:tc>
          <w:tcPr>
            <w:tcW w:w="0" w:type="auto"/>
          </w:tcPr>
          <w:p w14:paraId="504EA0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75E6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Metlifecare Bayswater policies documents actions taken to prevent any form of institutional racism, discrimination, coercion, harassment, or any other exploitation. The organisation is inclusive of all ethnicities, and cultural </w:t>
            </w:r>
            <w:r w:rsidRPr="00BE00C7">
              <w:rPr>
                <w:rFonts w:cs="Arial"/>
                <w:lang w:eastAsia="en-NZ"/>
              </w:rPr>
              <w:lastRenderedPageBreak/>
              <w:t>days are completed to celebrate diversity. A staff code of ethics is discussed and signed during the new employee’s induction to the service with evidence of staff signing the code of conduct policy. This code of ethics policy provides guidance on how to address elimination of discrimination, harassment, and bullying. All staff are held responsible for creating a positive, inclusive and a safe working environment. Cultural diversity is acknowledged, and staff are educated on systemic racism and the understanding of injustices through policy and the code of ethics. Metlifecare strategic direction, mission and values includes a commitment to abolish institutional racism.</w:t>
            </w:r>
          </w:p>
          <w:p w14:paraId="0D079A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as well as equality, diversity, and inclusion. All residents and family/whānau interviewed confirmed that the staff are very caring, supportive, and respectful. </w:t>
            </w:r>
          </w:p>
          <w:p w14:paraId="77C0E9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vetting checks are completed as part of the employment process. The service implements a process to manage residents’ comfort funds. Professional boundaries are defined in job descriptions. Interviews with registered nurses and caregivers confirmed their understanding of professional boundaries, including the boundaries of their role and responsibilities. Professional boundaries and code of ethics are covered as part of orientation. </w:t>
            </w:r>
          </w:p>
          <w:p w14:paraId="3ECF166F" w14:textId="77777777" w:rsidR="00000000" w:rsidRPr="00BE00C7" w:rsidRDefault="00000000" w:rsidP="00BE00C7">
            <w:pPr>
              <w:pStyle w:val="OutcomeDescription"/>
              <w:spacing w:before="120" w:after="120"/>
              <w:rPr>
                <w:rFonts w:cs="Arial"/>
                <w:lang w:eastAsia="en-NZ"/>
              </w:rPr>
            </w:pPr>
          </w:p>
        </w:tc>
      </w:tr>
      <w:tr w:rsidR="002366EE" w14:paraId="6097BD20" w14:textId="77777777">
        <w:tc>
          <w:tcPr>
            <w:tcW w:w="0" w:type="auto"/>
          </w:tcPr>
          <w:p w14:paraId="729FF3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D5095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78F2733" w14:textId="77777777" w:rsidR="00000000" w:rsidRPr="00BE00C7" w:rsidRDefault="00000000" w:rsidP="00BE00C7">
            <w:pPr>
              <w:pStyle w:val="OutcomeDescription"/>
              <w:spacing w:before="120" w:after="120"/>
              <w:rPr>
                <w:rFonts w:cs="Arial"/>
                <w:lang w:eastAsia="en-NZ"/>
              </w:rPr>
            </w:pPr>
          </w:p>
        </w:tc>
        <w:tc>
          <w:tcPr>
            <w:tcW w:w="0" w:type="auto"/>
          </w:tcPr>
          <w:p w14:paraId="69DF87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63C704"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is provided to residents and family/whānau on admission related to the type of services provided. Monthly resident meetings identify feedback from residents and consequent follow up by the service. Residents are also supported by the residents` EPOA (enduring power of attorney) to develop their goals and staff provide choice.</w:t>
            </w:r>
          </w:p>
          <w:p w14:paraId="71D6CA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of their responsibility to notify family/next of kin of any accident/incident that occurs. Electronic accident/incident forms have a section to indicate if the next of kin was informed of an accident/incident. This is also documented in the progress notes. A sample of accident/incident forms reviewed identified family/whānau </w:t>
            </w:r>
            <w:r w:rsidRPr="00BE00C7">
              <w:rPr>
                <w:rFonts w:cs="Arial"/>
                <w:lang w:eastAsia="en-NZ"/>
              </w:rPr>
              <w:lastRenderedPageBreak/>
              <w:t xml:space="preserve">were kept informed. This was also confirmed through interviews with family/whānau. </w:t>
            </w:r>
          </w:p>
          <w:p w14:paraId="5831FF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Resident and family/whānau participation is encourage through general feedback, case conference meetings, surveys and meetings. Regular newsletters and activity calendars are provided in large print format. </w:t>
            </w:r>
          </w:p>
          <w:p w14:paraId="1117D28C"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59F4EC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Health New Zealand Te Whatu Ora specialist services. The delivery of care includes a multidisciplinary team and residents and family/whānau provide consent and are communicated with regarding services involved. The nurse manager described an implemented process around providing residents with time for discussion around care, time to consider decisions, and opportunities for further discussion, if required. The electronic register captured numerous compliments from family/whānau which evidence effective communication. </w:t>
            </w:r>
          </w:p>
          <w:p w14:paraId="243000B4" w14:textId="77777777" w:rsidR="00000000" w:rsidRPr="00BE00C7" w:rsidRDefault="00000000" w:rsidP="00BE00C7">
            <w:pPr>
              <w:pStyle w:val="OutcomeDescription"/>
              <w:spacing w:before="120" w:after="120"/>
              <w:rPr>
                <w:rFonts w:cs="Arial"/>
                <w:lang w:eastAsia="en-NZ"/>
              </w:rPr>
            </w:pPr>
          </w:p>
        </w:tc>
      </w:tr>
      <w:tr w:rsidR="002366EE" w14:paraId="16922326" w14:textId="77777777">
        <w:tc>
          <w:tcPr>
            <w:tcW w:w="0" w:type="auto"/>
          </w:tcPr>
          <w:p w14:paraId="383F56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0DCEF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their ability </w:t>
            </w:r>
            <w:r w:rsidRPr="00BE00C7">
              <w:rPr>
                <w:rFonts w:cs="Arial"/>
                <w:lang w:eastAsia="en-NZ"/>
              </w:rPr>
              <w:lastRenderedPageBreak/>
              <w:t>to exercise independence, choice, and control.</w:t>
            </w:r>
          </w:p>
          <w:p w14:paraId="66DB07EF" w14:textId="77777777" w:rsidR="00000000" w:rsidRPr="00BE00C7" w:rsidRDefault="00000000" w:rsidP="00BE00C7">
            <w:pPr>
              <w:pStyle w:val="OutcomeDescription"/>
              <w:spacing w:before="120" w:after="120"/>
              <w:rPr>
                <w:rFonts w:cs="Arial"/>
                <w:lang w:eastAsia="en-NZ"/>
              </w:rPr>
            </w:pPr>
          </w:p>
        </w:tc>
        <w:tc>
          <w:tcPr>
            <w:tcW w:w="0" w:type="auto"/>
          </w:tcPr>
          <w:p w14:paraId="7BCC51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4F9D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Informed and Voluntary Consent policy guides staff around informed consent processes. The resident files reviewed included signed general consent forms as part of the admission agreement. Other consent forms include vaccinations, media release and van outings. Residents and family/whānau interviewed could describe what informed consent was and knew they had the right to choose. </w:t>
            </w:r>
          </w:p>
          <w:p w14:paraId="514A95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advanced directive policy is implemented. In the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w:t>
            </w:r>
            <w:r w:rsidRPr="00BE00C7">
              <w:rPr>
                <w:rFonts w:cs="Arial"/>
                <w:lang w:eastAsia="en-NZ"/>
              </w:rPr>
              <w:lastRenderedPageBreak/>
              <w:t xml:space="preserve">planning of resident’s care. Staff have received training related to informed consent. </w:t>
            </w:r>
          </w:p>
          <w:p w14:paraId="354FC222"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the files reviewed. Copies of enduring power of attorneys (EPOAs) were on resident files where applicable. Where an EPOA has been activated an activation letter and incapacity assessment was on file.</w:t>
            </w:r>
          </w:p>
          <w:p w14:paraId="4FD76D8A" w14:textId="77777777" w:rsidR="00000000" w:rsidRPr="00BE00C7" w:rsidRDefault="00000000" w:rsidP="00BE00C7">
            <w:pPr>
              <w:pStyle w:val="OutcomeDescription"/>
              <w:spacing w:before="120" w:after="120"/>
              <w:rPr>
                <w:rFonts w:cs="Arial"/>
                <w:lang w:eastAsia="en-NZ"/>
              </w:rPr>
            </w:pPr>
          </w:p>
        </w:tc>
      </w:tr>
      <w:tr w:rsidR="002366EE" w14:paraId="138EF05B" w14:textId="77777777">
        <w:tc>
          <w:tcPr>
            <w:tcW w:w="0" w:type="auto"/>
          </w:tcPr>
          <w:p w14:paraId="7F5B1E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5A944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9AA7E7F" w14:textId="77777777" w:rsidR="00000000" w:rsidRPr="00BE00C7" w:rsidRDefault="00000000" w:rsidP="00BE00C7">
            <w:pPr>
              <w:pStyle w:val="OutcomeDescription"/>
              <w:spacing w:before="120" w:after="120"/>
              <w:rPr>
                <w:rFonts w:cs="Arial"/>
                <w:lang w:eastAsia="en-NZ"/>
              </w:rPr>
            </w:pPr>
          </w:p>
        </w:tc>
        <w:tc>
          <w:tcPr>
            <w:tcW w:w="0" w:type="auto"/>
          </w:tcPr>
          <w:p w14:paraId="0CC38E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3BBF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nurse manager maintains a record of all complaints, both verbal and written, by using a complaint register. This register is held electronically. Documentation including follow-up letters and resolution demonstrates that complaints are being managed in accordance with guidelines set by the Health and Disability Commissioner (HDC). </w:t>
            </w:r>
          </w:p>
          <w:p w14:paraId="2031F573" w14:textId="77777777" w:rsidR="00000000" w:rsidRPr="00BE00C7" w:rsidRDefault="00000000" w:rsidP="00BE00C7">
            <w:pPr>
              <w:pStyle w:val="OutcomeDescription"/>
              <w:spacing w:before="120" w:after="120"/>
              <w:rPr>
                <w:rFonts w:cs="Arial"/>
                <w:lang w:eastAsia="en-NZ"/>
              </w:rPr>
            </w:pPr>
            <w:r w:rsidRPr="00BE00C7">
              <w:rPr>
                <w:rFonts w:cs="Arial"/>
                <w:lang w:eastAsia="en-NZ"/>
              </w:rPr>
              <w:t>Two complaints have been lodged in 2024. Both complaints are closed. There were no identified trends in respect of those complaints. Complaints logged include an investigation, follow up, and replies to the satisfaction of the complainant. Staff are informed of complaints (and any subsequent corrective actions) in the staff, registered nurse/ quality meetings (meeting minutes sighted). Higher risk complaints are managed with the support of the regional clinical manager and Head of clinical. There were no complaints received from external agencies.</w:t>
            </w:r>
          </w:p>
          <w:p w14:paraId="37A1FE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complaints forms are available at the entrance to the facility. Residents have a variety of avenues they can choose from to make a complaint or express a concern including but not limited to resident meetings, or one on one with management or through the website. During interviews with family/whānau, they confirmed the nurse manager is available to listen to concerns and acts promptly on issues raised. Residents and family/whānau making a complaint can involve an independent support person in the process if they choose. Information about support resources for Māori is available to staff to assist Māori residents in the complaints process, when required. The complaints management procedure ensures Māori residents (if any) are supported to ensure an </w:t>
            </w:r>
            <w:r w:rsidRPr="00BE00C7">
              <w:rPr>
                <w:rFonts w:cs="Arial"/>
                <w:lang w:eastAsia="en-NZ"/>
              </w:rPr>
              <w:lastRenderedPageBreak/>
              <w:t>equitable complaints process. The nurse manager acknowledged the understanding that for Māori there is a preference for face-to-face communication.</w:t>
            </w:r>
          </w:p>
          <w:p w14:paraId="5CA726F8" w14:textId="77777777" w:rsidR="00000000" w:rsidRPr="00BE00C7" w:rsidRDefault="00000000" w:rsidP="00BE00C7">
            <w:pPr>
              <w:pStyle w:val="OutcomeDescription"/>
              <w:spacing w:before="120" w:after="120"/>
              <w:rPr>
                <w:rFonts w:cs="Arial"/>
                <w:lang w:eastAsia="en-NZ"/>
              </w:rPr>
            </w:pPr>
          </w:p>
        </w:tc>
      </w:tr>
      <w:tr w:rsidR="002366EE" w14:paraId="596BAE05" w14:textId="77777777">
        <w:tc>
          <w:tcPr>
            <w:tcW w:w="0" w:type="auto"/>
          </w:tcPr>
          <w:p w14:paraId="6DA79A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1F1C4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2FE3FAB" w14:textId="77777777" w:rsidR="00000000" w:rsidRPr="00BE00C7" w:rsidRDefault="00000000" w:rsidP="00BE00C7">
            <w:pPr>
              <w:pStyle w:val="OutcomeDescription"/>
              <w:spacing w:before="120" w:after="120"/>
              <w:rPr>
                <w:rFonts w:cs="Arial"/>
                <w:lang w:eastAsia="en-NZ"/>
              </w:rPr>
            </w:pPr>
          </w:p>
        </w:tc>
        <w:tc>
          <w:tcPr>
            <w:tcW w:w="0" w:type="auto"/>
          </w:tcPr>
          <w:p w14:paraId="2EDD4B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A659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Bayswater is part of the Metlifecare Retirement Villages Limited group. The facility opened in December 2023 and is part of an established retirement village. The facility is certified to provide hospital (geriatric and medical) and rest homecare for up to 24 residents in occupation right agreement (ORA) care suites. All beds are certified for dual purpose use including one double care suite intended for a couple. At the time of the audit the double care suite was occupied by a married couple. At the time of the audit there were 13 residents at rest home level of care and five at hospital level of care including one on respite care. All other residents were on the age-related residential care (ARRC) contract. </w:t>
            </w:r>
          </w:p>
          <w:p w14:paraId="5AB7C77F"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strategic direction describe the vision, values, and objectives of Metlifecare aged care facilities. The overarching Metlifecare strategic direction has clear business goals to support their philosophy of empowering residents through a resident directed care model. The Metlifecare Bayswater business and quality plan for 2024 is reviewed quarterly as evidenced in the monthly reporting. Metlifecare Bayswater business plan describes specific and measurable goals. These site-specific goals relate to business and quality of service delivery and include medication optimisation, quality palliative care and cultural safety.</w:t>
            </w:r>
          </w:p>
          <w:p w14:paraId="576D3D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head of clinical interviewed confirmed the governance structure. The Governance Board consists of four directors and the chair, each with their own expertise. A Māori plan is actioned at Board level. There is an external organisation that provides cultural advice to the board on any issues requiring cultural oversight and direction. The board meets quarterly; however, receive monthly reports from the executive team. There are terms of reference for the Metlifecare governance body documented. The Board and the executive team have completed cultural training to ensure they are able to demonstrate expertise in Te Tiriti o Waitangi, health equity and cultural safety. There is collaboration with mana whenua in business planning and service development that </w:t>
            </w:r>
            <w:r w:rsidRPr="00BE00C7">
              <w:rPr>
                <w:rFonts w:cs="Arial"/>
                <w:lang w:eastAsia="en-NZ"/>
              </w:rPr>
              <w:lastRenderedPageBreak/>
              <w:t xml:space="preserve">support outcomes to achieve equity for Māori as documented in the strategic plan. </w:t>
            </w:r>
          </w:p>
          <w:p w14:paraId="14D028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Metlifecare executive team is responsible for the operational responsibility. The weekly and monthly reporting structure informs the Board of operational matters across the organisation. Ethnicity data is captured electronically at facility level. Ethnicity data is then analysed and reported in terms of opportunities for addressing inequalities, improving health equity and outcomes for all residents.</w:t>
            </w:r>
          </w:p>
          <w:p w14:paraId="10B0C7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plan reflects a leadership commitment to collaborate with Māori, aligns with the Ministry of Health strategies and addresses barriers to equitable service delivery. The working practices at Metlifecare Bayswater are holistic in nature, and inclusive of cultural identity and spirituality. The organisation respects the connection to family/whānau and the wider community to improved health outcomes for Māori and tāngata whaikaha. Opportunities for family/whānau are provided through general feedback to participate in the planning and implementation of service delivery. </w:t>
            </w:r>
          </w:p>
          <w:p w14:paraId="68E41847"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governance is overseen by the organisation’s Clinical governance group (CGG) and Clinical subcommittee which include resident advocates and cultural advisors. The CGG oversee the development of the clinical policies, ensuring compliance and foster a culture of continuous clinical improvement. The general manager of clinical and risk (a geriatrician physician) and head of clinical oversee the activities of the CGG. The clinical subcommittee is dedicated with overseeing clinical risk, outcomes and continuous improvement activities.</w:t>
            </w:r>
          </w:p>
          <w:p w14:paraId="118454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is a registered nurse, has been appointed to the role the week prior to the audit; however, has been working at the facility since the opening. She has 14 years aged care experience and is currently completing a comprehensive orientation to support the role. The nurse manager is supported by a village manager and a regional clinical manager. </w:t>
            </w:r>
          </w:p>
          <w:p w14:paraId="1CAAA43E" w14:textId="77777777" w:rsidR="00000000" w:rsidRPr="00BE00C7" w:rsidRDefault="00000000" w:rsidP="00BE00C7">
            <w:pPr>
              <w:pStyle w:val="OutcomeDescription"/>
              <w:spacing w:before="120" w:after="120"/>
              <w:rPr>
                <w:rFonts w:cs="Arial"/>
                <w:lang w:eastAsia="en-NZ"/>
              </w:rPr>
            </w:pPr>
          </w:p>
        </w:tc>
      </w:tr>
      <w:tr w:rsidR="002366EE" w14:paraId="28DE5949" w14:textId="77777777">
        <w:tc>
          <w:tcPr>
            <w:tcW w:w="0" w:type="auto"/>
          </w:tcPr>
          <w:p w14:paraId="12FFEB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EF2E1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6D4416F" w14:textId="77777777" w:rsidR="00000000" w:rsidRPr="00BE00C7" w:rsidRDefault="00000000" w:rsidP="00BE00C7">
            <w:pPr>
              <w:pStyle w:val="OutcomeDescription"/>
              <w:spacing w:before="120" w:after="120"/>
              <w:rPr>
                <w:rFonts w:cs="Arial"/>
                <w:lang w:eastAsia="en-NZ"/>
              </w:rPr>
            </w:pPr>
          </w:p>
        </w:tc>
        <w:tc>
          <w:tcPr>
            <w:tcW w:w="0" w:type="auto"/>
          </w:tcPr>
          <w:p w14:paraId="57DF24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959D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Bayswater is implementing a quality and risk management programme. Quality and risk management systems include performance </w:t>
            </w:r>
            <w:r w:rsidRPr="00BE00C7">
              <w:rPr>
                <w:rFonts w:cs="Arial"/>
                <w:lang w:eastAsia="en-NZ"/>
              </w:rPr>
              <w:lastRenderedPageBreak/>
              <w:t>monitoring through internal audits and through the collection of clinical indicator data (eg, falls, medication errors, infections, skin integrity/tears, complaints, restraints).</w:t>
            </w:r>
          </w:p>
          <w:p w14:paraId="54D1D7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monthly meetings (e.g., staff quality meeting, registered nurse quality meeting and restraint) provide an avenue for discussions in relation to (but not limited to): quality data; health and safety; infection control/pandemic strategies; complaints received (if any); cultural compliance; internal audit compliance;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on a quality noticeboard, located in the staff room. Corrective actions are discussed in meetings to ensure any outstanding matters are addressed with sign-off when completed. Quality data analysis including benchmarking, feedback through residents’ meetings and complaints management provides an avenue for critical analysis of work practices to ensure health equity. Quality to measure clinical effectiveness are regularly reviewed. </w:t>
            </w:r>
          </w:p>
          <w:p w14:paraId="1150690E"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safety is embedded in the quality system to ensure staff can deliver high-quality health care for Māori. Tāngata whaikaha have meaningful representation through the resident meetings and six-monthly multidisciplinary meetings.</w:t>
            </w:r>
          </w:p>
          <w:p w14:paraId="54DAFD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resident and family/whānau survey is conducted by an independent external company. The results of the 2024 resident and family/whānau satisfaction survey evidence an overall satisfaction rate of 91%. The nurse manager completed a corrective action plan to improve `front of house` resident contact experience. The residents, family/whānau and staff received the results. </w:t>
            </w:r>
          </w:p>
          <w:p w14:paraId="703DDE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Clinical governance group. New policies or changes to policy are communicated and discussed with staff and available on the intranet. </w:t>
            </w:r>
          </w:p>
          <w:p w14:paraId="1085B5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There is a combined health and </w:t>
            </w:r>
            <w:r w:rsidRPr="00BE00C7">
              <w:rPr>
                <w:rFonts w:cs="Arial"/>
                <w:lang w:eastAsia="en-NZ"/>
              </w:rPr>
              <w:lastRenderedPageBreak/>
              <w:t xml:space="preserve">safety meeting with the village and led by the village manager. The hazard register is reviewed at regular intervals at the health and safety meeting. Staff incidents, hazards and other health and safety issues are discussed. Staff incidents, hazards and risk information is collated at facility level, reported to the head of health and safety. A consolidated report of the analysis of data across the facilities are provided to the general manager clinical and risk who reports to the board. </w:t>
            </w:r>
          </w:p>
          <w:p w14:paraId="748E93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Incident and accident data is collated monthly and analysed. A summary is provided against each clinical indicator. Benchmarking occurs on a national level against other Metlifecare facilities and other aged care organisations. Ethnicity data is linked to benchmarking data. The electronic resident management system escalates alerts to Metlifecare senior team members depending on the risk level. Results are discussed in meetings and at handover. A sample of incident/accident reports were reviewed and evidenced appropriate and timely follow up, investigations and communication to family/whānau. Opportunities to minimise future risks are identified by the nurse manager in consultation with registered nurses and caregivers. </w:t>
            </w:r>
          </w:p>
          <w:p w14:paraId="1CCDF0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nurse manager and regional clinical manager reflected their awareness of their requirement to notify relevant authorities in relation to essential notifications. There has been one notification made to HealthCERT for the change in nurse manager. There were no other notifications required to be made. </w:t>
            </w:r>
          </w:p>
          <w:p w14:paraId="238392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outbreak since the opening of the facility (Covid-19) which was appropriately reported, managed, and staff debriefed.</w:t>
            </w:r>
          </w:p>
          <w:p w14:paraId="098E083A" w14:textId="77777777" w:rsidR="00000000" w:rsidRPr="00BE00C7" w:rsidRDefault="00000000" w:rsidP="00BE00C7">
            <w:pPr>
              <w:pStyle w:val="OutcomeDescription"/>
              <w:spacing w:before="120" w:after="120"/>
              <w:rPr>
                <w:rFonts w:cs="Arial"/>
                <w:lang w:eastAsia="en-NZ"/>
              </w:rPr>
            </w:pPr>
          </w:p>
        </w:tc>
      </w:tr>
      <w:tr w:rsidR="002366EE" w14:paraId="07CE42E5" w14:textId="77777777">
        <w:tc>
          <w:tcPr>
            <w:tcW w:w="0" w:type="auto"/>
          </w:tcPr>
          <w:p w14:paraId="751412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E1854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managed to deliver effective person-centred and whānau-centred </w:t>
            </w:r>
            <w:r w:rsidRPr="00BE00C7">
              <w:rPr>
                <w:rFonts w:cs="Arial"/>
                <w:lang w:eastAsia="en-NZ"/>
              </w:rPr>
              <w:lastRenderedPageBreak/>
              <w:t>services.</w:t>
            </w:r>
          </w:p>
          <w:p w14:paraId="26635CE2" w14:textId="77777777" w:rsidR="00000000" w:rsidRPr="00BE00C7" w:rsidRDefault="00000000" w:rsidP="00BE00C7">
            <w:pPr>
              <w:pStyle w:val="OutcomeDescription"/>
              <w:spacing w:before="120" w:after="120"/>
              <w:rPr>
                <w:rFonts w:cs="Arial"/>
                <w:lang w:eastAsia="en-NZ"/>
              </w:rPr>
            </w:pPr>
          </w:p>
        </w:tc>
        <w:tc>
          <w:tcPr>
            <w:tcW w:w="0" w:type="auto"/>
          </w:tcPr>
          <w:p w14:paraId="4CEF05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B67A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acuity and clinical staffing ratios policy that describes rostering and staffing ratios. The roster provides sufficient and appropriate cover for the effective delivery of clinically safe care and support to residents. There is 24/7 RN cover; with at least one RN on duty on each of the shifts; in the morning, the afternoon and on the night shift. The RNs are supported by at least two caregivers on each shift.</w:t>
            </w:r>
          </w:p>
          <w:p w14:paraId="5B8A2C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reported staffing is adequate. There is a Metlifecare internal casual staff pool and an agreement with a nursing agency to assist with </w:t>
            </w:r>
            <w:r w:rsidRPr="00BE00C7">
              <w:rPr>
                <w:rFonts w:cs="Arial"/>
                <w:lang w:eastAsia="en-NZ"/>
              </w:rPr>
              <w:lastRenderedPageBreak/>
              <w:t>roster cover and an agreement with a nursing agency. The roster reviewed were fully covered and backfilled when staff were absent on short notice. Residents and family/whānau interviewed confirmed their care requirements are attended to in a timely manner. The nurse manager interviewed confirm call bell reports are regularly reviewed to ensure timely attendance to residents` needs. Meeting minutes evidence staff and residents are informed when staffing levels change.</w:t>
            </w:r>
          </w:p>
          <w:p w14:paraId="5ED555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works full-time (Monday to Friday). In the absence of the nurse manager the regional clinical manager will oversee the service.</w:t>
            </w:r>
          </w:p>
          <w:p w14:paraId="3931E5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support. There is an annual education and training schedule being implemented. The education and training schedule lists compulsory training which includes cultural training. External training opportunities for care staff include training through Health New Zealand and the hospice. </w:t>
            </w:r>
          </w:p>
          <w:p w14:paraId="4A2B5E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Compulsory training also includes topics relevant to the conditions of the resident cohort at Metlifecare Bayswater. Staff are encouraged to participate in learning opportunities that provide them with up-to-date information on Māori health outcomes and disparities, and health equity. Staff confirmed that they are provided with resources during their cultural training and sharing information. </w:t>
            </w:r>
          </w:p>
          <w:p w14:paraId="7CC25C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There is a comprehensive library with resources on the intranet. Metlifecare supports all employees to transition through the NZQA certificate in health and wellbeing. There are 5 caregivers and three have level 4 qualifications. There is a Careerforce assessor at Metlifecare support office to support staff in their learning journey. </w:t>
            </w:r>
          </w:p>
          <w:p w14:paraId="4758ED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in-service programme is implemented, and all compulsory topics are included. A training policy is being implemented. All staff are required to complete competency assessments as part of their orientation. Additional RN specific competencies include subcutaneous fluids, syringe driver and interRAI assessment competency. All RNs have attended in-service training which included medical conditions </w:t>
            </w:r>
            <w:r w:rsidRPr="00BE00C7">
              <w:rPr>
                <w:rFonts w:cs="Arial"/>
                <w:lang w:eastAsia="en-NZ"/>
              </w:rPr>
              <w:lastRenderedPageBreak/>
              <w:t>specific to the current residents. There are five RNs and three hold an interRAI competency.</w:t>
            </w:r>
          </w:p>
          <w:p w14:paraId="39952A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are required to complete competencies at orientation. Annual competencies include for restraint, moving and handling, hand hygiene, second checker for medication and correct use of personal protective equipment. A selection of caregivers completes annual medication administration competencies. A record of completion is maintained on an electronic human resources system. </w:t>
            </w:r>
          </w:p>
          <w:p w14:paraId="2A9D5C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to manage stress and work fatigue. Staff could explain workplace initiatives that support staff wellbeing and a positive workplace culture. Staff are provided with opportunity to participate and give feedback at regular staff meetings, employee surveys and performance appraisals (peak performance objective settings). Signage supporting organisational counselling programmes are posted in visible staff locations. Interviews with staff confirmed that they feel supported by their managers.</w:t>
            </w:r>
          </w:p>
          <w:p w14:paraId="71F96616" w14:textId="77777777" w:rsidR="00000000" w:rsidRPr="00BE00C7" w:rsidRDefault="00000000" w:rsidP="00BE00C7">
            <w:pPr>
              <w:pStyle w:val="OutcomeDescription"/>
              <w:spacing w:before="120" w:after="120"/>
              <w:rPr>
                <w:rFonts w:cs="Arial"/>
                <w:lang w:eastAsia="en-NZ"/>
              </w:rPr>
            </w:pPr>
          </w:p>
        </w:tc>
      </w:tr>
      <w:tr w:rsidR="002366EE" w14:paraId="5CF4E8E8" w14:textId="77777777">
        <w:tc>
          <w:tcPr>
            <w:tcW w:w="0" w:type="auto"/>
          </w:tcPr>
          <w:p w14:paraId="0EE90A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D33A4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12C9F84" w14:textId="77777777" w:rsidR="00000000" w:rsidRPr="00BE00C7" w:rsidRDefault="00000000" w:rsidP="00BE00C7">
            <w:pPr>
              <w:pStyle w:val="OutcomeDescription"/>
              <w:spacing w:before="120" w:after="120"/>
              <w:rPr>
                <w:rFonts w:cs="Arial"/>
                <w:lang w:eastAsia="en-NZ"/>
              </w:rPr>
            </w:pPr>
          </w:p>
        </w:tc>
        <w:tc>
          <w:tcPr>
            <w:tcW w:w="0" w:type="auto"/>
          </w:tcPr>
          <w:p w14:paraId="07F06B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62E5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Staff files are on an electronic human resource system. Five staff files reviewed (nurse manager, one registered nurse, diversional therapist, two caregivers) evidenced implementation of the recruitment process, employment contracts, police vetting and completed orientation. There are job descriptions in place for all positions that includes outcomes, accountability, responsibilities, and functions to be achieved in each position.</w:t>
            </w:r>
          </w:p>
          <w:p w14:paraId="46070718"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 appraisal policy is implemented. All staff have completed orientation documentation on file. All performance appraisals (peak performance objectives) were completed in June 2024.</w:t>
            </w:r>
          </w:p>
          <w:p w14:paraId="16A7EE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range of competencies are completed at orientation. The service demonstrates that the orientation programmes support RNs and caregivers to provide </w:t>
            </w:r>
            <w:r w:rsidRPr="00BE00C7">
              <w:rPr>
                <w:rFonts w:cs="Arial"/>
                <w:lang w:eastAsia="en-NZ"/>
              </w:rPr>
              <w:lastRenderedPageBreak/>
              <w:t xml:space="preserve">a culturally safe environment for Māori. </w:t>
            </w:r>
          </w:p>
          <w:p w14:paraId="437282BF"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w:t>
            </w:r>
          </w:p>
          <w:p w14:paraId="1B0EA73D"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any staff incident/accident, evidence of debriefing, support and follow-up action taken is documented.</w:t>
            </w:r>
          </w:p>
          <w:p w14:paraId="1C329E70" w14:textId="77777777" w:rsidR="00000000" w:rsidRPr="00BE00C7" w:rsidRDefault="00000000" w:rsidP="00BE00C7">
            <w:pPr>
              <w:pStyle w:val="OutcomeDescription"/>
              <w:spacing w:before="120" w:after="120"/>
              <w:rPr>
                <w:rFonts w:cs="Arial"/>
                <w:lang w:eastAsia="en-NZ"/>
              </w:rPr>
            </w:pPr>
          </w:p>
        </w:tc>
      </w:tr>
      <w:tr w:rsidR="002366EE" w14:paraId="0F9AC2FA" w14:textId="77777777">
        <w:tc>
          <w:tcPr>
            <w:tcW w:w="0" w:type="auto"/>
          </w:tcPr>
          <w:p w14:paraId="3A97EB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12A5C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118A8AC" w14:textId="77777777" w:rsidR="00000000" w:rsidRPr="00BE00C7" w:rsidRDefault="00000000" w:rsidP="00BE00C7">
            <w:pPr>
              <w:pStyle w:val="OutcomeDescription"/>
              <w:spacing w:before="120" w:after="120"/>
              <w:rPr>
                <w:rFonts w:cs="Arial"/>
                <w:lang w:eastAsia="en-NZ"/>
              </w:rPr>
            </w:pPr>
          </w:p>
        </w:tc>
        <w:tc>
          <w:tcPr>
            <w:tcW w:w="0" w:type="auto"/>
          </w:tcPr>
          <w:p w14:paraId="2A0B90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AD73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Consumer Records policy. Resident files and the information associated with residents and staff are retained and archived. Electronic information is regularly backed-up using cloud-based technology and is password protected. There is a documented Metlifecare Disaster Management Plan in case of information systems failure.</w:t>
            </w:r>
          </w:p>
          <w:p w14:paraId="5129AB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Hardcopy documents are uploaded to the electronic system and securely destroyed.</w:t>
            </w:r>
          </w:p>
          <w:p w14:paraId="46A6587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nurse manager is the privacy officer and there is a pathway of communication and approval to release health information. The service is not responsible for National Health Index registration.</w:t>
            </w:r>
          </w:p>
          <w:p w14:paraId="769D678F" w14:textId="77777777" w:rsidR="00000000" w:rsidRPr="00BE00C7" w:rsidRDefault="00000000" w:rsidP="00BE00C7">
            <w:pPr>
              <w:pStyle w:val="OutcomeDescription"/>
              <w:spacing w:before="120" w:after="120"/>
              <w:rPr>
                <w:rFonts w:cs="Arial"/>
                <w:lang w:eastAsia="en-NZ"/>
              </w:rPr>
            </w:pPr>
          </w:p>
        </w:tc>
      </w:tr>
      <w:tr w:rsidR="002366EE" w14:paraId="5FEB437D" w14:textId="77777777">
        <w:tc>
          <w:tcPr>
            <w:tcW w:w="0" w:type="auto"/>
          </w:tcPr>
          <w:p w14:paraId="3F36A53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E6C47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w:t>
            </w:r>
            <w:r w:rsidRPr="00BE00C7">
              <w:rPr>
                <w:rFonts w:cs="Arial"/>
                <w:lang w:eastAsia="en-NZ"/>
              </w:rPr>
              <w:lastRenderedPageBreak/>
              <w:t>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B089F3D" w14:textId="77777777" w:rsidR="00000000" w:rsidRPr="00BE00C7" w:rsidRDefault="00000000" w:rsidP="00BE00C7">
            <w:pPr>
              <w:pStyle w:val="OutcomeDescription"/>
              <w:spacing w:before="120" w:after="120"/>
              <w:rPr>
                <w:rFonts w:cs="Arial"/>
                <w:lang w:eastAsia="en-NZ"/>
              </w:rPr>
            </w:pPr>
          </w:p>
        </w:tc>
        <w:tc>
          <w:tcPr>
            <w:tcW w:w="0" w:type="auto"/>
          </w:tcPr>
          <w:p w14:paraId="64D193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151D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enquiry, an information pack detailing entry criteria is provided to prospective residents and their family/whānau. </w:t>
            </w:r>
          </w:p>
          <w:p w14:paraId="600D02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process in place if access is declined, should this occur. The resident would be declined entry if not within the scope of the service or if a bed were not available. When residents are declined access to the service, residents and their family/whānau, the referring agency, and general practitioner (GP) or nurse practitioner (NP) are informed of the decline to entry. Alternative services when possible are </w:t>
            </w:r>
            <w:r w:rsidRPr="00BE00C7">
              <w:rPr>
                <w:rFonts w:cs="Arial"/>
                <w:lang w:eastAsia="en-NZ"/>
              </w:rPr>
              <w:lastRenderedPageBreak/>
              <w:t xml:space="preserve">offered and the reason of decline is documented. The Needs Assessment and Service Coordination (NASC) assessments are completed for entry to the service. </w:t>
            </w:r>
          </w:p>
          <w:p w14:paraId="6E1BD5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procedure requires the collection of information that includes (but is not limited to); ethnicity, spoken language, interpreter requirements, iwi, hapu, religion, and the referring agency. Interviews with residents and family/whānau and a review of records confirmed the admission process was completed in a timely manner.</w:t>
            </w:r>
          </w:p>
          <w:p w14:paraId="3CDB36B8"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is collected and analysed by the service. The regional clinical manager described having access to Māori services through relationships with local providers and Health New Zealand.</w:t>
            </w:r>
          </w:p>
          <w:p w14:paraId="40CEFDCC" w14:textId="77777777" w:rsidR="00000000" w:rsidRPr="00BE00C7" w:rsidRDefault="00000000" w:rsidP="00BE00C7">
            <w:pPr>
              <w:pStyle w:val="OutcomeDescription"/>
              <w:spacing w:before="120" w:after="120"/>
              <w:rPr>
                <w:rFonts w:cs="Arial"/>
                <w:lang w:eastAsia="en-NZ"/>
              </w:rPr>
            </w:pPr>
          </w:p>
        </w:tc>
      </w:tr>
      <w:tr w:rsidR="002366EE" w14:paraId="4F9FC59C" w14:textId="77777777">
        <w:tc>
          <w:tcPr>
            <w:tcW w:w="0" w:type="auto"/>
          </w:tcPr>
          <w:p w14:paraId="5F88FE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58846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7F7BD19" w14:textId="77777777" w:rsidR="00000000" w:rsidRPr="00BE00C7" w:rsidRDefault="00000000" w:rsidP="00BE00C7">
            <w:pPr>
              <w:pStyle w:val="OutcomeDescription"/>
              <w:spacing w:before="120" w:after="120"/>
              <w:rPr>
                <w:rFonts w:cs="Arial"/>
                <w:lang w:eastAsia="en-NZ"/>
              </w:rPr>
            </w:pPr>
          </w:p>
        </w:tc>
        <w:tc>
          <w:tcPr>
            <w:tcW w:w="0" w:type="auto"/>
          </w:tcPr>
          <w:p w14:paraId="761E69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B328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electronic resident files were reviewed: three rest home level and two hospital level care residents including one resident on respite care. Registered nurses are responsible for all residents’ assessments, care planning and evaluation of care. There is evidence of resident and family/whānau involvement in the interRAI assessments and long-term care plans. </w:t>
            </w:r>
          </w:p>
          <w:p w14:paraId="7F359F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collated, and an initial care plan completed within required timeframes (including the resident on respite care). All interRAI assessments, re-assessments, care plan development and reviews have been completed within the contractual required timeframes for all long-term residents. </w:t>
            </w:r>
          </w:p>
          <w:p w14:paraId="474072E9" w14:textId="77777777" w:rsidR="00000000" w:rsidRPr="00BE00C7" w:rsidRDefault="00000000" w:rsidP="00BE00C7">
            <w:pPr>
              <w:pStyle w:val="OutcomeDescription"/>
              <w:spacing w:before="120" w:after="120"/>
              <w:rPr>
                <w:rFonts w:cs="Arial"/>
                <w:lang w:eastAsia="en-NZ"/>
              </w:rPr>
            </w:pPr>
            <w:r w:rsidRPr="00BE00C7">
              <w:rPr>
                <w:rFonts w:cs="Arial"/>
                <w:lang w:eastAsia="en-NZ"/>
              </w:rPr>
              <w:t>A suite of risk assessments is available on the electronic system. They are completed in detail to inform the care plan for residents who do not require to have an interRAI assessments (respite care). The assessments include (but not limited to), those related to falls, skin, mood, pressure risk, nutrition, continence, communication, rest and sleep activities, mobility, and pain. Appropriate risk assessments are conducted on admission. A cultural assessment has been implemented for all residents. For the resident files reviewed, the outcomes from assessments and risk assessments were reflected into care plans.</w:t>
            </w:r>
          </w:p>
          <w:p w14:paraId="0E851C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plans identify resident focussed goals, recognise Te Whare Tapa Whā, Fonofale, Te Vaka Atafaga and reflects a person-centred </w:t>
            </w:r>
            <w:r w:rsidRPr="00BE00C7">
              <w:rPr>
                <w:rFonts w:cs="Arial"/>
                <w:lang w:eastAsia="en-NZ"/>
              </w:rPr>
              <w:lastRenderedPageBreak/>
              <w:t>model of care. The care plans identify key assessed risks, including medical risks and the initial interventions reflective of interRAI assessments describe in detail all support required to address assessed needs. Te Ara Whakapiri principles are used in end-of-life care.</w:t>
            </w:r>
          </w:p>
          <w:p w14:paraId="23AEBB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Other available information such as discharge summaries, medical and allied health notes, and consultation with resident and family/whānau or significant others form the basis of the long-term care plans. The service supports Māori and family/whānau to identify their own pae ora outcomes through input into their electronic care plan. Barriers that prevent tāngata whaikaha and family/whānau from independently accessing information are identified and strategies to manage these are documented. </w:t>
            </w:r>
          </w:p>
          <w:p w14:paraId="0151FA0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had been assessed by a GP/NP within five working days of admission. The GP/NP reviews the residents at least three-monthly or earlier if required. The contracted GP and NP service visits once per week and more often if required. There are appropriate arrangements in place for after-hours support. The NP (interviewed) was complimentary of the care, communication, and the quality of the service provided. The NP also stated they felt the clinical team ‘did a fantastic job.’ The GP/NP have remote access to the medication charts.</w:t>
            </w:r>
          </w:p>
          <w:p w14:paraId="40F214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Specialist referrals are initiated as needed. Allied health interventions were documented and integrated into care plans. A podiatrist visits regularly and an organisational dietitian, speech language therapist, hospice nurse and wound care nurse specialist is available as required through Health New Zealand. The physiotherapist visits the facility for an hour per week. </w:t>
            </w:r>
          </w:p>
          <w:p w14:paraId="21FC9A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duty that maintains a continuity of service delivery. Caregivers complete task lists and progress notes on every shift. When changes occur with the residents’ health, these are reflected in the electronic progress notes to provide an evolving picture of the residents’ journey. Registered nurses document at least daily for hospital level and at least weekly and as necessary for rest home level care residents. There is regular documented input from the GP/NP, and allied health professionals. Residents interviewed reported their needs and expectations were being met. When a resident’s condition alters, the registered nurse initiates a review with the GP/NP. The electronic </w:t>
            </w:r>
            <w:r w:rsidRPr="00BE00C7">
              <w:rPr>
                <w:rFonts w:cs="Arial"/>
                <w:lang w:eastAsia="en-NZ"/>
              </w:rPr>
              <w:lastRenderedPageBreak/>
              <w:t xml:space="preserve">progress notes reviewed provided evidence that family/whānau have been notified of changes to health including infections, accident/incidents, GP/NP visit, medication changes and any changes to health status. This was confirmed through the interviews with family/whānau. </w:t>
            </w:r>
          </w:p>
          <w:p w14:paraId="72CD6B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five wounds across the service including one chronic ulcer, and skin tears. Assessments and wound management plans including wound measurements and photographs were reviewed. An electronic wound register has been fully maintained. Wound assessment, wound management, evaluation forms and wound monitoring occurred as planned in the sample of wounds reviewed. There have been education sessions held around wound care and pressure injury prevention and management. </w:t>
            </w:r>
          </w:p>
          <w:p w14:paraId="4D9BFA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stated there are adequate clinical supplies and equipment provided including continence, wound care supplies and pressure injury prevention resources as sighted during the audit. There is access to a continence specialist when required. </w:t>
            </w:r>
          </w:p>
          <w:p w14:paraId="73D721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complete monitoring charts including observations; behaviour charts; bowel chart; blood pressure; weight; food and fluid; turning charts; blood sugar levels; and toileting regime. Monitoring charts had been completed as scheduled. Neurological observations have routinely and comprehensively been completed for unwitnessed falls as part of post falls management. </w:t>
            </w:r>
          </w:p>
          <w:p w14:paraId="1F1F76E3" w14:textId="77777777" w:rsidR="00000000" w:rsidRPr="00BE00C7" w:rsidRDefault="00000000" w:rsidP="00BE00C7">
            <w:pPr>
              <w:pStyle w:val="OutcomeDescription"/>
              <w:spacing w:before="120" w:after="120"/>
              <w:rPr>
                <w:rFonts w:cs="Arial"/>
                <w:lang w:eastAsia="en-NZ"/>
              </w:rPr>
            </w:pPr>
            <w:r w:rsidRPr="00BE00C7">
              <w:rPr>
                <w:rFonts w:cs="Arial"/>
                <w:lang w:eastAsia="en-NZ"/>
              </w:rPr>
              <w:t>Evaluations are scheduled and completed at the time of the interRAI re-assessment. Evaluations documented the progression towards goals. Written evaluations reviewed identify if the resident goals had been met or unmet. Long-term care plans have been updated following the six-monthly care conferences (multidisciplinary meeting [MDT]) and to reflect the interRAI reassessment, or sooner when changes have occurred. Family/whānau are invited to attend the care conferences when care plans are reviewed.</w:t>
            </w:r>
          </w:p>
          <w:p w14:paraId="0EEA5A88" w14:textId="73624FFC" w:rsidR="00000000" w:rsidRPr="00BE00C7" w:rsidRDefault="00000000" w:rsidP="002B2E94">
            <w:pPr>
              <w:pStyle w:val="OutcomeDescription"/>
              <w:spacing w:before="120" w:after="120"/>
              <w:rPr>
                <w:rFonts w:cs="Arial"/>
                <w:lang w:eastAsia="en-NZ"/>
              </w:rPr>
            </w:pPr>
            <w:r w:rsidRPr="00BE00C7">
              <w:rPr>
                <w:rFonts w:cs="Arial"/>
                <w:lang w:eastAsia="en-NZ"/>
              </w:rPr>
              <w:t>Short term issues such as infections, weight loss, and wounds are addressed in an electronic short-term care plan and closed off when resolved or transferred to the long- term care plan.</w:t>
            </w:r>
          </w:p>
        </w:tc>
      </w:tr>
      <w:tr w:rsidR="002366EE" w14:paraId="122BD0F7" w14:textId="77777777">
        <w:tc>
          <w:tcPr>
            <w:tcW w:w="0" w:type="auto"/>
          </w:tcPr>
          <w:p w14:paraId="3F6CBF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A0D86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3E15A92" w14:textId="77777777" w:rsidR="00000000" w:rsidRPr="00BE00C7" w:rsidRDefault="00000000" w:rsidP="00BE00C7">
            <w:pPr>
              <w:pStyle w:val="OutcomeDescription"/>
              <w:spacing w:before="120" w:after="120"/>
              <w:rPr>
                <w:rFonts w:cs="Arial"/>
                <w:lang w:eastAsia="en-NZ"/>
              </w:rPr>
            </w:pPr>
          </w:p>
        </w:tc>
        <w:tc>
          <w:tcPr>
            <w:tcW w:w="0" w:type="auto"/>
          </w:tcPr>
          <w:p w14:paraId="775C4D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269A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activities programme is implemented by a diversional therapist (DT) who works Monday to Friday (25 hours per week). All volunteers are inducted to the service. The activities team work together to support the hospital and rest home residents on the days they are both on duty. Activities are provided over five days and caregivers have access to resources to assist with activities after hours and other weekends. The monthly activities programme is displayed on a noticeboard in the communal area and on individual resident noticeboards. </w:t>
            </w:r>
          </w:p>
          <w:p w14:paraId="030E51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provides variety in the content and includes a range of activities which incorporate education, leisure, cultural, spiritual and community events. Individual activity assessments and plans identify individual interests and consider the person’s identity. Individual and group activities reflected residents’ goals and interest, ordinary patterns of life and included normal community activities. Each resident has a booklet, which is in English and Māori, and identifies residents’ needs based on Te Whare Tapa Whā model. The residents’ activity needs are reviewed six-monthly at the same time as the care plans and contribute to the formal six-monthly multidisciplinary review process.</w:t>
            </w:r>
          </w:p>
          <w:p w14:paraId="5763A0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Opportunities for Māori and whanau to participate in te ao Māori are available should the service gain any Māori residents. The residents have plans to form a kapa haka group as part of a drive to embrace Māori activities. This includes plans to engage in the upcoming Māori language week. Māori clergy provides service content in both English and Te Reo. </w:t>
            </w:r>
          </w:p>
          <w:p w14:paraId="2402AF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For those residents who choose not to take part in the programme, one on one visits from the DT or volunteers from the village occur regularly. An outing is organised weekly and regular visits from community visitors occur. There are outings such as for shopping, coffee, lunch, beach visits, and scenic drives. Church services are held regularly. </w:t>
            </w:r>
          </w:p>
          <w:p w14:paraId="162274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their family/whānau reported satisfaction with the activities provided. Over the course of the audit, residents were observed engaging and enjoying a variety of activities. Regular resident meetings are held monthly.</w:t>
            </w:r>
          </w:p>
          <w:p w14:paraId="42CECA18" w14:textId="77777777" w:rsidR="00000000" w:rsidRPr="00BE00C7" w:rsidRDefault="00000000" w:rsidP="00BE00C7">
            <w:pPr>
              <w:pStyle w:val="OutcomeDescription"/>
              <w:spacing w:before="120" w:after="120"/>
              <w:rPr>
                <w:rFonts w:cs="Arial"/>
                <w:lang w:eastAsia="en-NZ"/>
              </w:rPr>
            </w:pPr>
          </w:p>
        </w:tc>
      </w:tr>
      <w:tr w:rsidR="002366EE" w14:paraId="067E555D" w14:textId="77777777">
        <w:tc>
          <w:tcPr>
            <w:tcW w:w="0" w:type="auto"/>
          </w:tcPr>
          <w:p w14:paraId="35FC49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AA929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6A610A9" w14:textId="77777777" w:rsidR="00000000" w:rsidRPr="00BE00C7" w:rsidRDefault="00000000" w:rsidP="00BE00C7">
            <w:pPr>
              <w:pStyle w:val="OutcomeDescription"/>
              <w:spacing w:before="120" w:after="120"/>
              <w:rPr>
                <w:rFonts w:cs="Arial"/>
                <w:lang w:eastAsia="en-NZ"/>
              </w:rPr>
            </w:pPr>
          </w:p>
        </w:tc>
        <w:tc>
          <w:tcPr>
            <w:tcW w:w="0" w:type="auto"/>
          </w:tcPr>
          <w:p w14:paraId="1BD9FE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0E35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identifies all aspects of medicine management in line with relevant legislation and guidelines. A safe system for medicine management using an electronic system was observed on the day of audit. Prescribing practices are in line with legislation, protocols, and guidelines. The required documented three-monthly reviews by the GP/NP provide evidence of assessment to reduce polypharmacy where indicated. Resident allergies and sensitivities have been recorded on the electronic medication chart, and all medication charts have current photo identification. </w:t>
            </w:r>
          </w:p>
          <w:p w14:paraId="5D35F2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pharmacy pre-packaged medicines that are checked by the registered nurse on delivery to the facility. All stock medications sighted were within current use by dates. A system is in place for returning expired or unwanted medication to the contracted pharmacy. The medication refrigerator temperatures and medication room temperatures are monitored daily.</w:t>
            </w:r>
          </w:p>
          <w:p w14:paraId="79B051D3"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stored securely in accordance with requirements. The staff observed administering medication, demonstrated knowledge and at interview demonstrated clear understanding of their roles and responsibilities related to each stage of medication management. The medication administration process complied with the medicine administration policies and procedures. The registered nurses oversee the use of all pro re nata (PRN) medicines and review documentation made regarding effectiveness on the electronic medication management system as evidenced in progress notes. Current medication competencies were evident in staff files.</w:t>
            </w:r>
          </w:p>
          <w:p w14:paraId="7C40040F"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for residents regarding their medications occurs on a one-to-one basis by the registered nurses. Medication information for residents and family/whānau can be accessed online as needed.</w:t>
            </w:r>
          </w:p>
          <w:p w14:paraId="3EE8AFC1"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self-administering medication. There is a documented policy that guides the process when residents are assessed as competent to self-administer medications. There are no vaccines stored on site, and no standing orders are used.</w:t>
            </w:r>
          </w:p>
          <w:p w14:paraId="7FAB66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policy describes the consideration of over-the-counter medications and supplements when prescribing occurs and access to traditional Māori remedies are facilitated when required. Interview with the registered nurses confirmed that where over the counter or </w:t>
            </w:r>
            <w:r w:rsidRPr="00BE00C7">
              <w:rPr>
                <w:rFonts w:cs="Arial"/>
                <w:lang w:eastAsia="en-NZ"/>
              </w:rPr>
              <w:lastRenderedPageBreak/>
              <w:t>alternative medications were being used, they were added to the medication chart by the GP/NP following discussion with the resident and/or their family/whānau.</w:t>
            </w:r>
          </w:p>
          <w:p w14:paraId="6D7A438C" w14:textId="77777777" w:rsidR="00000000" w:rsidRPr="00BE00C7" w:rsidRDefault="00000000" w:rsidP="00BE00C7">
            <w:pPr>
              <w:pStyle w:val="OutcomeDescription"/>
              <w:spacing w:before="120" w:after="120"/>
              <w:rPr>
                <w:rFonts w:cs="Arial"/>
                <w:lang w:eastAsia="en-NZ"/>
              </w:rPr>
            </w:pPr>
          </w:p>
        </w:tc>
      </w:tr>
      <w:tr w:rsidR="002366EE" w14:paraId="7A3EAC63" w14:textId="77777777">
        <w:tc>
          <w:tcPr>
            <w:tcW w:w="0" w:type="auto"/>
          </w:tcPr>
          <w:p w14:paraId="379D7B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FA5DE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95588BB" w14:textId="77777777" w:rsidR="00000000" w:rsidRPr="00BE00C7" w:rsidRDefault="00000000" w:rsidP="00BE00C7">
            <w:pPr>
              <w:pStyle w:val="OutcomeDescription"/>
              <w:spacing w:before="120" w:after="120"/>
              <w:rPr>
                <w:rFonts w:cs="Arial"/>
                <w:lang w:eastAsia="en-NZ"/>
              </w:rPr>
            </w:pPr>
          </w:p>
        </w:tc>
        <w:tc>
          <w:tcPr>
            <w:tcW w:w="0" w:type="auto"/>
          </w:tcPr>
          <w:p w14:paraId="316B12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A605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is prepared and cooked on site. The kitchen manager is a qualified chef and works full time Monday to Friday and is supported by a sous chef, cook, and a team of kitchen hands. </w:t>
            </w:r>
          </w:p>
          <w:p w14:paraId="431D5583" w14:textId="77777777" w:rsidR="00000000" w:rsidRPr="00BE00C7" w:rsidRDefault="00000000" w:rsidP="00BE00C7">
            <w:pPr>
              <w:pStyle w:val="OutcomeDescription"/>
              <w:spacing w:before="120" w:after="120"/>
              <w:rPr>
                <w:rFonts w:cs="Arial"/>
                <w:lang w:eastAsia="en-NZ"/>
              </w:rPr>
            </w:pPr>
            <w:r w:rsidRPr="00BE00C7">
              <w:rPr>
                <w:rFonts w:cs="Arial"/>
                <w:lang w:eastAsia="en-NZ"/>
              </w:rPr>
              <w:t>A nutritional assessment for each resident is undertaken by the registered nurses on admission to identify the residents’ dietary requirements and preferences. The nutritional profiles are communicated to the kitchen staff and updated when a resident’s dietary needs change. Diets are modified as needed and the kitchen manager interviewed confirmed awareness of the dietary needs, likes, dislikes and cultural needs of residents. These are accommodated in daily meal planning. For residents who identify as Māori, information would be gathered regarding nutritional needs and preferences during the initial assessment and during the development of their individual Māori care plan.</w:t>
            </w:r>
          </w:p>
          <w:p w14:paraId="576651A3"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is transported in a heated scan box from the village centre kitchen to the care home and plated and serve by the caregivers. The dining room is on the ground floor; however, residents can choose to eat in their rooms if they prefer.</w:t>
            </w:r>
          </w:p>
          <w:p w14:paraId="0B56CC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temperature of food served is taken and recorded. Residents were observed to be given sufficient time to eat their meal, and assistance was provided when necessary. The food service is provided in line with recognised nutritional guidelines for older people. The seasonal menu has been developed by a dietitian. There is a current food control plan. The kitchen staff have relevant food handling and infection control training. The kitchen was observed to be clean, and the cleaning schedules sighted. All aspects of food procurement, production, preparation, storage, delivery, and disposal sighted at the time of the audit comply with current legislation and guidelines. The kitchen manager (interviewed) is responsible for purchasing the food to meet the requirements of the menu plans. Food is stored appropriately in fridges and freezers. Temperatures of fridges and freezers are </w:t>
            </w:r>
            <w:r w:rsidRPr="00BE00C7">
              <w:rPr>
                <w:rFonts w:cs="Arial"/>
                <w:lang w:eastAsia="en-NZ"/>
              </w:rPr>
              <w:lastRenderedPageBreak/>
              <w:t>monitored. Dry food supplies are stored in the pantry and rotation of stock occurs. All dry stock containers are labelled and dated.</w:t>
            </w:r>
          </w:p>
          <w:p w14:paraId="1BE6C4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interview the kitchen manager was familiar with the concepts of tapu and noa. The kitchen manager discussed occasions where the service has provided culturally appropriate meal services. Culturally specific menu options are identified on the menu and includes cultural selections appropriate for Māori and Pasifika. </w:t>
            </w:r>
          </w:p>
          <w:p w14:paraId="7F1FDC8C"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and feedback on the menu and food provided is sought at the residents’ meetings (family/whānau invited) and in the annual residents’ survey. The satisfaction survey evidence satisfaction related to the food services.</w:t>
            </w:r>
          </w:p>
          <w:p w14:paraId="045CE15F" w14:textId="77777777" w:rsidR="00000000" w:rsidRPr="00BE00C7" w:rsidRDefault="00000000" w:rsidP="00BE00C7">
            <w:pPr>
              <w:pStyle w:val="OutcomeDescription"/>
              <w:spacing w:before="120" w:after="120"/>
              <w:rPr>
                <w:rFonts w:cs="Arial"/>
                <w:lang w:eastAsia="en-NZ"/>
              </w:rPr>
            </w:pPr>
          </w:p>
        </w:tc>
      </w:tr>
      <w:tr w:rsidR="002366EE" w14:paraId="0E4EFA55" w14:textId="77777777">
        <w:tc>
          <w:tcPr>
            <w:tcW w:w="0" w:type="auto"/>
          </w:tcPr>
          <w:p w14:paraId="516838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650D9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6B682AA" w14:textId="77777777" w:rsidR="00000000" w:rsidRPr="00BE00C7" w:rsidRDefault="00000000" w:rsidP="00BE00C7">
            <w:pPr>
              <w:pStyle w:val="OutcomeDescription"/>
              <w:spacing w:before="120" w:after="120"/>
              <w:rPr>
                <w:rFonts w:cs="Arial"/>
                <w:lang w:eastAsia="en-NZ"/>
              </w:rPr>
            </w:pPr>
          </w:p>
        </w:tc>
        <w:tc>
          <w:tcPr>
            <w:tcW w:w="0" w:type="auto"/>
          </w:tcPr>
          <w:p w14:paraId="22BF6D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C870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policy that guides discharges and transfers between services. Discharges, or transfers are managed in a planned and coordinated manner and includes ongoing consultation with residents and family/whānau. The service facilitates access to other medical and non-medical services. Residents and family/whānau are advised of options to access other health and disability services, social support or Kaupapa Māori agencies if indicated or requested.</w:t>
            </w:r>
          </w:p>
          <w:p w14:paraId="388C2A75"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needed, referrals are sent to ensure other health services, including specialist care is provided for the resident. Referral forms and documentation are maintained on resident files. Referrals are regularly followed up. Communication records reviewed in the residents’ files, confirmed family/whānau are kept informed of the referral process.</w:t>
            </w:r>
          </w:p>
          <w:p w14:paraId="74458F9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RNs, and review of residents’ files confirmed there is open communication between services, the resident and the family/whānau. Relevant information is documented and communicated to health providers. A verbal handover is provided to ensure a smooth transfer process.</w:t>
            </w:r>
          </w:p>
          <w:p w14:paraId="2BA25977" w14:textId="77777777" w:rsidR="00000000" w:rsidRPr="00BE00C7" w:rsidRDefault="00000000" w:rsidP="00BE00C7">
            <w:pPr>
              <w:pStyle w:val="OutcomeDescription"/>
              <w:spacing w:before="120" w:after="120"/>
              <w:rPr>
                <w:rFonts w:cs="Arial"/>
                <w:lang w:eastAsia="en-NZ"/>
              </w:rPr>
            </w:pPr>
          </w:p>
        </w:tc>
      </w:tr>
      <w:tr w:rsidR="002366EE" w14:paraId="1BC62BAA" w14:textId="77777777">
        <w:tc>
          <w:tcPr>
            <w:tcW w:w="0" w:type="auto"/>
          </w:tcPr>
          <w:p w14:paraId="06E649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B8C43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w:t>
            </w:r>
            <w:r w:rsidRPr="00BE00C7">
              <w:rPr>
                <w:rFonts w:cs="Arial"/>
                <w:lang w:eastAsia="en-NZ"/>
              </w:rPr>
              <w:lastRenderedPageBreak/>
              <w:t>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EFBA597" w14:textId="77777777" w:rsidR="00000000" w:rsidRPr="00BE00C7" w:rsidRDefault="00000000" w:rsidP="00BE00C7">
            <w:pPr>
              <w:pStyle w:val="OutcomeDescription"/>
              <w:spacing w:before="120" w:after="120"/>
              <w:rPr>
                <w:rFonts w:cs="Arial"/>
                <w:lang w:eastAsia="en-NZ"/>
              </w:rPr>
            </w:pPr>
          </w:p>
        </w:tc>
        <w:tc>
          <w:tcPr>
            <w:tcW w:w="0" w:type="auto"/>
          </w:tcPr>
          <w:p w14:paraId="770C81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CDF7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building warrant of fitness, the environment is inclusive of peoples’ cultures and supports cultural practices. There is a full-time maintenance manager responsible for implementing the annual </w:t>
            </w:r>
            <w:r w:rsidRPr="00BE00C7">
              <w:rPr>
                <w:rFonts w:cs="Arial"/>
                <w:lang w:eastAsia="en-NZ"/>
              </w:rPr>
              <w:lastRenderedPageBreak/>
              <w:t>organisational maintenance programme. Maintenance requests are logged through the electronic platform and followed up in a timely manner. There is an annual maintenance plan that includes electrical test and tag of equipment, call bell checks, calibration of medical equipment and monthly testing of hot water temperatures and appropriate pest control management. Essential contractors such as plumbers and electricians are available as required. Checking and calibration of medical equipment, hoists and scales is completed annually and is next due in April 2025. Hot water temperatures are monitored and managed within the required range.</w:t>
            </w:r>
          </w:p>
          <w:p w14:paraId="39A979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sufficient space for residents to mobilise. The external area is well maintained. Residents have access to safely designed external areas that have seating and shade. Caregivers interviewed stated they have adequate equipment to safely deliver care for rest home and hospital level of care residents. All care suites are of an appropriate size to allow care to be provided and for the safe use and manoeuvring of mobility aids including those required by hospital level care residents. Seventeen of the care suites have ceiling hoists fitted. Residents are encouraged to personalise their care suites. All residents have their own full ensuite, and there are separate toilets for staff and visitors. Toilets and showers have privacy systems in place. </w:t>
            </w:r>
          </w:p>
          <w:p w14:paraId="35B740E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their privacy is assured when staff are undertaking personal cares. The communal areas include the lounge/diner (for activities), which is easily and safely accessible for residents. Any future refurbishment plans will be discussed with Māori representatives to ensure their aspirations and identity are included. General living, communal areas and all resident rooms are appropriately heated and ventilated by heat pumps/air conditioners. All rooms have external windows that open, allowing plenty of natural sunlight. The temperature was a good ambient temperature on the day of the audit. All corridors have safety rails that promote safe mobility. Corridors are spacious and residents were observed moving freely around the areas with mobility aids where required. All outdoor areas well maintained, seating and shade is available and are accessible and safe for residents’ use.</w:t>
            </w:r>
          </w:p>
          <w:p w14:paraId="5240D207" w14:textId="77777777" w:rsidR="00000000" w:rsidRPr="00BE00C7" w:rsidRDefault="00000000" w:rsidP="00BE00C7">
            <w:pPr>
              <w:pStyle w:val="OutcomeDescription"/>
              <w:spacing w:before="120" w:after="120"/>
              <w:rPr>
                <w:rFonts w:cs="Arial"/>
                <w:lang w:eastAsia="en-NZ"/>
              </w:rPr>
            </w:pPr>
          </w:p>
        </w:tc>
      </w:tr>
      <w:tr w:rsidR="002366EE" w14:paraId="473CD294" w14:textId="77777777">
        <w:tc>
          <w:tcPr>
            <w:tcW w:w="0" w:type="auto"/>
          </w:tcPr>
          <w:p w14:paraId="1C85D9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5F2D4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FD700BD" w14:textId="77777777" w:rsidR="00000000" w:rsidRPr="00BE00C7" w:rsidRDefault="00000000" w:rsidP="00BE00C7">
            <w:pPr>
              <w:pStyle w:val="OutcomeDescription"/>
              <w:spacing w:before="120" w:after="120"/>
              <w:rPr>
                <w:rFonts w:cs="Arial"/>
                <w:lang w:eastAsia="en-NZ"/>
              </w:rPr>
            </w:pPr>
          </w:p>
        </w:tc>
        <w:tc>
          <w:tcPr>
            <w:tcW w:w="0" w:type="auto"/>
          </w:tcPr>
          <w:p w14:paraId="56443C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D040A1"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an emergency. The emergency planning includes business continuity plans in case of an emergency/disaster. A fire evacuation scheme is in place that has been approved by the New Zealand Fire Service on 12 October 2023. A fire evacuation drill was completed in the last six months. There are emergency management plans in place to ensure health, civil defence and other emergencies are included. Staff received the appropriate training at orientation and annually to effectively respond to identified emergency and security situations.</w:t>
            </w:r>
          </w:p>
          <w:p w14:paraId="5A4C1815" w14:textId="77777777" w:rsidR="00000000" w:rsidRPr="00BE00C7" w:rsidRDefault="00000000" w:rsidP="00BE00C7">
            <w:pPr>
              <w:pStyle w:val="OutcomeDescription"/>
              <w:spacing w:before="120" w:after="120"/>
              <w:rPr>
                <w:rFonts w:cs="Arial"/>
                <w:lang w:eastAsia="en-NZ"/>
              </w:rPr>
            </w:pPr>
            <w:r w:rsidRPr="00BE00C7">
              <w:rPr>
                <w:rFonts w:cs="Arial"/>
                <w:lang w:eastAsia="en-NZ"/>
              </w:rPr>
              <w:t>Civil defence supplies (sighted) are stored centrally and checked at regular intervals. There is back-up emergency lighting available. There are adequate supplies in the event of a civil defence emergency including water stores to provide residents and staff with four litres per day for a minimum of three days. A BBQ and gas cooktops in the kitchen are available for alternate cooking supplies. The service has a mobile generator available for the region (kept at a nearby sister site) in case of a sustained power outage. A minimum of one staff member trained in first aid is available 24/7. There are call bells in the residents’ rooms and ensuite, toilets, and lounge/dining room areas. Sensor mats are used for fall prevention management. Residents were observed to have their call bells near to them. Residents and family/whānau interviewed confirmed that call bells are answered in a timely manner.</w:t>
            </w:r>
          </w:p>
          <w:p w14:paraId="3444D54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easily identifiable and there is a sign-in process to identify visitors and contractors. The building is secure after hours and staff complete security checks at night. The service has a dedicated security person on site overnight to patrol the village.</w:t>
            </w:r>
          </w:p>
          <w:p w14:paraId="4FB754CB" w14:textId="77777777" w:rsidR="00000000" w:rsidRPr="00BE00C7" w:rsidRDefault="00000000" w:rsidP="00BE00C7">
            <w:pPr>
              <w:pStyle w:val="OutcomeDescription"/>
              <w:spacing w:before="120" w:after="120"/>
              <w:rPr>
                <w:rFonts w:cs="Arial"/>
                <w:lang w:eastAsia="en-NZ"/>
              </w:rPr>
            </w:pPr>
          </w:p>
        </w:tc>
      </w:tr>
      <w:tr w:rsidR="002366EE" w14:paraId="00A836FE" w14:textId="77777777">
        <w:tc>
          <w:tcPr>
            <w:tcW w:w="0" w:type="auto"/>
          </w:tcPr>
          <w:p w14:paraId="036741A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2B4E34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r>
            <w:r w:rsidRPr="00BE00C7">
              <w:rPr>
                <w:rFonts w:cs="Arial"/>
                <w:lang w:eastAsia="en-NZ"/>
              </w:rPr>
              <w:lastRenderedPageBreak/>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241F3DC" w14:textId="77777777" w:rsidR="00000000" w:rsidRPr="00BE00C7" w:rsidRDefault="00000000" w:rsidP="00BE00C7">
            <w:pPr>
              <w:pStyle w:val="OutcomeDescription"/>
              <w:spacing w:before="120" w:after="120"/>
              <w:rPr>
                <w:rFonts w:cs="Arial"/>
                <w:lang w:eastAsia="en-NZ"/>
              </w:rPr>
            </w:pPr>
          </w:p>
        </w:tc>
        <w:tc>
          <w:tcPr>
            <w:tcW w:w="0" w:type="auto"/>
          </w:tcPr>
          <w:p w14:paraId="673530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9019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an integral part of Metlifecare Bayswater business and quality plan to ensure an environment that minimises the risk of infection to residents, staff, and visitors. Expertise in infection control and AMS can </w:t>
            </w:r>
            <w:r w:rsidRPr="00BE00C7">
              <w:rPr>
                <w:rFonts w:cs="Arial"/>
                <w:lang w:eastAsia="en-NZ"/>
              </w:rPr>
              <w:lastRenderedPageBreak/>
              <w:t xml:space="preserve">be accessed through Metlifecare’s head office, Public Health, and Health New Zealand - Bay of Plenty. Infection control and AMS resources are accessible. </w:t>
            </w:r>
          </w:p>
          <w:p w14:paraId="79378A4C"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rates are presented and discussed at clinical, quality, and staff meetings. The data is also benchmarked with other Metlifecare facilities. Metlifecare benchmarks with other aged care organisations and presents the results to their facilities. This information is also displayed on staff noticeboards. Any significant events are managed using a collaborative approach and involve the infection control coordinator, the senior management team, the GP/NP, and the public health team. There is a documented pathway for reporting infection control and AMS issues to the Metlifecare Board.</w:t>
            </w:r>
          </w:p>
          <w:p w14:paraId="62C179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its content and detail, is appropriate for the size, complexity and degree of risk associated with the service. Infection control is linked into the electronic quality risk and incident reporting system. The infection control and AMS programme is reviewed annually by the national infection control coordinator, in consultation with the infection control coordinators.</w:t>
            </w:r>
          </w:p>
          <w:p w14:paraId="335FE385" w14:textId="77777777" w:rsidR="00000000" w:rsidRPr="00BE00C7" w:rsidRDefault="00000000" w:rsidP="00BE00C7">
            <w:pPr>
              <w:pStyle w:val="OutcomeDescription"/>
              <w:spacing w:before="120" w:after="120"/>
              <w:rPr>
                <w:rFonts w:cs="Arial"/>
                <w:lang w:eastAsia="en-NZ"/>
              </w:rPr>
            </w:pPr>
          </w:p>
        </w:tc>
      </w:tr>
      <w:tr w:rsidR="002366EE" w14:paraId="4AE611CB" w14:textId="77777777">
        <w:tc>
          <w:tcPr>
            <w:tcW w:w="0" w:type="auto"/>
          </w:tcPr>
          <w:p w14:paraId="505261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36B95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1479CBE" w14:textId="77777777" w:rsidR="00000000" w:rsidRPr="00BE00C7" w:rsidRDefault="00000000" w:rsidP="00BE00C7">
            <w:pPr>
              <w:pStyle w:val="OutcomeDescription"/>
              <w:spacing w:before="120" w:after="120"/>
              <w:rPr>
                <w:rFonts w:cs="Arial"/>
                <w:lang w:eastAsia="en-NZ"/>
              </w:rPr>
            </w:pPr>
          </w:p>
        </w:tc>
        <w:tc>
          <w:tcPr>
            <w:tcW w:w="0" w:type="auto"/>
          </w:tcPr>
          <w:p w14:paraId="43550F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3A99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Metlifecare head office, in consultation with infection control coordinators. Policies are available to staff. The response plan is clearly documented to reflect the current expected guidance from Health New Zealand. The infection prevention and control registered nurse (IPC RN) job description outlines the responsibility of the role relating to infection control matters and antimicrobial stewardship (AMS). The IPC RN has completed online training through Metlifecare, and the Health Quality Safety Commission (HQSC). The service has access to national infection prevention expertise through Metlifecare’s head office.</w:t>
            </w:r>
          </w:p>
          <w:p w14:paraId="301FD1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RN (nurse manager) was interviewed, described the pandemic plan, and confirmed the implementation of the plan, proves to be </w:t>
            </w:r>
            <w:r w:rsidRPr="00BE00C7">
              <w:rPr>
                <w:rFonts w:cs="Arial"/>
                <w:lang w:eastAsia="en-NZ"/>
              </w:rPr>
              <w:lastRenderedPageBreak/>
              <w:t>successful at the times of outbreaks. During the visual inspection of the facility and facility tour, staff were observed to adhere to infection control policies and practices. The infection prevention and control internal audit monitors the effectiveness of education and infection control practices.</w:t>
            </w:r>
          </w:p>
          <w:p w14:paraId="4FAECA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RN has input in the procurement of good quality consumables and personal protective equipment (PPE). Sufficient infection prevention resources, including personal protective equipment (PPE), were sighted and these are regularly checked against expiry dates. The infection control resources were readily accessible to support the pandemic plan if required. Staff interviewed demonstrated knowledge on the requirements of standard precautions and were able to locate policies and procedures. </w:t>
            </w:r>
          </w:p>
          <w:p w14:paraId="7F9C61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IPC RN and clinical team, have protocols in place to work in partnership with any future Māori residents and family/whānau for the protection of culturally safe practices in infection prevention, acknowledging the spirit of Te Tiriti. In interviews, staff interviewed understood cultural considerations related to infection control practices. </w:t>
            </w:r>
          </w:p>
          <w:p w14:paraId="2D4DB3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audits. </w:t>
            </w:r>
          </w:p>
          <w:p w14:paraId="18D99D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6F8DA35B"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are asked not to visit if unwell.</w:t>
            </w:r>
          </w:p>
          <w:p w14:paraId="27C0D4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hand sanitisers, plastic aprons and gloves strategically placed around the facility near point of care. Handbasins all have flowing soap. </w:t>
            </w:r>
          </w:p>
          <w:p w14:paraId="2BAD57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plans to extend or alter the building; however, the IPC RN </w:t>
            </w:r>
            <w:r w:rsidRPr="00BE00C7">
              <w:rPr>
                <w:rFonts w:cs="Arial"/>
                <w:lang w:eastAsia="en-NZ"/>
              </w:rPr>
              <w:lastRenderedPageBreak/>
              <w:t>would have input into the process if this occurred.</w:t>
            </w:r>
          </w:p>
          <w:p w14:paraId="3408A671" w14:textId="77777777" w:rsidR="00000000" w:rsidRPr="00BE00C7" w:rsidRDefault="00000000" w:rsidP="00BE00C7">
            <w:pPr>
              <w:pStyle w:val="OutcomeDescription"/>
              <w:spacing w:before="120" w:after="120"/>
              <w:rPr>
                <w:rFonts w:cs="Arial"/>
                <w:lang w:eastAsia="en-NZ"/>
              </w:rPr>
            </w:pPr>
          </w:p>
        </w:tc>
      </w:tr>
      <w:tr w:rsidR="002366EE" w14:paraId="0C5752B6" w14:textId="77777777">
        <w:tc>
          <w:tcPr>
            <w:tcW w:w="0" w:type="auto"/>
          </w:tcPr>
          <w:p w14:paraId="774583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0CAB9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C348057" w14:textId="77777777" w:rsidR="00000000" w:rsidRPr="00BE00C7" w:rsidRDefault="00000000" w:rsidP="00BE00C7">
            <w:pPr>
              <w:pStyle w:val="OutcomeDescription"/>
              <w:spacing w:before="120" w:after="120"/>
              <w:rPr>
                <w:rFonts w:cs="Arial"/>
                <w:lang w:eastAsia="en-NZ"/>
              </w:rPr>
            </w:pPr>
          </w:p>
        </w:tc>
        <w:tc>
          <w:tcPr>
            <w:tcW w:w="0" w:type="auto"/>
          </w:tcPr>
          <w:p w14:paraId="452C65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433A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clinical, quality, and staff meetings. Significant events are reported to the Metlifecare executive team. Prophylactic use of antibiotics is not considered to be appropriate and is discouraged.</w:t>
            </w:r>
          </w:p>
          <w:p w14:paraId="5521CA36" w14:textId="77777777" w:rsidR="00000000" w:rsidRPr="00BE00C7" w:rsidRDefault="00000000" w:rsidP="00BE00C7">
            <w:pPr>
              <w:pStyle w:val="OutcomeDescription"/>
              <w:spacing w:before="120" w:after="120"/>
              <w:rPr>
                <w:rFonts w:cs="Arial"/>
                <w:lang w:eastAsia="en-NZ"/>
              </w:rPr>
            </w:pPr>
          </w:p>
        </w:tc>
      </w:tr>
      <w:tr w:rsidR="002366EE" w14:paraId="1DB94F3C" w14:textId="77777777">
        <w:tc>
          <w:tcPr>
            <w:tcW w:w="0" w:type="auto"/>
          </w:tcPr>
          <w:p w14:paraId="0D0CC27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D8D51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18922DB" w14:textId="77777777" w:rsidR="00000000" w:rsidRPr="00BE00C7" w:rsidRDefault="00000000" w:rsidP="00BE00C7">
            <w:pPr>
              <w:pStyle w:val="OutcomeDescription"/>
              <w:spacing w:before="120" w:after="120"/>
              <w:rPr>
                <w:rFonts w:cs="Arial"/>
                <w:lang w:eastAsia="en-NZ"/>
              </w:rPr>
            </w:pPr>
          </w:p>
        </w:tc>
        <w:tc>
          <w:tcPr>
            <w:tcW w:w="0" w:type="auto"/>
          </w:tcPr>
          <w:p w14:paraId="350B1A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058756"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Metlifecare Bayswater infection prevention and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quarterly, and annually. Infection control surveillance is discussed at clinical, quality, and staff meetings. The service is incorporating ethnicity data into surveillance methods and data captured are easily extracted. Internal and external benchmarking is completed. Meeting minutes and graphs are displayed for staff. Action plans are required for any infection rates of concern, documented, and completed. Internal infection prevention and control audits are completed with corrective actions for areas of improvement. Communication pathways are documented to ensure clear communication to staff and residents who develop or experience a HAI.</w:t>
            </w:r>
          </w:p>
          <w:p w14:paraId="1D259D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receives information from the local Health New Zealand for any community concerns. There has been one outbreak (Covid-19) since the last audit.</w:t>
            </w:r>
          </w:p>
          <w:p w14:paraId="4704C9AA" w14:textId="77777777" w:rsidR="00000000" w:rsidRPr="00BE00C7" w:rsidRDefault="00000000" w:rsidP="00BE00C7">
            <w:pPr>
              <w:pStyle w:val="OutcomeDescription"/>
              <w:spacing w:before="120" w:after="120"/>
              <w:rPr>
                <w:rFonts w:cs="Arial"/>
                <w:lang w:eastAsia="en-NZ"/>
              </w:rPr>
            </w:pPr>
          </w:p>
        </w:tc>
      </w:tr>
      <w:tr w:rsidR="002366EE" w14:paraId="5F77C9CF" w14:textId="77777777">
        <w:tc>
          <w:tcPr>
            <w:tcW w:w="0" w:type="auto"/>
          </w:tcPr>
          <w:p w14:paraId="692167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1895D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DDB553E" w14:textId="77777777" w:rsidR="00000000" w:rsidRPr="00BE00C7" w:rsidRDefault="00000000" w:rsidP="00BE00C7">
            <w:pPr>
              <w:pStyle w:val="OutcomeDescription"/>
              <w:spacing w:before="120" w:after="120"/>
              <w:rPr>
                <w:rFonts w:cs="Arial"/>
                <w:lang w:eastAsia="en-NZ"/>
              </w:rPr>
            </w:pPr>
          </w:p>
        </w:tc>
        <w:tc>
          <w:tcPr>
            <w:tcW w:w="0" w:type="auto"/>
          </w:tcPr>
          <w:p w14:paraId="726209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12AB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All chemicals were clearly labelled with manufacturer’s labels and stored in locked areas. Cleaning chemicals are kept in a locked box on the cleaning trolleys and the trolleys are kept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is a sluice room on each floor, sanitisers with stainless steel bench and separate handwashing facilities. Eye protection and other PPE are available. Staff have completed chemical safety training. A chemical provider monitors the effectiveness of chemicals. </w:t>
            </w:r>
          </w:p>
          <w:p w14:paraId="05442BF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is laundered off site (apart from kitchen items and hoist slings). Linen is delivered on alternate days, and there are defined dirty and clean areas for pickup and drop off. Personal laundry is delivered back to residents in named baskets. Linen is delivered to cupboards on covered trollies. There is enough space for linen storage. The linen cupboards were well stocked, and linen sighted was in good condition. Cleaning and laundry services are monitored through the internal auditing system, overseen by the IPC RN. The washing machine and dryers are checked and serviced regularly.</w:t>
            </w:r>
          </w:p>
          <w:p w14:paraId="23571971" w14:textId="77777777" w:rsidR="00000000" w:rsidRPr="00BE00C7" w:rsidRDefault="00000000" w:rsidP="00BE00C7">
            <w:pPr>
              <w:pStyle w:val="OutcomeDescription"/>
              <w:spacing w:before="120" w:after="120"/>
              <w:rPr>
                <w:rFonts w:cs="Arial"/>
                <w:lang w:eastAsia="en-NZ"/>
              </w:rPr>
            </w:pPr>
          </w:p>
        </w:tc>
      </w:tr>
      <w:tr w:rsidR="002366EE" w14:paraId="482C7AB2" w14:textId="77777777">
        <w:tc>
          <w:tcPr>
            <w:tcW w:w="0" w:type="auto"/>
          </w:tcPr>
          <w:p w14:paraId="1185E8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9283E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7E6BAB5" w14:textId="77777777" w:rsidR="00000000" w:rsidRPr="00BE00C7" w:rsidRDefault="00000000" w:rsidP="00BE00C7">
            <w:pPr>
              <w:pStyle w:val="OutcomeDescription"/>
              <w:spacing w:before="120" w:after="120"/>
              <w:rPr>
                <w:rFonts w:cs="Arial"/>
                <w:lang w:eastAsia="en-NZ"/>
              </w:rPr>
            </w:pPr>
          </w:p>
        </w:tc>
        <w:tc>
          <w:tcPr>
            <w:tcW w:w="0" w:type="auto"/>
          </w:tcPr>
          <w:p w14:paraId="6995BAF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31C63C"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is committed to maintaining a restraint free environment. There are no residents using restrain on the days of the audit. The nurse manager is the restraint coordinator and described the focus on maintaining a restraint-free environment. Restraint was understood by the staff interviewed who also described their commitment to maintaining a restraint free environment and therefore upholding the dignity of the residents under their care.</w:t>
            </w:r>
          </w:p>
          <w:p w14:paraId="008EA9F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The restraint coordinator is a defined role and provide support and oversight should restraint be required in the future. There is a job description that outlines the role. Staff have been trained in the least restrictive practice, safe restraint practice, alternative cultural-specific interventions, and de-</w:t>
            </w:r>
            <w:r w:rsidRPr="00BE00C7">
              <w:rPr>
                <w:rFonts w:cs="Arial"/>
                <w:lang w:eastAsia="en-NZ"/>
              </w:rPr>
              <w:lastRenderedPageBreak/>
              <w:t>escalation techniques as part of the ongoing education programme. Restraint protocols are covered in the orientation programme of the facility and restraint use is identified as part of the quality programme and reported at all levels of the organisation.</w:t>
            </w:r>
          </w:p>
          <w:p w14:paraId="7C1C1F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and the multidisciplinary team would be responsible for the approval of the use of restraints should this be required in the future; there are clear lines of accountability. For any decision to use or not use restraint, there is a process to involve the resident, their enduring power of attorney and/or family/whānau as part of the decision-making process.</w:t>
            </w:r>
          </w:p>
          <w:p w14:paraId="5DF56F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is an agenda item of clinical and quality meetings. The outcomes of the discussions are reported to the governance body. Any changes to policies, guidelines, education, and processes are implemented if indicated. </w:t>
            </w:r>
          </w:p>
          <w:p w14:paraId="2BB7E081" w14:textId="77777777" w:rsidR="00000000" w:rsidRPr="00BE00C7" w:rsidRDefault="00000000" w:rsidP="00BE00C7">
            <w:pPr>
              <w:pStyle w:val="OutcomeDescription"/>
              <w:spacing w:before="120" w:after="120"/>
              <w:rPr>
                <w:rFonts w:cs="Arial"/>
                <w:lang w:eastAsia="en-NZ"/>
              </w:rPr>
            </w:pPr>
          </w:p>
        </w:tc>
      </w:tr>
    </w:tbl>
    <w:p w14:paraId="6D6BE39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F070B65" w14:textId="77777777" w:rsidR="00000000" w:rsidRDefault="00000000">
      <w:pPr>
        <w:pStyle w:val="Heading1"/>
        <w:rPr>
          <w:rFonts w:cs="Arial"/>
        </w:rPr>
      </w:pPr>
      <w:r>
        <w:rPr>
          <w:rFonts w:cs="Arial"/>
        </w:rPr>
        <w:lastRenderedPageBreak/>
        <w:t>Specific results for criterion where corrective actions are required</w:t>
      </w:r>
    </w:p>
    <w:p w14:paraId="2C4CFF2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0E45BD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3A54D6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366EE" w14:paraId="7789C270" w14:textId="77777777">
        <w:tc>
          <w:tcPr>
            <w:tcW w:w="0" w:type="auto"/>
          </w:tcPr>
          <w:p w14:paraId="27976EF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AF53D6B"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D422018" w14:textId="77777777" w:rsidR="00000000" w:rsidRDefault="00000000">
      <w:pPr>
        <w:pStyle w:val="Heading1"/>
        <w:rPr>
          <w:rFonts w:cs="Arial"/>
        </w:rPr>
      </w:pPr>
      <w:r>
        <w:rPr>
          <w:rFonts w:cs="Arial"/>
        </w:rPr>
        <w:lastRenderedPageBreak/>
        <w:t>Specific results for criterion where a continuous improvement has been recorded</w:t>
      </w:r>
    </w:p>
    <w:p w14:paraId="5CD5F3B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6F27EE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FFB473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366EE" w14:paraId="6316626A" w14:textId="77777777">
        <w:tc>
          <w:tcPr>
            <w:tcW w:w="0" w:type="auto"/>
          </w:tcPr>
          <w:p w14:paraId="15E73CD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CCA79E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EB4C89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46943" w14:textId="77777777" w:rsidR="00E0693E" w:rsidRDefault="00E0693E">
      <w:r>
        <w:separator/>
      </w:r>
    </w:p>
  </w:endnote>
  <w:endnote w:type="continuationSeparator" w:id="0">
    <w:p w14:paraId="16C91FA7" w14:textId="77777777" w:rsidR="00E0693E" w:rsidRDefault="00E0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DC29" w14:textId="77777777" w:rsidR="00000000" w:rsidRDefault="00000000">
    <w:pPr>
      <w:pStyle w:val="Footer"/>
    </w:pPr>
  </w:p>
  <w:p w14:paraId="3105E7BD" w14:textId="77777777" w:rsidR="00000000" w:rsidRDefault="00000000"/>
  <w:p w14:paraId="4A98052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292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Metlifecare Bayswater</w:t>
    </w:r>
    <w:bookmarkEnd w:id="59"/>
    <w:r>
      <w:rPr>
        <w:rFonts w:cs="Arial"/>
        <w:sz w:val="16"/>
        <w:szCs w:val="20"/>
      </w:rPr>
      <w:tab/>
      <w:t xml:space="preserve">Date of Audit: </w:t>
    </w:r>
    <w:bookmarkStart w:id="60" w:name="AuditStartDate1"/>
    <w:r>
      <w:rPr>
        <w:rFonts w:cs="Arial"/>
        <w:sz w:val="16"/>
        <w:szCs w:val="20"/>
      </w:rPr>
      <w:t>3 September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3F8EF6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1CB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A1AB" w14:textId="77777777" w:rsidR="00E0693E" w:rsidRDefault="00E0693E">
      <w:r>
        <w:separator/>
      </w:r>
    </w:p>
  </w:footnote>
  <w:footnote w:type="continuationSeparator" w:id="0">
    <w:p w14:paraId="2639D924" w14:textId="77777777" w:rsidR="00E0693E" w:rsidRDefault="00E06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7EF7" w14:textId="77777777" w:rsidR="00000000" w:rsidRDefault="00000000">
    <w:pPr>
      <w:pStyle w:val="Header"/>
    </w:pPr>
  </w:p>
  <w:p w14:paraId="05AB878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1166" w14:textId="77777777" w:rsidR="00000000" w:rsidRDefault="00000000">
    <w:pPr>
      <w:pStyle w:val="Header"/>
    </w:pPr>
  </w:p>
  <w:p w14:paraId="622A519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AE6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C6AA582">
      <w:start w:val="1"/>
      <w:numFmt w:val="decimal"/>
      <w:lvlText w:val="%1."/>
      <w:lvlJc w:val="left"/>
      <w:pPr>
        <w:ind w:left="360" w:hanging="360"/>
      </w:pPr>
    </w:lvl>
    <w:lvl w:ilvl="1" w:tplc="DB9C6FE0" w:tentative="1">
      <w:start w:val="1"/>
      <w:numFmt w:val="lowerLetter"/>
      <w:lvlText w:val="%2."/>
      <w:lvlJc w:val="left"/>
      <w:pPr>
        <w:ind w:left="1080" w:hanging="360"/>
      </w:pPr>
    </w:lvl>
    <w:lvl w:ilvl="2" w:tplc="46741DE4" w:tentative="1">
      <w:start w:val="1"/>
      <w:numFmt w:val="lowerRoman"/>
      <w:lvlText w:val="%3."/>
      <w:lvlJc w:val="right"/>
      <w:pPr>
        <w:ind w:left="1800" w:hanging="180"/>
      </w:pPr>
    </w:lvl>
    <w:lvl w:ilvl="3" w:tplc="1FE03F24" w:tentative="1">
      <w:start w:val="1"/>
      <w:numFmt w:val="decimal"/>
      <w:lvlText w:val="%4."/>
      <w:lvlJc w:val="left"/>
      <w:pPr>
        <w:ind w:left="2520" w:hanging="360"/>
      </w:pPr>
    </w:lvl>
    <w:lvl w:ilvl="4" w:tplc="9F32EEFC" w:tentative="1">
      <w:start w:val="1"/>
      <w:numFmt w:val="lowerLetter"/>
      <w:lvlText w:val="%5."/>
      <w:lvlJc w:val="left"/>
      <w:pPr>
        <w:ind w:left="3240" w:hanging="360"/>
      </w:pPr>
    </w:lvl>
    <w:lvl w:ilvl="5" w:tplc="EB6C14FC" w:tentative="1">
      <w:start w:val="1"/>
      <w:numFmt w:val="lowerRoman"/>
      <w:lvlText w:val="%6."/>
      <w:lvlJc w:val="right"/>
      <w:pPr>
        <w:ind w:left="3960" w:hanging="180"/>
      </w:pPr>
    </w:lvl>
    <w:lvl w:ilvl="6" w:tplc="58E4832C" w:tentative="1">
      <w:start w:val="1"/>
      <w:numFmt w:val="decimal"/>
      <w:lvlText w:val="%7."/>
      <w:lvlJc w:val="left"/>
      <w:pPr>
        <w:ind w:left="4680" w:hanging="360"/>
      </w:pPr>
    </w:lvl>
    <w:lvl w:ilvl="7" w:tplc="9468ED36" w:tentative="1">
      <w:start w:val="1"/>
      <w:numFmt w:val="lowerLetter"/>
      <w:lvlText w:val="%8."/>
      <w:lvlJc w:val="left"/>
      <w:pPr>
        <w:ind w:left="5400" w:hanging="360"/>
      </w:pPr>
    </w:lvl>
    <w:lvl w:ilvl="8" w:tplc="D2DCDCE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5AED33A">
      <w:start w:val="1"/>
      <w:numFmt w:val="bullet"/>
      <w:lvlText w:val=""/>
      <w:lvlJc w:val="left"/>
      <w:pPr>
        <w:ind w:left="720" w:hanging="360"/>
      </w:pPr>
      <w:rPr>
        <w:rFonts w:ascii="Symbol" w:hAnsi="Symbol" w:hint="default"/>
      </w:rPr>
    </w:lvl>
    <w:lvl w:ilvl="1" w:tplc="E4E23C2C" w:tentative="1">
      <w:start w:val="1"/>
      <w:numFmt w:val="bullet"/>
      <w:lvlText w:val="o"/>
      <w:lvlJc w:val="left"/>
      <w:pPr>
        <w:ind w:left="1440" w:hanging="360"/>
      </w:pPr>
      <w:rPr>
        <w:rFonts w:ascii="Courier New" w:hAnsi="Courier New" w:cs="Courier New" w:hint="default"/>
      </w:rPr>
    </w:lvl>
    <w:lvl w:ilvl="2" w:tplc="DF44EB06" w:tentative="1">
      <w:start w:val="1"/>
      <w:numFmt w:val="bullet"/>
      <w:lvlText w:val=""/>
      <w:lvlJc w:val="left"/>
      <w:pPr>
        <w:ind w:left="2160" w:hanging="360"/>
      </w:pPr>
      <w:rPr>
        <w:rFonts w:ascii="Wingdings" w:hAnsi="Wingdings" w:hint="default"/>
      </w:rPr>
    </w:lvl>
    <w:lvl w:ilvl="3" w:tplc="EFB0C1D0" w:tentative="1">
      <w:start w:val="1"/>
      <w:numFmt w:val="bullet"/>
      <w:lvlText w:val=""/>
      <w:lvlJc w:val="left"/>
      <w:pPr>
        <w:ind w:left="2880" w:hanging="360"/>
      </w:pPr>
      <w:rPr>
        <w:rFonts w:ascii="Symbol" w:hAnsi="Symbol" w:hint="default"/>
      </w:rPr>
    </w:lvl>
    <w:lvl w:ilvl="4" w:tplc="E14E0F8E" w:tentative="1">
      <w:start w:val="1"/>
      <w:numFmt w:val="bullet"/>
      <w:lvlText w:val="o"/>
      <w:lvlJc w:val="left"/>
      <w:pPr>
        <w:ind w:left="3600" w:hanging="360"/>
      </w:pPr>
      <w:rPr>
        <w:rFonts w:ascii="Courier New" w:hAnsi="Courier New" w:cs="Courier New" w:hint="default"/>
      </w:rPr>
    </w:lvl>
    <w:lvl w:ilvl="5" w:tplc="2B48E214" w:tentative="1">
      <w:start w:val="1"/>
      <w:numFmt w:val="bullet"/>
      <w:lvlText w:val=""/>
      <w:lvlJc w:val="left"/>
      <w:pPr>
        <w:ind w:left="4320" w:hanging="360"/>
      </w:pPr>
      <w:rPr>
        <w:rFonts w:ascii="Wingdings" w:hAnsi="Wingdings" w:hint="default"/>
      </w:rPr>
    </w:lvl>
    <w:lvl w:ilvl="6" w:tplc="CD8ACD5A" w:tentative="1">
      <w:start w:val="1"/>
      <w:numFmt w:val="bullet"/>
      <w:lvlText w:val=""/>
      <w:lvlJc w:val="left"/>
      <w:pPr>
        <w:ind w:left="5040" w:hanging="360"/>
      </w:pPr>
      <w:rPr>
        <w:rFonts w:ascii="Symbol" w:hAnsi="Symbol" w:hint="default"/>
      </w:rPr>
    </w:lvl>
    <w:lvl w:ilvl="7" w:tplc="A02406E2" w:tentative="1">
      <w:start w:val="1"/>
      <w:numFmt w:val="bullet"/>
      <w:lvlText w:val="o"/>
      <w:lvlJc w:val="left"/>
      <w:pPr>
        <w:ind w:left="5760" w:hanging="360"/>
      </w:pPr>
      <w:rPr>
        <w:rFonts w:ascii="Courier New" w:hAnsi="Courier New" w:cs="Courier New" w:hint="default"/>
      </w:rPr>
    </w:lvl>
    <w:lvl w:ilvl="8" w:tplc="7CB480B4" w:tentative="1">
      <w:start w:val="1"/>
      <w:numFmt w:val="bullet"/>
      <w:lvlText w:val=""/>
      <w:lvlJc w:val="left"/>
      <w:pPr>
        <w:ind w:left="6480" w:hanging="360"/>
      </w:pPr>
      <w:rPr>
        <w:rFonts w:ascii="Wingdings" w:hAnsi="Wingdings" w:hint="default"/>
      </w:rPr>
    </w:lvl>
  </w:abstractNum>
  <w:num w:numId="1" w16cid:durableId="1508790714">
    <w:abstractNumId w:val="1"/>
  </w:num>
  <w:num w:numId="2" w16cid:durableId="1603295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EE"/>
    <w:rsid w:val="002366EE"/>
    <w:rsid w:val="002B2E94"/>
    <w:rsid w:val="00E069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F654"/>
  <w15:docId w15:val="{B719BD42-0D72-4DF9-8652-C094984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13381</Words>
  <Characters>76276</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2024-11-05T20:41:00Z</dcterms:created>
  <dcterms:modified xsi:type="dcterms:W3CDTF">2024-11-05T20:41:00Z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