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DB3B" w14:textId="77777777" w:rsidR="00000000" w:rsidRDefault="00000000">
      <w:pPr>
        <w:pStyle w:val="Heading1"/>
        <w:rPr>
          <w:rFonts w:cs="Arial"/>
        </w:rPr>
      </w:pPr>
      <w:bookmarkStart w:id="0" w:name="PRMS_RIName"/>
      <w:r>
        <w:rPr>
          <w:rFonts w:cs="Arial"/>
        </w:rPr>
        <w:t>North Health Limited - Hummingbird House</w:t>
      </w:r>
      <w:bookmarkEnd w:id="0"/>
    </w:p>
    <w:p w14:paraId="73164657" w14:textId="77777777" w:rsidR="00000000" w:rsidRDefault="00000000">
      <w:pPr>
        <w:pStyle w:val="Heading2"/>
        <w:spacing w:after="0"/>
        <w:rPr>
          <w:rFonts w:cs="Arial"/>
        </w:rPr>
      </w:pPr>
      <w:r>
        <w:rPr>
          <w:rFonts w:cs="Arial"/>
        </w:rPr>
        <w:t>Introduction</w:t>
      </w:r>
    </w:p>
    <w:p w14:paraId="389564A0"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642330D"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4AD6D43"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C4580A0"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1645970" w14:textId="77777777" w:rsidR="00000000" w:rsidRDefault="00000000">
      <w:pPr>
        <w:spacing w:before="240" w:after="240"/>
        <w:rPr>
          <w:rFonts w:cs="Arial"/>
          <w:lang w:eastAsia="en-NZ"/>
        </w:rPr>
      </w:pPr>
      <w:r>
        <w:rPr>
          <w:rFonts w:cs="Arial"/>
          <w:lang w:eastAsia="en-NZ"/>
        </w:rPr>
        <w:t>The specifics of this audit included:</w:t>
      </w:r>
    </w:p>
    <w:p w14:paraId="21C7D2F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9F506D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Health Limited</w:t>
      </w:r>
      <w:bookmarkEnd w:id="4"/>
    </w:p>
    <w:p w14:paraId="1813B63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Hummingbird House</w:t>
      </w:r>
      <w:bookmarkEnd w:id="5"/>
    </w:p>
    <w:p w14:paraId="4742A64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62F228D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September 2024</w:t>
      </w:r>
      <w:bookmarkEnd w:id="7"/>
      <w:r w:rsidRPr="009418D4">
        <w:rPr>
          <w:rFonts w:cs="Arial"/>
        </w:rPr>
        <w:tab/>
        <w:t xml:space="preserve">End date: </w:t>
      </w:r>
      <w:bookmarkStart w:id="8" w:name="AuditEndDate"/>
      <w:r>
        <w:rPr>
          <w:rFonts w:cs="Arial"/>
        </w:rPr>
        <w:t>23 September 2024</w:t>
      </w:r>
      <w:bookmarkEnd w:id="8"/>
    </w:p>
    <w:p w14:paraId="7F15B6A3"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Albatross Lodge (eight beds) is currently closed for refurbishment/renovation. This will reopen on completion. Tui House was reconfigured, changing from a rest home service type to only providing dementia care services.   Increasing the secure dementia care from 31 to 44 beds</w:t>
      </w:r>
    </w:p>
    <w:bookmarkEnd w:id="9"/>
    <w:p w14:paraId="7F0C990D" w14:textId="77777777" w:rsidR="00BC6C1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14:paraId="21588215"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B832AEE" w14:textId="77777777" w:rsidR="00000000" w:rsidRDefault="00000000">
      <w:pPr>
        <w:pStyle w:val="Heading1"/>
        <w:rPr>
          <w:rFonts w:cs="Arial"/>
        </w:rPr>
      </w:pPr>
      <w:r>
        <w:rPr>
          <w:rFonts w:cs="Arial"/>
        </w:rPr>
        <w:lastRenderedPageBreak/>
        <w:t>Executive summary of the audit</w:t>
      </w:r>
    </w:p>
    <w:p w14:paraId="5212DB5B" w14:textId="77777777" w:rsidR="00000000" w:rsidRDefault="00000000">
      <w:pPr>
        <w:pStyle w:val="Heading2"/>
        <w:rPr>
          <w:rFonts w:cs="Arial"/>
        </w:rPr>
      </w:pPr>
      <w:r>
        <w:rPr>
          <w:rFonts w:cs="Arial"/>
        </w:rPr>
        <w:t>Introduction</w:t>
      </w:r>
    </w:p>
    <w:p w14:paraId="3876054E"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2B6539C"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7B24C15"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E1D9540"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FF386FF"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C8EE12A"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0610444"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4ED6FDB"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3E90585"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C6C13" w14:paraId="1556F607" w14:textId="77777777">
        <w:trPr>
          <w:cantSplit/>
          <w:tblHeader/>
        </w:trPr>
        <w:tc>
          <w:tcPr>
            <w:tcW w:w="1260" w:type="dxa"/>
            <w:tcBorders>
              <w:bottom w:val="single" w:sz="4" w:space="0" w:color="000000"/>
            </w:tcBorders>
            <w:vAlign w:val="center"/>
          </w:tcPr>
          <w:p w14:paraId="1D857471"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3D0E493"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FDDA6DC" w14:textId="77777777" w:rsidR="00000000" w:rsidRDefault="00000000">
            <w:pPr>
              <w:spacing w:before="60" w:after="60"/>
              <w:rPr>
                <w:rFonts w:eastAsia="Calibri"/>
                <w:b/>
                <w:szCs w:val="24"/>
              </w:rPr>
            </w:pPr>
            <w:r>
              <w:rPr>
                <w:rFonts w:eastAsia="Calibri"/>
                <w:b/>
                <w:szCs w:val="24"/>
              </w:rPr>
              <w:t>Definition</w:t>
            </w:r>
          </w:p>
        </w:tc>
      </w:tr>
      <w:tr w:rsidR="00BC6C13" w14:paraId="50281971" w14:textId="77777777">
        <w:trPr>
          <w:cantSplit/>
          <w:trHeight w:val="964"/>
        </w:trPr>
        <w:tc>
          <w:tcPr>
            <w:tcW w:w="1260" w:type="dxa"/>
            <w:tcBorders>
              <w:bottom w:val="single" w:sz="4" w:space="0" w:color="000000"/>
            </w:tcBorders>
            <w:shd w:val="clear" w:color="0066FF" w:fill="0000FF"/>
            <w:vAlign w:val="center"/>
          </w:tcPr>
          <w:p w14:paraId="4429358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BF80EE0"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65FB177"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C6C13" w14:paraId="0C3A703F" w14:textId="77777777">
        <w:trPr>
          <w:cantSplit/>
          <w:trHeight w:val="964"/>
        </w:trPr>
        <w:tc>
          <w:tcPr>
            <w:tcW w:w="1260" w:type="dxa"/>
            <w:shd w:val="clear" w:color="33CC33" w:fill="00FF00"/>
            <w:vAlign w:val="center"/>
          </w:tcPr>
          <w:p w14:paraId="2D64DD97" w14:textId="77777777" w:rsidR="00000000" w:rsidRDefault="00000000">
            <w:pPr>
              <w:spacing w:before="60" w:after="60"/>
              <w:rPr>
                <w:rFonts w:eastAsia="Calibri"/>
                <w:szCs w:val="24"/>
              </w:rPr>
            </w:pPr>
          </w:p>
        </w:tc>
        <w:tc>
          <w:tcPr>
            <w:tcW w:w="7095" w:type="dxa"/>
            <w:shd w:val="clear" w:color="auto" w:fill="auto"/>
            <w:vAlign w:val="center"/>
          </w:tcPr>
          <w:p w14:paraId="1195C605"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9DA7154"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BC6C13" w14:paraId="7D71096A" w14:textId="77777777">
        <w:trPr>
          <w:cantSplit/>
          <w:trHeight w:val="964"/>
        </w:trPr>
        <w:tc>
          <w:tcPr>
            <w:tcW w:w="1260" w:type="dxa"/>
            <w:tcBorders>
              <w:bottom w:val="single" w:sz="4" w:space="0" w:color="000000"/>
            </w:tcBorders>
            <w:shd w:val="clear" w:color="auto" w:fill="FFFF00"/>
            <w:vAlign w:val="center"/>
          </w:tcPr>
          <w:p w14:paraId="38F0D45D" w14:textId="77777777" w:rsidR="00000000" w:rsidRDefault="00000000">
            <w:pPr>
              <w:spacing w:before="60" w:after="60"/>
              <w:rPr>
                <w:rFonts w:eastAsia="Calibri"/>
                <w:szCs w:val="24"/>
              </w:rPr>
            </w:pPr>
          </w:p>
        </w:tc>
        <w:tc>
          <w:tcPr>
            <w:tcW w:w="7095" w:type="dxa"/>
            <w:shd w:val="clear" w:color="auto" w:fill="auto"/>
            <w:vAlign w:val="center"/>
          </w:tcPr>
          <w:p w14:paraId="0A0FC576"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A16F2E5"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C6C13" w14:paraId="590395CB" w14:textId="77777777">
        <w:trPr>
          <w:cantSplit/>
          <w:trHeight w:val="964"/>
        </w:trPr>
        <w:tc>
          <w:tcPr>
            <w:tcW w:w="1260" w:type="dxa"/>
            <w:tcBorders>
              <w:bottom w:val="single" w:sz="4" w:space="0" w:color="000000"/>
            </w:tcBorders>
            <w:shd w:val="clear" w:color="auto" w:fill="FFC800"/>
            <w:vAlign w:val="center"/>
          </w:tcPr>
          <w:p w14:paraId="7483199F"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47ADB2D"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373546"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C6C13" w14:paraId="06EB9EDB" w14:textId="77777777">
        <w:trPr>
          <w:cantSplit/>
          <w:trHeight w:val="964"/>
        </w:trPr>
        <w:tc>
          <w:tcPr>
            <w:tcW w:w="1260" w:type="dxa"/>
            <w:shd w:val="clear" w:color="auto" w:fill="FF0000"/>
            <w:vAlign w:val="center"/>
          </w:tcPr>
          <w:p w14:paraId="79968501" w14:textId="77777777" w:rsidR="00000000" w:rsidRDefault="00000000">
            <w:pPr>
              <w:spacing w:before="60" w:after="60"/>
              <w:rPr>
                <w:rFonts w:eastAsia="Calibri"/>
                <w:szCs w:val="24"/>
              </w:rPr>
            </w:pPr>
          </w:p>
        </w:tc>
        <w:tc>
          <w:tcPr>
            <w:tcW w:w="7095" w:type="dxa"/>
            <w:shd w:val="clear" w:color="auto" w:fill="auto"/>
            <w:vAlign w:val="center"/>
          </w:tcPr>
          <w:p w14:paraId="1E7965A9"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23DC642"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839F8F9" w14:textId="77777777" w:rsidR="00000000" w:rsidRDefault="00000000">
      <w:pPr>
        <w:pStyle w:val="Heading2"/>
        <w:spacing w:after="0"/>
        <w:rPr>
          <w:rFonts w:cs="Arial"/>
        </w:rPr>
      </w:pPr>
      <w:r>
        <w:rPr>
          <w:rFonts w:cs="Arial"/>
        </w:rPr>
        <w:t>General overview of the audit</w:t>
      </w:r>
    </w:p>
    <w:p w14:paraId="031131E4" w14:textId="77777777" w:rsidR="00000000" w:rsidRDefault="00000000">
      <w:pPr>
        <w:spacing w:before="240" w:line="276" w:lineRule="auto"/>
        <w:rPr>
          <w:rFonts w:eastAsia="Calibri"/>
        </w:rPr>
      </w:pPr>
      <w:bookmarkStart w:id="13" w:name="GeneralOverview"/>
      <w:r w:rsidRPr="00A4268A">
        <w:rPr>
          <w:rFonts w:eastAsia="Calibri"/>
        </w:rPr>
        <w:t>North Health Limited – Hummingbird House (Hummingbird House) provides dementia-level care for up to 44 residents. The company's director is the facility manager and has been in this role since mid-November 2023, supported by the clinical manager employed in early January 2024. Albatross Wing is currently closed for refurbishment. Tui House (previously used for rest home-level care) is now only providing dementia level of care services.</w:t>
      </w:r>
    </w:p>
    <w:p w14:paraId="45B3AB9B" w14:textId="77777777" w:rsidR="00BC6C13"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Health New Zealand – Te Whatu Ora Te Tai Tokerau. The audit process included reviewing policies and procedures, reviewing residents’ and staff records, and observing and interviewing residents, whānau, staff and management. The general practitioner was not available for the interview.</w:t>
      </w:r>
    </w:p>
    <w:p w14:paraId="18CB207F" w14:textId="77777777" w:rsidR="00BC6C13" w:rsidRPr="00A4268A" w:rsidRDefault="00000000">
      <w:pPr>
        <w:spacing w:before="240" w:line="276" w:lineRule="auto"/>
        <w:rPr>
          <w:rFonts w:eastAsia="Calibri"/>
        </w:rPr>
      </w:pPr>
      <w:r w:rsidRPr="00A4268A">
        <w:rPr>
          <w:rFonts w:eastAsia="Calibri"/>
        </w:rPr>
        <w:t>Significant changes to the service and facilities since the previous audit included reconfiguring Tui House, changing from a rest home service type to only providing dementia services, and increasing the secure dementia care from 31 to 44 beds. An additional registered nurse was employed and works five days a week.</w:t>
      </w:r>
    </w:p>
    <w:p w14:paraId="43AA61AF" w14:textId="77777777" w:rsidR="00BC6C13" w:rsidRPr="00A4268A" w:rsidRDefault="00000000">
      <w:pPr>
        <w:spacing w:before="240" w:line="276" w:lineRule="auto"/>
        <w:rPr>
          <w:rFonts w:eastAsia="Calibri"/>
        </w:rPr>
      </w:pPr>
      <w:r w:rsidRPr="00A4268A">
        <w:rPr>
          <w:rFonts w:eastAsia="Calibri"/>
        </w:rPr>
        <w:t>The areas requiring improvement from the previous audit related to monitoring and evaluating data – two areas concerning equity for Māori, monitoring progress against quality outcomes; risk management processes, 24-hour activity care plans, medication management and food services were reviewed and fully addressed. No new areas requiring improvement were identified from this surveillance audit.</w:t>
      </w:r>
    </w:p>
    <w:bookmarkEnd w:id="13"/>
    <w:p w14:paraId="7A723D3A" w14:textId="77777777" w:rsidR="00BC6C13" w:rsidRPr="00A4268A" w:rsidRDefault="00BC6C13">
      <w:pPr>
        <w:spacing w:before="240" w:line="276" w:lineRule="auto"/>
        <w:rPr>
          <w:rFonts w:eastAsia="Calibri"/>
        </w:rPr>
      </w:pPr>
    </w:p>
    <w:p w14:paraId="0BA3E54A"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C6C13" w14:paraId="39E969AA" w14:textId="77777777" w:rsidTr="00A4268A">
        <w:trPr>
          <w:cantSplit/>
        </w:trPr>
        <w:tc>
          <w:tcPr>
            <w:tcW w:w="10206" w:type="dxa"/>
            <w:vAlign w:val="center"/>
          </w:tcPr>
          <w:p w14:paraId="29A00E3E"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C4F2980"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3F8108F"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9FF791"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A877F7D" w14:textId="77777777" w:rsidR="00000000" w:rsidRDefault="00000000">
      <w:pPr>
        <w:spacing w:before="240" w:line="276" w:lineRule="auto"/>
        <w:rPr>
          <w:rFonts w:eastAsia="Calibri"/>
        </w:rPr>
      </w:pPr>
      <w:bookmarkStart w:id="16" w:name="ConsumerRights"/>
      <w:r w:rsidRPr="00A4268A">
        <w:rPr>
          <w:rFonts w:eastAsia="Calibri"/>
        </w:rPr>
        <w:t xml:space="preserve">Hummingbird House works collaboratively to support and encourage a Māori world view of health in service delivery. Māori are provided with equitable and effective services based on Te Tiriti o Waitangi and the principles of mana motuhake. </w:t>
      </w:r>
    </w:p>
    <w:p w14:paraId="4B32CB5B" w14:textId="77777777" w:rsidR="00BC6C13"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76B03FF1" w14:textId="77777777" w:rsidR="00BC6C13" w:rsidRPr="00A4268A" w:rsidRDefault="00000000">
      <w:pPr>
        <w:spacing w:before="240" w:line="276" w:lineRule="auto"/>
        <w:rPr>
          <w:rFonts w:eastAsia="Calibri"/>
        </w:rPr>
      </w:pPr>
      <w:r w:rsidRPr="00A4268A">
        <w:rPr>
          <w:rFonts w:eastAsia="Calibri"/>
        </w:rPr>
        <w:t xml:space="preserve">Residents and their whānau are informed of their rights according to the Code of Health and Disability Services Consumers’ Rights (the Code), which are upheld. Service providers maintain professional boundaries, and there was no evidence of abuse, neglect, discrimination or other exploitation. The property of residents was respected. </w:t>
      </w:r>
    </w:p>
    <w:p w14:paraId="6291F13E" w14:textId="77777777" w:rsidR="00BC6C13" w:rsidRPr="00A4268A" w:rsidRDefault="00000000">
      <w:pPr>
        <w:spacing w:before="240" w:line="276" w:lineRule="auto"/>
        <w:rPr>
          <w:rFonts w:eastAsia="Calibri"/>
        </w:rPr>
      </w:pPr>
      <w:r w:rsidRPr="00A4268A">
        <w:rPr>
          <w:rFonts w:eastAsia="Calibri"/>
        </w:rPr>
        <w:t xml:space="preserve">Policies and the Code guide staff to ensure informed consent is gained as required. Residents and whānau felt included when making decisions about care and treatment. </w:t>
      </w:r>
    </w:p>
    <w:p w14:paraId="13E0B88F" w14:textId="77777777" w:rsidR="00BC6C13" w:rsidRPr="00A4268A" w:rsidRDefault="00000000">
      <w:pPr>
        <w:spacing w:before="240" w:line="276" w:lineRule="auto"/>
        <w:rPr>
          <w:rFonts w:eastAsia="Calibri"/>
        </w:rPr>
      </w:pPr>
      <w:r w:rsidRPr="00A4268A">
        <w:rPr>
          <w:rFonts w:eastAsia="Calibri"/>
        </w:rPr>
        <w:t>Complaints were resolved promptly, equitably and effectively in collaboration with all parties involved.</w:t>
      </w:r>
    </w:p>
    <w:bookmarkEnd w:id="16"/>
    <w:p w14:paraId="2F15020B" w14:textId="77777777" w:rsidR="00BC6C13" w:rsidRPr="00A4268A" w:rsidRDefault="00BC6C13">
      <w:pPr>
        <w:spacing w:before="240" w:line="276" w:lineRule="auto"/>
        <w:rPr>
          <w:rFonts w:eastAsia="Calibri"/>
        </w:rPr>
      </w:pPr>
    </w:p>
    <w:p w14:paraId="53FC2D65"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C6C13" w14:paraId="15F8F929" w14:textId="77777777" w:rsidTr="00A4268A">
        <w:trPr>
          <w:cantSplit/>
        </w:trPr>
        <w:tc>
          <w:tcPr>
            <w:tcW w:w="10206" w:type="dxa"/>
            <w:vAlign w:val="center"/>
          </w:tcPr>
          <w:p w14:paraId="0C666DE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0924A0C"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72F8B20"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B7B45A8" w14:textId="77777777" w:rsidR="00000000" w:rsidRDefault="00000000">
      <w:pPr>
        <w:spacing w:before="240" w:line="276" w:lineRule="auto"/>
        <w:rPr>
          <w:rFonts w:eastAsia="Calibri"/>
        </w:rPr>
      </w:pPr>
      <w:bookmarkStart w:id="19" w:name="OrganisationalManagement"/>
      <w:r w:rsidRPr="00A4268A">
        <w:rPr>
          <w:rFonts w:eastAsia="Calibri"/>
        </w:rPr>
        <w:lastRenderedPageBreak/>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132BF482" w14:textId="77777777" w:rsidR="00BC6C13" w:rsidRPr="00A4268A" w:rsidRDefault="00000000">
      <w:pPr>
        <w:spacing w:before="240" w:line="276" w:lineRule="auto"/>
        <w:rPr>
          <w:rFonts w:eastAsia="Calibri"/>
        </w:rPr>
      </w:pPr>
      <w:r w:rsidRPr="00A4268A">
        <w:rPr>
          <w:rFonts w:eastAsia="Calibri"/>
        </w:rPr>
        <w:t xml:space="preserve">Planning ensures that the organisation's purpose, values, direction, scope and goals are defined. Performance is monitored and reviewed at planned intervals. A clinical governance structure meets the needs of the service, supporting and monitoring good practice.  </w:t>
      </w:r>
    </w:p>
    <w:p w14:paraId="184FD4BA" w14:textId="77777777" w:rsidR="00BC6C13" w:rsidRPr="00A4268A" w:rsidRDefault="00000000">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collecting and analysing quality improvement data, identifying trends and leading to improvements. Actual and potential risks are identified and mitigated. </w:t>
      </w:r>
    </w:p>
    <w:p w14:paraId="49A0B192" w14:textId="77777777" w:rsidR="00BC6C13" w:rsidRPr="00A4268A" w:rsidRDefault="00000000">
      <w:pPr>
        <w:spacing w:before="240" w:line="276" w:lineRule="auto"/>
        <w:rPr>
          <w:rFonts w:eastAsia="Calibri"/>
        </w:rPr>
      </w:pPr>
      <w:r w:rsidRPr="00A4268A">
        <w:rPr>
          <w:rFonts w:eastAsia="Calibri"/>
        </w:rPr>
        <w:t xml:space="preserve">The National Adverse Events Reporting Policy is followed, with corrective actions supporting systems learnings. The service complies with statutory and regulatory reporting obligations. </w:t>
      </w:r>
    </w:p>
    <w:p w14:paraId="34C90B40" w14:textId="77777777" w:rsidR="00BC6C13" w:rsidRPr="00A4268A" w:rsidRDefault="00000000">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A systematic approach to identifying and delivering ongoing learning and competencies supports safe, equitable service delivery. </w:t>
      </w:r>
    </w:p>
    <w:p w14:paraId="1FC16E98" w14:textId="77777777" w:rsidR="00BC6C13" w:rsidRPr="00A4268A" w:rsidRDefault="00000000">
      <w:pPr>
        <w:spacing w:before="240" w:line="276" w:lineRule="auto"/>
        <w:rPr>
          <w:rFonts w:eastAsia="Calibri"/>
        </w:rPr>
      </w:pPr>
      <w:r w:rsidRPr="00A4268A">
        <w:rPr>
          <w:rFonts w:eastAsia="Calibri"/>
        </w:rPr>
        <w:t xml:space="preserve">Professional qualifications are validated prior to employment. Staff felt well supported through the orientation and induction programme, with regular performance reviews implemented. </w:t>
      </w:r>
    </w:p>
    <w:p w14:paraId="5ABC769D" w14:textId="77777777" w:rsidR="00BC6C13" w:rsidRPr="00A4268A" w:rsidRDefault="00000000">
      <w:pPr>
        <w:spacing w:before="240" w:line="276" w:lineRule="auto"/>
        <w:rPr>
          <w:rFonts w:eastAsia="Calibri"/>
        </w:rPr>
      </w:pPr>
      <w:r w:rsidRPr="00A4268A">
        <w:rPr>
          <w:rFonts w:eastAsia="Calibri"/>
        </w:rPr>
        <w:t>Management ensures the facility is adequately staffed twenty-four hours a day, seven days a week.</w:t>
      </w:r>
    </w:p>
    <w:bookmarkEnd w:id="19"/>
    <w:p w14:paraId="0B1F441F" w14:textId="77777777" w:rsidR="00BC6C13" w:rsidRPr="00A4268A" w:rsidRDefault="00BC6C13">
      <w:pPr>
        <w:spacing w:before="240" w:line="276" w:lineRule="auto"/>
        <w:rPr>
          <w:rFonts w:eastAsia="Calibri"/>
        </w:rPr>
      </w:pPr>
    </w:p>
    <w:p w14:paraId="49851FFE"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C6C13" w14:paraId="03ABF5D6" w14:textId="77777777" w:rsidTr="00A4268A">
        <w:trPr>
          <w:cantSplit/>
        </w:trPr>
        <w:tc>
          <w:tcPr>
            <w:tcW w:w="10206" w:type="dxa"/>
            <w:vAlign w:val="center"/>
          </w:tcPr>
          <w:p w14:paraId="13293F1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066642C"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1DA767"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702B6EE"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service works in partnership with the residents and their whānau to assess, plan and evaluate care. Care plans were individualised, based on comprehensive risk-based assessments, and accommodated any new problems that arose. Files reviewed demonstrated that care met the needs of residents and whānau and was evaluated on a regular and timely basis. </w:t>
      </w:r>
    </w:p>
    <w:p w14:paraId="3E30BE66" w14:textId="77777777" w:rsidR="00BC6C13" w:rsidRPr="00A4268A" w:rsidRDefault="00000000"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6F05254B" w14:textId="77777777" w:rsidR="00BC6C13" w:rsidRPr="00A4268A" w:rsidRDefault="00000000" w:rsidP="00621629">
      <w:pPr>
        <w:spacing w:before="240" w:line="276" w:lineRule="auto"/>
        <w:rPr>
          <w:rFonts w:eastAsia="Calibri"/>
        </w:rPr>
      </w:pPr>
      <w:r w:rsidRPr="00A4268A">
        <w:rPr>
          <w:rFonts w:eastAsia="Calibri"/>
        </w:rPr>
        <w:t xml:space="preserve">The food service met the nutritional and cultural needs of the residents. Food was safely managed supported by an approved food control plan. </w:t>
      </w:r>
    </w:p>
    <w:p w14:paraId="3374B112" w14:textId="77777777" w:rsidR="00BC6C13"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EB9DF13" w14:textId="77777777" w:rsidR="00BC6C13" w:rsidRPr="00A4268A" w:rsidRDefault="00BC6C13" w:rsidP="00621629">
      <w:pPr>
        <w:spacing w:before="240" w:line="276" w:lineRule="auto"/>
        <w:rPr>
          <w:rFonts w:eastAsia="Calibri"/>
        </w:rPr>
      </w:pPr>
    </w:p>
    <w:p w14:paraId="5BAFA614"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C6C13" w14:paraId="2A574CB2" w14:textId="77777777" w:rsidTr="00A4268A">
        <w:trPr>
          <w:cantSplit/>
        </w:trPr>
        <w:tc>
          <w:tcPr>
            <w:tcW w:w="10206" w:type="dxa"/>
            <w:vAlign w:val="center"/>
          </w:tcPr>
          <w:p w14:paraId="7C8346B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33D11E7"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8E4BDEE"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72261E74"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There was a current certificate of public use and a planned and reactive maintenance programme to ensure safety. Electrical equipment and calibration requirements are up to date. All internal and external areas are accessible and safe and meet the needs of residents living with dementia.</w:t>
      </w:r>
    </w:p>
    <w:p w14:paraId="3B6B4785" w14:textId="77777777" w:rsidR="00BC6C13" w:rsidRPr="00A4268A" w:rsidRDefault="00000000">
      <w:pPr>
        <w:spacing w:before="240" w:line="276" w:lineRule="auto"/>
        <w:rPr>
          <w:rFonts w:eastAsia="Calibri"/>
        </w:rPr>
      </w:pPr>
      <w:r w:rsidRPr="00A4268A">
        <w:rPr>
          <w:rFonts w:eastAsia="Calibri"/>
        </w:rPr>
        <w:t>Tui House, which was previously used for rest home-level care, was reconfigured to provide only dementia-level care services.</w:t>
      </w:r>
    </w:p>
    <w:bookmarkEnd w:id="25"/>
    <w:p w14:paraId="1DA38B11" w14:textId="77777777" w:rsidR="00BC6C13" w:rsidRPr="00A4268A" w:rsidRDefault="00BC6C13">
      <w:pPr>
        <w:spacing w:before="240" w:line="276" w:lineRule="auto"/>
        <w:rPr>
          <w:rFonts w:eastAsia="Calibri"/>
        </w:rPr>
      </w:pPr>
    </w:p>
    <w:p w14:paraId="261AC52C"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C6C13" w14:paraId="0FE85738" w14:textId="77777777" w:rsidTr="00A4268A">
        <w:trPr>
          <w:cantSplit/>
        </w:trPr>
        <w:tc>
          <w:tcPr>
            <w:tcW w:w="10206" w:type="dxa"/>
            <w:vAlign w:val="center"/>
          </w:tcPr>
          <w:p w14:paraId="6C0AF31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B1C857B"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39AE81"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F66B657"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A documented infection prevention (IP) programme has been developed by those with IP expertise, has been approved by the governing body, is linked with the quality improvement programme, and is reviewed and reported on annually. </w:t>
      </w:r>
    </w:p>
    <w:p w14:paraId="026E0DE3" w14:textId="77777777" w:rsidR="00BC6C13" w:rsidRPr="00A4268A" w:rsidRDefault="00000000">
      <w:pPr>
        <w:spacing w:before="240" w:line="276" w:lineRule="auto"/>
        <w:rPr>
          <w:rFonts w:eastAsia="Calibri"/>
        </w:rPr>
      </w:pPr>
      <w:r w:rsidRPr="00A4268A">
        <w:rPr>
          <w:rFonts w:eastAsia="Calibri"/>
        </w:rPr>
        <w:t xml:space="preserve">Staff demonstrated good principles and practice around infection control supported by relevant IP education. </w:t>
      </w:r>
    </w:p>
    <w:p w14:paraId="53176E9E" w14:textId="77777777" w:rsidR="00BC6C13" w:rsidRPr="00A4268A" w:rsidRDefault="00000000">
      <w:pPr>
        <w:spacing w:before="240" w:line="276" w:lineRule="auto"/>
        <w:rPr>
          <w:rFonts w:eastAsia="Calibri"/>
        </w:rPr>
      </w:pPr>
      <w:r w:rsidRPr="00A4268A">
        <w:rPr>
          <w:rFonts w:eastAsia="Calibri"/>
        </w:rPr>
        <w:t>The ‘Surveillance of health care-associated infections’ programme is appropriate to the size and setting of the service, using standardised surveillance definitions, with an equity focus.</w:t>
      </w:r>
    </w:p>
    <w:bookmarkEnd w:id="28"/>
    <w:p w14:paraId="44FB833C" w14:textId="77777777" w:rsidR="00BC6C13" w:rsidRPr="00A4268A" w:rsidRDefault="00BC6C13">
      <w:pPr>
        <w:spacing w:before="240" w:line="276" w:lineRule="auto"/>
        <w:rPr>
          <w:rFonts w:eastAsia="Calibri"/>
        </w:rPr>
      </w:pPr>
    </w:p>
    <w:p w14:paraId="7FE66B7C"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C6C13" w14:paraId="1974E147" w14:textId="77777777" w:rsidTr="00A4268A">
        <w:trPr>
          <w:cantSplit/>
        </w:trPr>
        <w:tc>
          <w:tcPr>
            <w:tcW w:w="10206" w:type="dxa"/>
            <w:vAlign w:val="center"/>
          </w:tcPr>
          <w:p w14:paraId="45B67A5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47F6273"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F09445"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3F31BD6" w14:textId="77777777" w:rsidR="00000000" w:rsidRDefault="00000000">
      <w:pPr>
        <w:spacing w:before="240" w:line="276" w:lineRule="auto"/>
        <w:rPr>
          <w:rFonts w:eastAsia="Calibri"/>
        </w:rPr>
      </w:pPr>
      <w:bookmarkStart w:id="31" w:name="InfectionPreventionAndControl"/>
      <w:r w:rsidRPr="00A4268A">
        <w:rPr>
          <w:rFonts w:eastAsia="Calibri"/>
        </w:rPr>
        <w:t xml:space="preserve">Hummingbird House aims for a restraint-free environment. This is supported by the governing body and policies and procedures. There were no residents using restraints at the time of the audit. </w:t>
      </w:r>
    </w:p>
    <w:p w14:paraId="107FBFAE" w14:textId="77777777" w:rsidR="00BC6C13" w:rsidRPr="00A4268A" w:rsidRDefault="00000000">
      <w:pPr>
        <w:spacing w:before="240" w:line="276" w:lineRule="auto"/>
        <w:rPr>
          <w:rFonts w:eastAsia="Calibri"/>
        </w:rPr>
      </w:pPr>
      <w:r w:rsidRPr="00A4268A">
        <w:rPr>
          <w:rFonts w:eastAsia="Calibri"/>
        </w:rPr>
        <w:lastRenderedPageBreak/>
        <w:t>Staff have been trained in providing the least restrictive practice, de-escalation techniques and alternative interventions, and demonstrated effective practice.</w:t>
      </w:r>
    </w:p>
    <w:bookmarkEnd w:id="31"/>
    <w:p w14:paraId="0FE92F03" w14:textId="77777777" w:rsidR="00BC6C13" w:rsidRPr="00A4268A" w:rsidRDefault="00BC6C13">
      <w:pPr>
        <w:spacing w:before="240" w:line="276" w:lineRule="auto"/>
        <w:rPr>
          <w:rFonts w:eastAsia="Calibri"/>
        </w:rPr>
      </w:pPr>
    </w:p>
    <w:p w14:paraId="7FBD2D6C" w14:textId="77777777" w:rsidR="00000000" w:rsidRDefault="00000000" w:rsidP="000E6E02">
      <w:pPr>
        <w:pStyle w:val="Heading2"/>
        <w:spacing w:before="0"/>
        <w:rPr>
          <w:rFonts w:cs="Arial"/>
        </w:rPr>
      </w:pPr>
      <w:r>
        <w:rPr>
          <w:rFonts w:cs="Arial"/>
        </w:rPr>
        <w:t>Summary of attainment</w:t>
      </w:r>
    </w:p>
    <w:p w14:paraId="1784964D"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C6C13" w14:paraId="6B5033D0" w14:textId="77777777">
        <w:tc>
          <w:tcPr>
            <w:tcW w:w="1384" w:type="dxa"/>
            <w:vAlign w:val="center"/>
          </w:tcPr>
          <w:p w14:paraId="5486CA6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210E295" w14:textId="77777777" w:rsidR="00000000" w:rsidRDefault="00000000">
            <w:pPr>
              <w:keepNext/>
              <w:spacing w:before="60" w:after="60"/>
              <w:jc w:val="center"/>
              <w:rPr>
                <w:rFonts w:cs="Arial"/>
                <w:b/>
                <w:sz w:val="20"/>
                <w:szCs w:val="20"/>
              </w:rPr>
            </w:pPr>
            <w:r>
              <w:rPr>
                <w:rFonts w:cs="Arial"/>
                <w:b/>
                <w:sz w:val="20"/>
                <w:szCs w:val="20"/>
              </w:rPr>
              <w:t>Continuous Improvement</w:t>
            </w:r>
          </w:p>
          <w:p w14:paraId="6CD15B4C"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6A86567" w14:textId="77777777" w:rsidR="00000000" w:rsidRDefault="00000000">
            <w:pPr>
              <w:keepNext/>
              <w:spacing w:before="60" w:after="60"/>
              <w:jc w:val="center"/>
              <w:rPr>
                <w:rFonts w:cs="Arial"/>
                <w:b/>
                <w:sz w:val="20"/>
                <w:szCs w:val="20"/>
              </w:rPr>
            </w:pPr>
            <w:r>
              <w:rPr>
                <w:rFonts w:cs="Arial"/>
                <w:b/>
                <w:sz w:val="20"/>
                <w:szCs w:val="20"/>
              </w:rPr>
              <w:t>Fully Attained</w:t>
            </w:r>
          </w:p>
          <w:p w14:paraId="7546DE61"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ACE37C2"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43DE585"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59AE334"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420B0B19"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CB58351"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1A7B8DF9"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102513E"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0F36B73"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56DEFE6"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55990B38" w14:textId="77777777" w:rsidR="00000000" w:rsidRDefault="00000000">
            <w:pPr>
              <w:keepNext/>
              <w:spacing w:before="60" w:after="60"/>
              <w:jc w:val="center"/>
              <w:rPr>
                <w:rFonts w:cs="Arial"/>
                <w:b/>
                <w:sz w:val="20"/>
                <w:szCs w:val="20"/>
              </w:rPr>
            </w:pPr>
            <w:r>
              <w:rPr>
                <w:rFonts w:cs="Arial"/>
                <w:b/>
                <w:sz w:val="20"/>
                <w:szCs w:val="20"/>
              </w:rPr>
              <w:t>(PA Critical)</w:t>
            </w:r>
          </w:p>
        </w:tc>
      </w:tr>
      <w:tr w:rsidR="00BC6C13" w14:paraId="77B6B246" w14:textId="77777777">
        <w:tc>
          <w:tcPr>
            <w:tcW w:w="1384" w:type="dxa"/>
            <w:vAlign w:val="center"/>
          </w:tcPr>
          <w:p w14:paraId="7EE0B5E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DAF9586"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07DC1F"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C944BB4"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0292C4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695861B"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1465E26"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96B550"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C6C13" w14:paraId="214A629C" w14:textId="77777777">
        <w:tc>
          <w:tcPr>
            <w:tcW w:w="1384" w:type="dxa"/>
            <w:vAlign w:val="center"/>
          </w:tcPr>
          <w:p w14:paraId="36E21D25"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B84D5B5"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2073C3F"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A9F1F44"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57F6080"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2A5DE73"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053B45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63A9A9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B5D1E4"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C6C13" w14:paraId="7E7B4247" w14:textId="77777777">
        <w:tc>
          <w:tcPr>
            <w:tcW w:w="1384" w:type="dxa"/>
            <w:vAlign w:val="center"/>
          </w:tcPr>
          <w:p w14:paraId="0341DBC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099A48F"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14AC310"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C2A27BC" w14:textId="77777777" w:rsidR="00000000" w:rsidRDefault="00000000">
            <w:pPr>
              <w:keepNext/>
              <w:spacing w:before="60" w:after="60"/>
              <w:jc w:val="center"/>
              <w:rPr>
                <w:rFonts w:cs="Arial"/>
                <w:b/>
                <w:sz w:val="20"/>
                <w:szCs w:val="20"/>
              </w:rPr>
            </w:pPr>
            <w:r>
              <w:rPr>
                <w:rFonts w:cs="Arial"/>
                <w:b/>
                <w:sz w:val="20"/>
                <w:szCs w:val="20"/>
              </w:rPr>
              <w:t>Unattained Low Risk</w:t>
            </w:r>
          </w:p>
          <w:p w14:paraId="584338ED"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5EBCFF0" w14:textId="77777777" w:rsidR="00000000" w:rsidRDefault="00000000">
            <w:pPr>
              <w:keepNext/>
              <w:spacing w:before="60" w:after="60"/>
              <w:jc w:val="center"/>
              <w:rPr>
                <w:rFonts w:cs="Arial"/>
                <w:b/>
                <w:sz w:val="20"/>
                <w:szCs w:val="20"/>
              </w:rPr>
            </w:pPr>
            <w:r>
              <w:rPr>
                <w:rFonts w:cs="Arial"/>
                <w:b/>
                <w:sz w:val="20"/>
                <w:szCs w:val="20"/>
              </w:rPr>
              <w:t>Unattained Moderate Risk</w:t>
            </w:r>
          </w:p>
          <w:p w14:paraId="6294FCFB"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8BA1E60" w14:textId="77777777" w:rsidR="00000000" w:rsidRDefault="00000000">
            <w:pPr>
              <w:keepNext/>
              <w:spacing w:before="60" w:after="60"/>
              <w:jc w:val="center"/>
              <w:rPr>
                <w:rFonts w:cs="Arial"/>
                <w:b/>
                <w:sz w:val="20"/>
                <w:szCs w:val="20"/>
              </w:rPr>
            </w:pPr>
            <w:r>
              <w:rPr>
                <w:rFonts w:cs="Arial"/>
                <w:b/>
                <w:sz w:val="20"/>
                <w:szCs w:val="20"/>
              </w:rPr>
              <w:t>Unattained High Risk</w:t>
            </w:r>
          </w:p>
          <w:p w14:paraId="672BFFA5"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DFB54AE" w14:textId="77777777" w:rsidR="00000000" w:rsidRDefault="00000000">
            <w:pPr>
              <w:keepNext/>
              <w:spacing w:before="60" w:after="60"/>
              <w:jc w:val="center"/>
              <w:rPr>
                <w:rFonts w:cs="Arial"/>
                <w:b/>
                <w:sz w:val="20"/>
                <w:szCs w:val="20"/>
              </w:rPr>
            </w:pPr>
            <w:r>
              <w:rPr>
                <w:rFonts w:cs="Arial"/>
                <w:b/>
                <w:sz w:val="20"/>
                <w:szCs w:val="20"/>
              </w:rPr>
              <w:t>Unattained Critical Risk</w:t>
            </w:r>
          </w:p>
          <w:p w14:paraId="4DEC54BA" w14:textId="77777777" w:rsidR="00000000" w:rsidRDefault="00000000">
            <w:pPr>
              <w:keepNext/>
              <w:spacing w:before="60" w:after="60"/>
              <w:jc w:val="center"/>
              <w:rPr>
                <w:rFonts w:cs="Arial"/>
                <w:b/>
                <w:sz w:val="20"/>
                <w:szCs w:val="20"/>
              </w:rPr>
            </w:pPr>
            <w:r>
              <w:rPr>
                <w:rFonts w:cs="Arial"/>
                <w:b/>
                <w:sz w:val="20"/>
                <w:szCs w:val="20"/>
              </w:rPr>
              <w:t>(UA Critical)</w:t>
            </w:r>
          </w:p>
        </w:tc>
      </w:tr>
      <w:tr w:rsidR="00BC6C13" w14:paraId="13BFD33A" w14:textId="77777777">
        <w:tc>
          <w:tcPr>
            <w:tcW w:w="1384" w:type="dxa"/>
            <w:vAlign w:val="center"/>
          </w:tcPr>
          <w:p w14:paraId="59AA8E6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F262C48"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67DB3B3"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F63C972"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233F826"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C3AC8F"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C6C13" w14:paraId="4BB3B923" w14:textId="77777777">
        <w:tc>
          <w:tcPr>
            <w:tcW w:w="1384" w:type="dxa"/>
            <w:vAlign w:val="center"/>
          </w:tcPr>
          <w:p w14:paraId="4117136A"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2D509DF4"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C86852"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B56BAA1"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94265B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345E6CB"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8D240D1"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50D683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E64F5F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23C6CE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5"/>
        <w:gridCol w:w="1375"/>
        <w:gridCol w:w="6718"/>
      </w:tblGrid>
      <w:tr w:rsidR="00BC6C13" w14:paraId="53FCF104" w14:textId="77777777">
        <w:tc>
          <w:tcPr>
            <w:tcW w:w="0" w:type="auto"/>
          </w:tcPr>
          <w:p w14:paraId="132ABCE7"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99D9B7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6140B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C6C13" w14:paraId="7670AE1A" w14:textId="77777777">
        <w:tc>
          <w:tcPr>
            <w:tcW w:w="0" w:type="auto"/>
          </w:tcPr>
          <w:p w14:paraId="29B7114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F1F918F"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9200BF1" w14:textId="77777777" w:rsidR="00000000" w:rsidRPr="00BE00C7" w:rsidRDefault="00000000" w:rsidP="00BE00C7">
            <w:pPr>
              <w:pStyle w:val="OutcomeDescription"/>
              <w:spacing w:before="120" w:after="120"/>
              <w:rPr>
                <w:rFonts w:cs="Arial"/>
                <w:lang w:eastAsia="en-NZ"/>
              </w:rPr>
            </w:pPr>
          </w:p>
        </w:tc>
        <w:tc>
          <w:tcPr>
            <w:tcW w:w="0" w:type="auto"/>
          </w:tcPr>
          <w:p w14:paraId="4D76F31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58B1B0" w14:textId="77777777" w:rsidR="00000000" w:rsidRPr="00BE00C7" w:rsidRDefault="00000000" w:rsidP="00BE00C7">
            <w:pPr>
              <w:pStyle w:val="OutcomeDescription"/>
              <w:spacing w:before="120" w:after="120"/>
              <w:rPr>
                <w:rFonts w:cs="Arial"/>
                <w:lang w:eastAsia="en-NZ"/>
              </w:rPr>
            </w:pPr>
            <w:r w:rsidRPr="00BE00C7">
              <w:rPr>
                <w:rFonts w:cs="Arial"/>
                <w:lang w:eastAsia="en-NZ"/>
              </w:rPr>
              <w:t>Hummingbird House has developed policies, procedures and processes to embed and enact Te Tiriti o Waitangi in all aspects of its work. Mana motuhake is respected. Partnerships have been established with local Māori organisations and a kaumatua to support service integration, planning, equity approaches, and support for Māori. There were Māori residents at the time of the audit, and those interviewed felt culturally safe.</w:t>
            </w:r>
          </w:p>
          <w:p w14:paraId="50A5A2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previous area requiring improvement has been addressed. Analysis and evaluation are being implemented to determine whether Māori residents’ aspirations, cultural values and beliefs are supported. The director/facility manager reported that a kaumatua is available to address individual concerns of Māori residents and their families. All resident meetings are run in the presence of a kaumatua, to ensure that those residents who identify as Māori have a fair representation and are comfortable conveying any concerns they may have.</w:t>
            </w:r>
          </w:p>
          <w:p w14:paraId="7D4C62A1" w14:textId="77777777" w:rsidR="00000000" w:rsidRPr="00BE00C7" w:rsidRDefault="00000000" w:rsidP="00BE00C7">
            <w:pPr>
              <w:pStyle w:val="OutcomeDescription"/>
              <w:spacing w:before="120" w:after="120"/>
              <w:rPr>
                <w:rFonts w:cs="Arial"/>
                <w:lang w:eastAsia="en-NZ"/>
              </w:rPr>
            </w:pPr>
          </w:p>
        </w:tc>
      </w:tr>
      <w:tr w:rsidR="00BC6C13" w14:paraId="51587DC4" w14:textId="77777777">
        <w:tc>
          <w:tcPr>
            <w:tcW w:w="0" w:type="auto"/>
          </w:tcPr>
          <w:p w14:paraId="5BD3FFC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F08312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852D0C1" w14:textId="77777777" w:rsidR="00000000" w:rsidRPr="00BE00C7" w:rsidRDefault="00000000" w:rsidP="00BE00C7">
            <w:pPr>
              <w:pStyle w:val="OutcomeDescription"/>
              <w:spacing w:before="120" w:after="120"/>
              <w:rPr>
                <w:rFonts w:cs="Arial"/>
                <w:lang w:eastAsia="en-NZ"/>
              </w:rPr>
            </w:pPr>
          </w:p>
        </w:tc>
        <w:tc>
          <w:tcPr>
            <w:tcW w:w="0" w:type="auto"/>
          </w:tcPr>
          <w:p w14:paraId="0C1F547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F7C5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responds to the cultural needs of residents. The document notes the Pasifika worldviews, and the need to embrace their cultural and spiritual beliefs.</w:t>
            </w:r>
          </w:p>
          <w:p w14:paraId="446FE7A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Policies and procedures are available to guide staff in caring for Pacific peoples. The Pacific peoples’ worldview policy underpins the provision of equitable service. Expert advice is sought from the resident or family and/or the community. </w:t>
            </w:r>
          </w:p>
          <w:p w14:paraId="14164550"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 assessments and care plans for residents of each Pacific descent are available to implement. Models of care are documented and implemented. There were no residents or staff who identified as Pasifika.</w:t>
            </w:r>
          </w:p>
          <w:p w14:paraId="356DD386" w14:textId="77777777" w:rsidR="00000000" w:rsidRPr="00BE00C7" w:rsidRDefault="00000000" w:rsidP="00BE00C7">
            <w:pPr>
              <w:pStyle w:val="OutcomeDescription"/>
              <w:spacing w:before="120" w:after="120"/>
              <w:rPr>
                <w:rFonts w:cs="Arial"/>
                <w:lang w:eastAsia="en-NZ"/>
              </w:rPr>
            </w:pPr>
          </w:p>
        </w:tc>
      </w:tr>
      <w:tr w:rsidR="00BC6C13" w14:paraId="401D7728" w14:textId="77777777">
        <w:tc>
          <w:tcPr>
            <w:tcW w:w="0" w:type="auto"/>
          </w:tcPr>
          <w:p w14:paraId="4ADDA9F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4CF03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4D7BEED" w14:textId="77777777" w:rsidR="00000000" w:rsidRPr="00BE00C7" w:rsidRDefault="00000000" w:rsidP="00BE00C7">
            <w:pPr>
              <w:pStyle w:val="OutcomeDescription"/>
              <w:spacing w:before="120" w:after="120"/>
              <w:rPr>
                <w:rFonts w:cs="Arial"/>
                <w:lang w:eastAsia="en-NZ"/>
              </w:rPr>
            </w:pPr>
          </w:p>
        </w:tc>
        <w:tc>
          <w:tcPr>
            <w:tcW w:w="0" w:type="auto"/>
          </w:tcPr>
          <w:p w14:paraId="63C4334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F133CA"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585CC14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796F5BB0" w14:textId="77777777" w:rsidR="00000000" w:rsidRPr="00BE00C7" w:rsidRDefault="00000000" w:rsidP="00BE00C7">
            <w:pPr>
              <w:pStyle w:val="OutcomeDescription"/>
              <w:spacing w:before="120" w:after="120"/>
              <w:rPr>
                <w:rFonts w:cs="Arial"/>
                <w:lang w:eastAsia="en-NZ"/>
              </w:rPr>
            </w:pPr>
          </w:p>
        </w:tc>
      </w:tr>
      <w:tr w:rsidR="00BC6C13" w14:paraId="4911DA2B" w14:textId="77777777">
        <w:tc>
          <w:tcPr>
            <w:tcW w:w="0" w:type="auto"/>
          </w:tcPr>
          <w:p w14:paraId="45711C1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F4E662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DB2E0C8" w14:textId="77777777" w:rsidR="00000000" w:rsidRPr="00BE00C7" w:rsidRDefault="00000000" w:rsidP="00BE00C7">
            <w:pPr>
              <w:pStyle w:val="OutcomeDescription"/>
              <w:spacing w:before="120" w:after="120"/>
              <w:rPr>
                <w:rFonts w:cs="Arial"/>
                <w:lang w:eastAsia="en-NZ"/>
              </w:rPr>
            </w:pPr>
          </w:p>
        </w:tc>
        <w:tc>
          <w:tcPr>
            <w:tcW w:w="0" w:type="auto"/>
          </w:tcPr>
          <w:p w14:paraId="72662BF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B1EF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receive services free of discrimination, coercion, harassment, exploitation, or abuse and neglect, supported by policies and staff education. There were no examples identified during the audit through staff and/or resident or whānau interviews, or in documentation reviewed. </w:t>
            </w:r>
          </w:p>
          <w:p w14:paraId="492CF92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legal representatives and whānau reported that their property was respected. Residents’ personal property is labelled on admission and photos of valuables taken and kept in the resident’s file. The administrator keeps a comfort account, and this can be utilised for safe storage of residents’ money.</w:t>
            </w:r>
          </w:p>
          <w:p w14:paraId="5D600E4F" w14:textId="77777777" w:rsidR="00000000" w:rsidRPr="00BE00C7" w:rsidRDefault="00000000" w:rsidP="00BE00C7">
            <w:pPr>
              <w:pStyle w:val="OutcomeDescription"/>
              <w:spacing w:before="120" w:after="120"/>
              <w:rPr>
                <w:rFonts w:cs="Arial"/>
                <w:lang w:eastAsia="en-NZ"/>
              </w:rPr>
            </w:pPr>
          </w:p>
        </w:tc>
      </w:tr>
      <w:tr w:rsidR="00BC6C13" w14:paraId="0CCA403F" w14:textId="77777777">
        <w:tc>
          <w:tcPr>
            <w:tcW w:w="0" w:type="auto"/>
          </w:tcPr>
          <w:p w14:paraId="4CEB8BE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363B09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27A016C" w14:textId="77777777" w:rsidR="00000000" w:rsidRPr="00BE00C7" w:rsidRDefault="00000000" w:rsidP="00BE00C7">
            <w:pPr>
              <w:pStyle w:val="OutcomeDescription"/>
              <w:spacing w:before="120" w:after="120"/>
              <w:rPr>
                <w:rFonts w:cs="Arial"/>
                <w:lang w:eastAsia="en-NZ"/>
              </w:rPr>
            </w:pPr>
          </w:p>
        </w:tc>
        <w:tc>
          <w:tcPr>
            <w:tcW w:w="0" w:type="auto"/>
          </w:tcPr>
          <w:p w14:paraId="3D95560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12944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in line with the Code. Those interviewed, and where appropriate their whānau, felt empowered to actively participate in decision-making. </w:t>
            </w:r>
          </w:p>
          <w:p w14:paraId="54CE34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w:t>
            </w:r>
            <w:r w:rsidRPr="00BE00C7">
              <w:rPr>
                <w:rFonts w:cs="Arial"/>
                <w:lang w:eastAsia="en-NZ"/>
              </w:rPr>
              <w:lastRenderedPageBreak/>
              <w:t>of informed consent, supported by policies in accordance with the Code.  Admission agreements were available in all residents’ files and were signed by residents’ legal representatives.</w:t>
            </w:r>
          </w:p>
          <w:p w14:paraId="05B50695" w14:textId="77777777" w:rsidR="00000000" w:rsidRPr="00BE00C7" w:rsidRDefault="00000000" w:rsidP="00BE00C7">
            <w:pPr>
              <w:pStyle w:val="OutcomeDescription"/>
              <w:spacing w:before="120" w:after="120"/>
              <w:rPr>
                <w:rFonts w:cs="Arial"/>
                <w:lang w:eastAsia="en-NZ"/>
              </w:rPr>
            </w:pPr>
          </w:p>
        </w:tc>
      </w:tr>
      <w:tr w:rsidR="00BC6C13" w14:paraId="6BF8C748" w14:textId="77777777">
        <w:tc>
          <w:tcPr>
            <w:tcW w:w="0" w:type="auto"/>
          </w:tcPr>
          <w:p w14:paraId="460F7A9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ADFCF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716DC6B" w14:textId="77777777" w:rsidR="00000000" w:rsidRPr="00BE00C7" w:rsidRDefault="00000000" w:rsidP="00BE00C7">
            <w:pPr>
              <w:pStyle w:val="OutcomeDescription"/>
              <w:spacing w:before="120" w:after="120"/>
              <w:rPr>
                <w:rFonts w:cs="Arial"/>
                <w:lang w:eastAsia="en-NZ"/>
              </w:rPr>
            </w:pPr>
          </w:p>
        </w:tc>
        <w:tc>
          <w:tcPr>
            <w:tcW w:w="0" w:type="auto"/>
          </w:tcPr>
          <w:p w14:paraId="2312E5A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008638" w14:textId="77777777" w:rsidR="00000000"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leading to improvements. This meets the requirements of the Code. Residents and whānau understood their right to complain and knew how to do so. There were three (3) complaints in 2023, and 11 in 2024 (year to date). The director/facility manager reported that the complaint process timeframes were adhered to, and service improvement measures were implemented as required.</w:t>
            </w:r>
          </w:p>
          <w:p w14:paraId="5A29CA50"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Documentation, including follow-up letters and resolutions, was completed and managed in accordance with guidelines set by the Health and Disability Commissioner. Discussions with residents and whānau confirmed they were provided information on the complaints process and remarked that any concerns or issues were promptly addressed.</w:t>
            </w:r>
          </w:p>
          <w:p w14:paraId="10435334" w14:textId="77777777" w:rsidR="00000000" w:rsidRPr="00BE00C7" w:rsidRDefault="00000000" w:rsidP="00BE00C7">
            <w:pPr>
              <w:pStyle w:val="OutcomeDescription"/>
              <w:spacing w:before="120" w:after="120"/>
              <w:rPr>
                <w:rFonts w:cs="Arial"/>
                <w:lang w:eastAsia="en-NZ"/>
              </w:rPr>
            </w:pPr>
            <w:r w:rsidRPr="00BE00C7">
              <w:rPr>
                <w:rFonts w:cs="Arial"/>
                <w:lang w:eastAsia="en-NZ"/>
              </w:rPr>
              <w:t>Whānau and residents making a complaint can, if they choose, involve an independent support person, such as the cultural advisor or kaumatua, in the process. The complaints process is linked to advocacy services. The Code of Health and Disability Services Consumers’ Rights is visible and available in te reo Māori and English. Residents and whānau spoke with expressed satisfaction with the complaint process. In the event of a complaint from a Māori resident or whānau member, the service would seek the assistance of an interpreter or cultural advisor, if needed.</w:t>
            </w:r>
          </w:p>
          <w:p w14:paraId="01DBBA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One external anonymous complaint to Health New Zealand – Te Whatu Ora Te Tai Tokerau in March 2024 has been closed. The complaint was followed up, and corrective actions identified were signed off. An inquiry was made in June 2024 by the coroner's court for records of a deceased resident. The service has complied with all requests for further information </w:t>
            </w:r>
            <w:r w:rsidRPr="00BE00C7">
              <w:rPr>
                <w:rFonts w:cs="Arial"/>
                <w:lang w:eastAsia="en-NZ"/>
              </w:rPr>
              <w:lastRenderedPageBreak/>
              <w:t>within the required timeframes, and no issues have been identified in relation to the inquiry so far.  Evidence of this was sighted.</w:t>
            </w:r>
          </w:p>
          <w:p w14:paraId="6582F4DE" w14:textId="77777777" w:rsidR="00000000" w:rsidRPr="00BE00C7" w:rsidRDefault="00000000" w:rsidP="00BE00C7">
            <w:pPr>
              <w:pStyle w:val="OutcomeDescription"/>
              <w:spacing w:before="120" w:after="120"/>
              <w:rPr>
                <w:rFonts w:cs="Arial"/>
                <w:lang w:eastAsia="en-NZ"/>
              </w:rPr>
            </w:pPr>
          </w:p>
        </w:tc>
      </w:tr>
      <w:tr w:rsidR="00BC6C13" w14:paraId="2ECB0177" w14:textId="77777777">
        <w:tc>
          <w:tcPr>
            <w:tcW w:w="0" w:type="auto"/>
          </w:tcPr>
          <w:p w14:paraId="420215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650B7B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4899954" w14:textId="77777777" w:rsidR="00000000" w:rsidRPr="00BE00C7" w:rsidRDefault="00000000" w:rsidP="00BE00C7">
            <w:pPr>
              <w:pStyle w:val="OutcomeDescription"/>
              <w:spacing w:before="120" w:after="120"/>
              <w:rPr>
                <w:rFonts w:cs="Arial"/>
                <w:lang w:eastAsia="en-NZ"/>
              </w:rPr>
            </w:pPr>
          </w:p>
        </w:tc>
        <w:tc>
          <w:tcPr>
            <w:tcW w:w="0" w:type="auto"/>
          </w:tcPr>
          <w:p w14:paraId="2DCBD18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311F38" w14:textId="77777777" w:rsidR="00000000" w:rsidRPr="00BE00C7" w:rsidRDefault="00000000" w:rsidP="00BE00C7">
            <w:pPr>
              <w:pStyle w:val="OutcomeDescription"/>
              <w:spacing w:before="120" w:after="120"/>
              <w:rPr>
                <w:rFonts w:cs="Arial"/>
                <w:lang w:eastAsia="en-NZ"/>
              </w:rPr>
            </w:pPr>
            <w:r w:rsidRPr="00BE00C7">
              <w:rPr>
                <w:rFonts w:cs="Arial"/>
                <w:lang w:eastAsia="en-NZ"/>
              </w:rPr>
              <w:t>Hummingbird House provides dementia-level care in a facility located in two separate buildings. These comprise Tui House, a smaller building with 14 bedrooms and an office space used for administration services located underneath, and the second, a larger building, houses two ‘wings’ – Kakapo and Albatross. At the time of this audit, the Albatross wing was closed for refurbishment.</w:t>
            </w:r>
          </w:p>
          <w:p w14:paraId="1A87B3FD" w14:textId="77777777" w:rsidR="00000000" w:rsidRPr="00BE00C7" w:rsidRDefault="00000000" w:rsidP="00BE00C7">
            <w:pPr>
              <w:pStyle w:val="OutcomeDescription"/>
              <w:spacing w:before="120" w:after="120"/>
              <w:rPr>
                <w:rFonts w:cs="Arial"/>
                <w:lang w:eastAsia="en-NZ"/>
              </w:rPr>
            </w:pPr>
            <w:r w:rsidRPr="00BE00C7">
              <w:rPr>
                <w:rFonts w:cs="Arial"/>
                <w:lang w:eastAsia="en-NZ"/>
              </w:rPr>
              <w:t>North Health Ltd owns Hummingbird House. The director is the facility manager, who has been in the role since November 2023. The owner/director assumes accountability for delivering a high-quality service to service users and their whānau. The leadership team oversees compliance with legislative, contractual and regulatory requirements; external advice is sought as required. The director/facility manager is assisted by the clinical manager (CM) and a recently employed registered nurse who works five days a week.</w:t>
            </w:r>
          </w:p>
          <w:p w14:paraId="6310A2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purpose, values, direction, scope, and goals are defined, and performance monitoring and review occur through regular meetings at planned intervals. A focus on improving outcomes was evident in monitoring through staff meeting minutes and the internal audit programme. A commitment to the quality and risk management system was evident. The leadership team members interviewed felt well-informed about progress and risks. A review or evaluation of resident outcomes to assess equity for Māori residents is being achieved and completed. Ethnicity data is analysed monthly to identify potential inequality outcomes between Māori residents and their whānau. Initial, long-term care plans and 24-hour diversional therapy plans are developed to address all residents' needs. This addresses the previous area requiring improvement.</w:t>
            </w:r>
          </w:p>
          <w:p w14:paraId="1028FF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structure is appropriate to the organisation's size and complexity. It includes reporting during staff meetings, and monitoring of resident safety and clinical indicators. </w:t>
            </w:r>
          </w:p>
          <w:p w14:paraId="0FDF4C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age-related residential care (ARRC) contracts with Te Whatu Ora – Health New Zealand Te Tai Tokerau for dementia-level care (44 certified beds), long-term services for chronic health conditions (LTS-</w:t>
            </w:r>
            <w:r w:rsidRPr="00BE00C7">
              <w:rPr>
                <w:rFonts w:cs="Arial"/>
                <w:lang w:eastAsia="en-NZ"/>
              </w:rPr>
              <w:lastRenderedPageBreak/>
              <w:t>CHC), and one managed respite dementia bed. On the audit day, 26 residents were receiving care, including one using the Te Whatu Ora-managed respite dementia bed and no residents under the (LTS-CHC) contract.</w:t>
            </w:r>
          </w:p>
          <w:p w14:paraId="04956374" w14:textId="77777777" w:rsidR="00000000" w:rsidRPr="00BE00C7" w:rsidRDefault="00000000" w:rsidP="00BE00C7">
            <w:pPr>
              <w:pStyle w:val="OutcomeDescription"/>
              <w:spacing w:before="120" w:after="120"/>
              <w:rPr>
                <w:rFonts w:cs="Arial"/>
                <w:lang w:eastAsia="en-NZ"/>
              </w:rPr>
            </w:pPr>
            <w:r w:rsidRPr="00BE00C7">
              <w:rPr>
                <w:rFonts w:cs="Arial"/>
                <w:lang w:eastAsia="en-NZ"/>
              </w:rPr>
              <w:t>Tui House (previously used for rest home-level care), was reconfigured to provide only dementia-level care services, increasing the secure dementia care beds from 31 to 44.</w:t>
            </w:r>
          </w:p>
          <w:p w14:paraId="72151B73" w14:textId="77777777" w:rsidR="00000000" w:rsidRPr="00BE00C7" w:rsidRDefault="00000000" w:rsidP="00BE00C7">
            <w:pPr>
              <w:pStyle w:val="OutcomeDescription"/>
              <w:spacing w:before="120" w:after="120"/>
              <w:rPr>
                <w:rFonts w:cs="Arial"/>
                <w:lang w:eastAsia="en-NZ"/>
              </w:rPr>
            </w:pPr>
          </w:p>
        </w:tc>
      </w:tr>
      <w:tr w:rsidR="00BC6C13" w14:paraId="5BF1AC3E" w14:textId="77777777">
        <w:tc>
          <w:tcPr>
            <w:tcW w:w="0" w:type="auto"/>
          </w:tcPr>
          <w:p w14:paraId="3D04014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DB1F2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EBDC0C1" w14:textId="77777777" w:rsidR="00000000" w:rsidRPr="00BE00C7" w:rsidRDefault="00000000" w:rsidP="00BE00C7">
            <w:pPr>
              <w:pStyle w:val="OutcomeDescription"/>
              <w:spacing w:before="120" w:after="120"/>
              <w:rPr>
                <w:rFonts w:cs="Arial"/>
                <w:lang w:eastAsia="en-NZ"/>
              </w:rPr>
            </w:pPr>
          </w:p>
        </w:tc>
        <w:tc>
          <w:tcPr>
            <w:tcW w:w="0" w:type="auto"/>
          </w:tcPr>
          <w:p w14:paraId="20986AC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44424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managing and monitoring of incidents and complaints, internal audit activities, a regular resident meeting, consultation with whānau, outcomes, policies and procedures, clinical incidents including infections and wounds, pressure injuries, skin tears, behaviour events, falls and other unexpected events.</w:t>
            </w:r>
          </w:p>
          <w:p w14:paraId="5FAEB724" w14:textId="77777777" w:rsidR="00000000" w:rsidRPr="00BE00C7" w:rsidRDefault="00000000" w:rsidP="00BE00C7">
            <w:pPr>
              <w:pStyle w:val="OutcomeDescription"/>
              <w:spacing w:before="120" w:after="120"/>
              <w:rPr>
                <w:rFonts w:cs="Arial"/>
                <w:lang w:eastAsia="en-NZ"/>
              </w:rPr>
            </w:pPr>
            <w:r w:rsidRPr="00BE00C7">
              <w:rPr>
                <w:rFonts w:cs="Arial"/>
                <w:lang w:eastAsia="en-NZ"/>
              </w:rPr>
              <w:t>Relevant corrective actions are developed and implemented to address any shortfalls. Staff competencies are reassessed and confirmed for all staff, and records were sighted. Internal audits were completed according to a 2023 and 2024 schedule, with corrective actions and outcomes reported back to the staff. A resident/whānau survey in 2024 was completed. Surveys are comprehensive, and the results are collated, analysed and utilised to make service improvements when required. The feedback survey results reviewed showed positive responses to care, privacy and support.</w:t>
            </w:r>
          </w:p>
          <w:p w14:paraId="4CB4BFC3" w14:textId="77777777" w:rsidR="00000000" w:rsidRPr="00BE00C7" w:rsidRDefault="00000000" w:rsidP="00BE00C7">
            <w:pPr>
              <w:pStyle w:val="OutcomeDescription"/>
              <w:spacing w:before="120" w:after="120"/>
              <w:rPr>
                <w:rFonts w:cs="Arial"/>
                <w:lang w:eastAsia="en-NZ"/>
              </w:rPr>
            </w:pPr>
            <w:r w:rsidRPr="00BE00C7">
              <w:rPr>
                <w:rFonts w:cs="Arial"/>
                <w:lang w:eastAsia="en-NZ"/>
              </w:rPr>
              <w:t>Monitoring of adverse event data is regularly reported and discussed at monthly staff meetings. The leadership team interviewed confirmed that discussions and trends are included in these meetings. The previous area requiring improvement relating to the evaluation of progress against quality outcomes has been addressed, including infection data. Evidence of this was sighted.</w:t>
            </w:r>
          </w:p>
          <w:p w14:paraId="4D2D73F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policies reviewed covered all necessary aspects of the service and contractual requirements and were current.</w:t>
            </w:r>
          </w:p>
          <w:p w14:paraId="63C648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director/facility manager described the processes for identifying, documenting, monitoring, reviewing and reporting risks, including health and safety risks, and developing mitigation strategies. A risk management </w:t>
            </w:r>
            <w:r w:rsidRPr="00BE00C7">
              <w:rPr>
                <w:rFonts w:cs="Arial"/>
                <w:lang w:eastAsia="en-NZ"/>
              </w:rPr>
              <w:lastRenderedPageBreak/>
              <w:t>plan is continuously updated to reflect the risk to the integrity of clinical and operational documentation. This addressed the previous area requiring improvement.</w:t>
            </w:r>
          </w:p>
          <w:p w14:paraId="48E5E501"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document adverse and near-miss events in accordance with the National Adverse Events Reporting Policy. A sample of incident forms reviewed showed that these were fully completed, incidents were investigated, action plans were developed, and actions followed up in a timely manner.</w:t>
            </w:r>
          </w:p>
          <w:p w14:paraId="368F43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director/facility manager understood and complied with essential notification reporting requirements. Essential notifications, as required under Section 31 of the Health and Disability Services (Safety) Act 2001, have been completed regarding three residents who absconded and were brought back by the police, and other notifications are completed as required.</w:t>
            </w:r>
          </w:p>
          <w:p w14:paraId="31170A44" w14:textId="77777777" w:rsidR="00000000" w:rsidRPr="00BE00C7" w:rsidRDefault="00000000" w:rsidP="00BE00C7">
            <w:pPr>
              <w:pStyle w:val="OutcomeDescription"/>
              <w:spacing w:before="120" w:after="120"/>
              <w:rPr>
                <w:rFonts w:cs="Arial"/>
                <w:lang w:eastAsia="en-NZ"/>
              </w:rPr>
            </w:pPr>
          </w:p>
        </w:tc>
      </w:tr>
      <w:tr w:rsidR="00BC6C13" w14:paraId="107623AB" w14:textId="77777777">
        <w:tc>
          <w:tcPr>
            <w:tcW w:w="0" w:type="auto"/>
          </w:tcPr>
          <w:p w14:paraId="6169A2A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C92FD7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E11F182" w14:textId="77777777" w:rsidR="00000000" w:rsidRPr="00BE00C7" w:rsidRDefault="00000000" w:rsidP="00BE00C7">
            <w:pPr>
              <w:pStyle w:val="OutcomeDescription"/>
              <w:spacing w:before="120" w:after="120"/>
              <w:rPr>
                <w:rFonts w:cs="Arial"/>
                <w:lang w:eastAsia="en-NZ"/>
              </w:rPr>
            </w:pPr>
          </w:p>
        </w:tc>
        <w:tc>
          <w:tcPr>
            <w:tcW w:w="0" w:type="auto"/>
          </w:tcPr>
          <w:p w14:paraId="316ABB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AFBA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organisation adjusts staffing levels to meet the changing needs of residents. Staff reported that there were adequate staff to complete the work allocated to them, and residents and whānau confirmed this in interviews. </w:t>
            </w:r>
          </w:p>
          <w:p w14:paraId="7E81D1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previous corrective action relating to staffing has been addressed. Hours were increased and more staff employed. A full-time activity coordinator role was created and filled; the activity coordinator is experienced in working with dementia-level care residents. The diversional therapist from a sister facility oversees the whole programme. A part-time housekeeper was employed, a registered nurse who works 37.5 hours a week was recruited, and cook hours increased.</w:t>
            </w:r>
          </w:p>
          <w:p w14:paraId="5543861D"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 advice is sought in a timely manner through local Māori organisations and a kaumatua who visits the service. At least one staff member on duty in each wing has a current first aid certificate and medication competency.</w:t>
            </w:r>
          </w:p>
          <w:p w14:paraId="1A7CF8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staff have either completed, commenced or are due to commence a New Zealand Qualification Authority education programme, to meet the </w:t>
            </w:r>
            <w:r w:rsidRPr="00BE00C7">
              <w:rPr>
                <w:rFonts w:cs="Arial"/>
                <w:lang w:eastAsia="en-NZ"/>
              </w:rPr>
              <w:lastRenderedPageBreak/>
              <w:t xml:space="preserve">provider’s funding and service agreement requirements. Staff reported that they had completed the required dementia units. The director/facility manager reported that 14 staff members have completed the dementia training, three are in training, and others have been at the facility for less than a year and were due to be enrolled. </w:t>
            </w:r>
          </w:p>
          <w:p w14:paraId="475BEAA5"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records were reviewed to confirm completion of the required training and competency assessments. Each staff member interviewed reported feeling well-supported and safe in the workplace. The employment process, which includes a job description defining each role's skills, qualifications and attributes, ensures that services are delivered to meet residents' needs.</w:t>
            </w:r>
          </w:p>
          <w:p w14:paraId="2C459CD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including mandatory training requirements, is planned annually. Related competencies are assessed to support equitable service delivery. The records reviewed (six) demonstrated that the staff completed the required training and competency assessments, including cultural, first aid, hand hygiene, and medication competencies. An annual training programme covers mandatory and elective topics and meets the obligations of the service contract. Online learning opportunities are also available for staff to complete independently.  Staff felt well supported with development opportunities. </w:t>
            </w:r>
          </w:p>
          <w:p w14:paraId="059E1F2D" w14:textId="77777777" w:rsidR="00000000" w:rsidRPr="00BE00C7" w:rsidRDefault="00000000" w:rsidP="00BE00C7">
            <w:pPr>
              <w:pStyle w:val="OutcomeDescription"/>
              <w:spacing w:before="120" w:after="120"/>
              <w:rPr>
                <w:rFonts w:cs="Arial"/>
                <w:lang w:eastAsia="en-NZ"/>
              </w:rPr>
            </w:pPr>
            <w:r w:rsidRPr="00BE00C7">
              <w:rPr>
                <w:rFonts w:cs="Arial"/>
                <w:lang w:eastAsia="en-NZ"/>
              </w:rPr>
              <w:t>Clinical advice is always available when required, ensuring a secure care provision. An out-of-hours on-call policy explains how and when to contact the out-of-hours nurse practitioners and the management team.</w:t>
            </w:r>
          </w:p>
          <w:p w14:paraId="1E1EB0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director/facility manager and clinical manager know and understand the requirements for dementia staffing-based needs. Copies of four-week paid rosters were sighted, and adequate staff coverage was achieved. Hours were increased, and more staff were employed. A full-time activity coordinator role was created and filled, a part-time housekeeper was employed, a registered nurse who works 37.5 hours a week was recruited, and cook hours increased.</w:t>
            </w:r>
          </w:p>
          <w:p w14:paraId="1A6ADB92" w14:textId="77777777" w:rsidR="00000000" w:rsidRPr="00BE00C7" w:rsidRDefault="00000000" w:rsidP="00BE00C7">
            <w:pPr>
              <w:pStyle w:val="OutcomeDescription"/>
              <w:spacing w:before="120" w:after="120"/>
              <w:rPr>
                <w:rFonts w:cs="Arial"/>
                <w:lang w:eastAsia="en-NZ"/>
              </w:rPr>
            </w:pPr>
          </w:p>
        </w:tc>
      </w:tr>
      <w:tr w:rsidR="00BC6C13" w14:paraId="49B50243" w14:textId="77777777">
        <w:tc>
          <w:tcPr>
            <w:tcW w:w="0" w:type="auto"/>
          </w:tcPr>
          <w:p w14:paraId="1F43105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AD7B7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w:t>
            </w:r>
            <w:r w:rsidRPr="00BE00C7">
              <w:rPr>
                <w:rFonts w:cs="Arial"/>
                <w:lang w:eastAsia="en-NZ"/>
              </w:rPr>
              <w:lastRenderedPageBreak/>
              <w:t>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09FAD95" w14:textId="77777777" w:rsidR="00000000" w:rsidRPr="00BE00C7" w:rsidRDefault="00000000" w:rsidP="00BE00C7">
            <w:pPr>
              <w:pStyle w:val="OutcomeDescription"/>
              <w:spacing w:before="120" w:after="120"/>
              <w:rPr>
                <w:rFonts w:cs="Arial"/>
                <w:lang w:eastAsia="en-NZ"/>
              </w:rPr>
            </w:pPr>
          </w:p>
        </w:tc>
        <w:tc>
          <w:tcPr>
            <w:tcW w:w="0" w:type="auto"/>
          </w:tcPr>
          <w:p w14:paraId="38D318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5A0B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 management policies and processes are based on good employment practices and relevant legislation. The annual practising certificates of all health professionals are reviewed annually, and a record is maintained. A sample of staff records reviewed confirmed that the </w:t>
            </w:r>
            <w:r w:rsidRPr="00BE00C7">
              <w:rPr>
                <w:rFonts w:cs="Arial"/>
                <w:lang w:eastAsia="en-NZ"/>
              </w:rPr>
              <w:lastRenderedPageBreak/>
              <w:t>organisation’s policies are being consistently implemented. There was evidence of good recruitment processes, including letters of offer, signed employment agreements and position descriptions, validation of qualifications, police vetting, orientation and performance appraisals. A total of six staff files were reviewed.</w:t>
            </w:r>
          </w:p>
          <w:p w14:paraId="3A84F419"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evidence of this was seen in the reviewed files. As confirmed in the records reviewed, opportunities to discuss and review performance occur three months following the appointment and yearly thereafter.</w:t>
            </w:r>
          </w:p>
          <w:p w14:paraId="199537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director/facility manager is aware of the contractual staffing requirements. The management and staff confirmed the staffing numbers are adequate and will be adjusted according to numbers and acuity. Staff currently employed in Tui House will continue to work in the same wing, and any new staff employed will complete an orientation specific to the unit, including a fire evacuation.</w:t>
            </w:r>
          </w:p>
          <w:p w14:paraId="0C7A44FB" w14:textId="77777777" w:rsidR="00000000" w:rsidRPr="00BE00C7" w:rsidRDefault="00000000" w:rsidP="00BE00C7">
            <w:pPr>
              <w:pStyle w:val="OutcomeDescription"/>
              <w:spacing w:before="120" w:after="120"/>
              <w:rPr>
                <w:rFonts w:cs="Arial"/>
                <w:lang w:eastAsia="en-NZ"/>
              </w:rPr>
            </w:pPr>
          </w:p>
        </w:tc>
      </w:tr>
      <w:tr w:rsidR="00BC6C13" w14:paraId="3D8250B3" w14:textId="77777777">
        <w:tc>
          <w:tcPr>
            <w:tcW w:w="0" w:type="auto"/>
          </w:tcPr>
          <w:p w14:paraId="40249D3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7AFBE1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C1B546A" w14:textId="77777777" w:rsidR="00000000" w:rsidRPr="00BE00C7" w:rsidRDefault="00000000" w:rsidP="00BE00C7">
            <w:pPr>
              <w:pStyle w:val="OutcomeDescription"/>
              <w:spacing w:before="120" w:after="120"/>
              <w:rPr>
                <w:rFonts w:cs="Arial"/>
                <w:lang w:eastAsia="en-NZ"/>
              </w:rPr>
            </w:pPr>
          </w:p>
        </w:tc>
        <w:tc>
          <w:tcPr>
            <w:tcW w:w="0" w:type="auto"/>
          </w:tcPr>
          <w:p w14:paraId="0F822FD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73047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teamwork in partnership with the residents and whānau to support wellbeing. A care plan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are recorded.  </w:t>
            </w:r>
          </w:p>
          <w:p w14:paraId="277EC7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Timeframes for the initial nursing assessment, interRAI assessment, medical assessment, initial care plan, long-term care plan and review timeframes meet contractual and policy requirements. The previous shortfall related to meeting the required timeframes for completing initial interRAI assessments and development of long-term care plans has been addressed. Staff support Māori and whānau to identify their own pae ora outcomes in their care plan. This was verified by sampling residents’ records, and from interviews of clinical staff, people receiving services, and whānau. Long-term care plans and short-term care plans included adequate and appropriate information to address residents’ identified needs to guide care. Twenty-four-hour behaviour management plans were </w:t>
            </w:r>
            <w:r w:rsidRPr="00BE00C7">
              <w:rPr>
                <w:rFonts w:cs="Arial"/>
                <w:lang w:eastAsia="en-NZ"/>
              </w:rPr>
              <w:lastRenderedPageBreak/>
              <w:t xml:space="preserve">completed for all residents. The previous shortfall in relation to insufficient details in care plans and lack of 24-hour behaviour management plans has been addressed. </w:t>
            </w:r>
          </w:p>
          <w:p w14:paraId="45C418BB"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including the use of a range of outcome measures. Where progress is different to that expected, changes are made to the care plan in collaboration with the resident’s legal representative and/or whānau. Residents and whānau confirmed active involvement in the process.</w:t>
            </w:r>
          </w:p>
          <w:p w14:paraId="183B7EF6" w14:textId="77777777" w:rsidR="00000000" w:rsidRPr="00BE00C7" w:rsidRDefault="00000000" w:rsidP="003F3367">
            <w:pPr>
              <w:pStyle w:val="OutcomeDescription"/>
              <w:spacing w:before="120" w:after="120"/>
              <w:rPr>
                <w:rFonts w:cs="Arial"/>
                <w:lang w:eastAsia="en-NZ"/>
              </w:rPr>
            </w:pPr>
          </w:p>
        </w:tc>
      </w:tr>
      <w:tr w:rsidR="00BC6C13" w14:paraId="2C37B536" w14:textId="77777777">
        <w:tc>
          <w:tcPr>
            <w:tcW w:w="0" w:type="auto"/>
          </w:tcPr>
          <w:p w14:paraId="4B5EB8B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BE249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327FD32" w14:textId="77777777" w:rsidR="00000000" w:rsidRPr="00BE00C7" w:rsidRDefault="00000000" w:rsidP="00BE00C7">
            <w:pPr>
              <w:pStyle w:val="OutcomeDescription"/>
              <w:spacing w:before="120" w:after="120"/>
              <w:rPr>
                <w:rFonts w:cs="Arial"/>
                <w:lang w:eastAsia="en-NZ"/>
              </w:rPr>
            </w:pPr>
          </w:p>
        </w:tc>
        <w:tc>
          <w:tcPr>
            <w:tcW w:w="0" w:type="auto"/>
          </w:tcPr>
          <w:p w14:paraId="302920C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DB8C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managed. Current medication administration competencies were available in staff records reviewed. All administered medicine was signed for. There were no residents using paper-based medication charts. All residents were entered into the electronic medication management system on admission to services. The previous shortfall related to signing of administered medication has been addressed. </w:t>
            </w:r>
          </w:p>
          <w:p w14:paraId="65AF8D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 is stored safely, including controlled drugs. The required stock checks had been completed. Medicine room temperatures and medicine fridge temperatures were within the recommended range. </w:t>
            </w:r>
          </w:p>
          <w:p w14:paraId="1ADB09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met requirements, as confirmed in the sample of records reviewed. Medicine-related allergies or sensitivities were recorded, and any adverse events responded to appropriately. The required three-monthly GP review was consistently recorded on the medicine chart. Standing orders are not used. </w:t>
            </w:r>
          </w:p>
          <w:p w14:paraId="601103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no residents who were self-administering medicine due to residents’ impaired cognition, as reported by the clinical manager.</w:t>
            </w:r>
          </w:p>
          <w:p w14:paraId="07B7AB6A" w14:textId="77777777" w:rsidR="00000000" w:rsidRPr="00BE00C7" w:rsidRDefault="00000000" w:rsidP="00BE00C7">
            <w:pPr>
              <w:pStyle w:val="OutcomeDescription"/>
              <w:spacing w:before="120" w:after="120"/>
              <w:rPr>
                <w:rFonts w:cs="Arial"/>
                <w:lang w:eastAsia="en-NZ"/>
              </w:rPr>
            </w:pPr>
          </w:p>
        </w:tc>
      </w:tr>
      <w:tr w:rsidR="00BC6C13" w14:paraId="59A8939A" w14:textId="77777777">
        <w:tc>
          <w:tcPr>
            <w:tcW w:w="0" w:type="auto"/>
          </w:tcPr>
          <w:p w14:paraId="702F98D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D06F0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E419521" w14:textId="77777777" w:rsidR="00000000" w:rsidRPr="00BE00C7" w:rsidRDefault="00000000" w:rsidP="00BE00C7">
            <w:pPr>
              <w:pStyle w:val="OutcomeDescription"/>
              <w:spacing w:before="120" w:after="120"/>
              <w:rPr>
                <w:rFonts w:cs="Arial"/>
                <w:lang w:eastAsia="en-NZ"/>
              </w:rPr>
            </w:pPr>
          </w:p>
        </w:tc>
        <w:tc>
          <w:tcPr>
            <w:tcW w:w="0" w:type="auto"/>
          </w:tcPr>
          <w:p w14:paraId="7502FA9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553A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been developed in line with recognised nutritional guidelines for people using the services, taking into consideration the food and cultural preferences of those using the service. Residents’ food preferences, intolerances, dislikes, allergies and special dietary needs are assessed on admission for all residents. Evidence of resident satisfaction with meals was verified from residents and whānau interviews and satisfaction surveys. A food substitution log is maintained and monitored by the facility manager. The facility manager and the cook stated that whenever a substitution is required, this is discussed with the facility manager to ensure an appropriate alternative is provided, and they confirmed that these instances are rare, as verified by records reviewed. The menu was reviewed by a registered dietitian on 16 April 2024. On the day of the audit, the food served to residents aligned with the menu. The previous shortfall in relation to substitution of food options on the menu and implementation of a monitoring system has been addressed.</w:t>
            </w:r>
          </w:p>
          <w:p w14:paraId="76C11F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registration. The current food control plan will expire on 9 August 2025.</w:t>
            </w:r>
          </w:p>
          <w:p w14:paraId="69DCE0CA" w14:textId="77777777" w:rsidR="00000000" w:rsidRPr="00BE00C7" w:rsidRDefault="00000000" w:rsidP="00BE00C7">
            <w:pPr>
              <w:pStyle w:val="OutcomeDescription"/>
              <w:spacing w:before="120" w:after="120"/>
              <w:rPr>
                <w:rFonts w:cs="Arial"/>
                <w:lang w:eastAsia="en-NZ"/>
              </w:rPr>
            </w:pPr>
          </w:p>
        </w:tc>
      </w:tr>
      <w:tr w:rsidR="00BC6C13" w14:paraId="322CEF3E" w14:textId="77777777">
        <w:tc>
          <w:tcPr>
            <w:tcW w:w="0" w:type="auto"/>
          </w:tcPr>
          <w:p w14:paraId="33335C3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46507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2EC76DE" w14:textId="77777777" w:rsidR="00000000" w:rsidRPr="00BE00C7" w:rsidRDefault="00000000" w:rsidP="00BE00C7">
            <w:pPr>
              <w:pStyle w:val="OutcomeDescription"/>
              <w:spacing w:before="120" w:after="120"/>
              <w:rPr>
                <w:rFonts w:cs="Arial"/>
                <w:lang w:eastAsia="en-NZ"/>
              </w:rPr>
            </w:pPr>
          </w:p>
        </w:tc>
        <w:tc>
          <w:tcPr>
            <w:tcW w:w="0" w:type="auto"/>
          </w:tcPr>
          <w:p w14:paraId="0498EF9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2CAF53"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Whānau reported being kept well informed during the transfer of their relative.</w:t>
            </w:r>
          </w:p>
          <w:p w14:paraId="1F4EEED4" w14:textId="77777777" w:rsidR="00000000" w:rsidRPr="00BE00C7" w:rsidRDefault="00000000" w:rsidP="00BE00C7">
            <w:pPr>
              <w:pStyle w:val="OutcomeDescription"/>
              <w:spacing w:before="120" w:after="120"/>
              <w:rPr>
                <w:rFonts w:cs="Arial"/>
                <w:lang w:eastAsia="en-NZ"/>
              </w:rPr>
            </w:pPr>
          </w:p>
        </w:tc>
      </w:tr>
      <w:tr w:rsidR="00BC6C13" w14:paraId="15D48B25" w14:textId="77777777">
        <w:tc>
          <w:tcPr>
            <w:tcW w:w="0" w:type="auto"/>
          </w:tcPr>
          <w:p w14:paraId="00E2E82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BF0F6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w:t>
            </w:r>
            <w:r w:rsidRPr="00BE00C7">
              <w:rPr>
                <w:rFonts w:cs="Arial"/>
                <w:lang w:eastAsia="en-NZ"/>
              </w:rPr>
              <w:lastRenderedPageBreak/>
              <w:t>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6357618" w14:textId="77777777" w:rsidR="00000000" w:rsidRPr="00BE00C7" w:rsidRDefault="00000000" w:rsidP="00BE00C7">
            <w:pPr>
              <w:pStyle w:val="OutcomeDescription"/>
              <w:spacing w:before="120" w:after="120"/>
              <w:rPr>
                <w:rFonts w:cs="Arial"/>
                <w:lang w:eastAsia="en-NZ"/>
              </w:rPr>
            </w:pPr>
          </w:p>
        </w:tc>
        <w:tc>
          <w:tcPr>
            <w:tcW w:w="0" w:type="auto"/>
          </w:tcPr>
          <w:p w14:paraId="4C002AC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7520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residents’ physical environment and facilities (internal and external) are fit for purpose. The </w:t>
            </w:r>
            <w:r w:rsidRPr="00BE00C7">
              <w:rPr>
                <w:rFonts w:cs="Arial"/>
                <w:lang w:eastAsia="en-NZ"/>
              </w:rPr>
              <w:lastRenderedPageBreak/>
              <w:t>certificate of public use in place has been extended for another six months. There is a preventative and reactive maintenance programme, and buildings, plant and equipment are maintained to an adequate standard. Legislative requirements were met. Electrical checks were completed, and an inventory was maintained. The contracted medical company checked the annual calibration of medical resources and equipment. Calibration included the scales (floor and chair scales). Manual handling and hoist management training was provided to all staff per the training programme.</w:t>
            </w:r>
          </w:p>
          <w:p w14:paraId="517AB246" w14:textId="77777777" w:rsidR="00000000" w:rsidRPr="00BE00C7" w:rsidRDefault="00000000" w:rsidP="00BE00C7">
            <w:pPr>
              <w:pStyle w:val="OutcomeDescription"/>
              <w:spacing w:before="120" w:after="120"/>
              <w:rPr>
                <w:rFonts w:cs="Arial"/>
                <w:lang w:eastAsia="en-NZ"/>
              </w:rPr>
            </w:pPr>
            <w:r w:rsidRPr="00BE00C7">
              <w:rPr>
                <w:rFonts w:cs="Arial"/>
                <w:lang w:eastAsia="en-NZ"/>
              </w:rPr>
              <w:t>Reconfiguration of rest-home level care to dementia-level care was completed. The only refurbishment after the last audit was around the security settings, thus having digital card-operated locks on all rooms, digital locks on main doors with an automatic release in an emergency, and bracelets for residents who need them. All residents had free access to their rooms on their own or in the company of staff. The environment is comfortable and accessible, with space to promote independence and safe mobility.</w:t>
            </w:r>
          </w:p>
          <w:p w14:paraId="6B160829" w14:textId="77777777" w:rsidR="00000000" w:rsidRPr="00BE00C7" w:rsidRDefault="00000000" w:rsidP="00BE00C7">
            <w:pPr>
              <w:pStyle w:val="OutcomeDescription"/>
              <w:spacing w:before="120" w:after="120"/>
              <w:rPr>
                <w:rFonts w:cs="Arial"/>
                <w:lang w:eastAsia="en-NZ"/>
              </w:rPr>
            </w:pPr>
            <w:r w:rsidRPr="00BE00C7">
              <w:rPr>
                <w:rFonts w:cs="Arial"/>
                <w:lang w:eastAsia="en-NZ"/>
              </w:rPr>
              <w:t>Whānau and residents interviewed were pleased with the environment's suitability for their whānau members' needs. Appropriate signage and cultural information were on the notice boards for staff and residents to view. There were well-maintained garden areas.</w:t>
            </w:r>
          </w:p>
          <w:p w14:paraId="4743F9D7" w14:textId="77777777" w:rsidR="00000000" w:rsidRPr="00BE00C7" w:rsidRDefault="00000000" w:rsidP="00BE00C7">
            <w:pPr>
              <w:pStyle w:val="OutcomeDescription"/>
              <w:spacing w:before="120" w:after="120"/>
              <w:rPr>
                <w:rFonts w:cs="Arial"/>
                <w:lang w:eastAsia="en-NZ"/>
              </w:rPr>
            </w:pPr>
          </w:p>
        </w:tc>
      </w:tr>
      <w:tr w:rsidR="00BC6C13" w14:paraId="6390EB14" w14:textId="77777777">
        <w:tc>
          <w:tcPr>
            <w:tcW w:w="0" w:type="auto"/>
          </w:tcPr>
          <w:p w14:paraId="15EABC5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694854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6E879AF" w14:textId="77777777" w:rsidR="00000000" w:rsidRPr="00BE00C7" w:rsidRDefault="00000000" w:rsidP="00BE00C7">
            <w:pPr>
              <w:pStyle w:val="OutcomeDescription"/>
              <w:spacing w:before="120" w:after="120"/>
              <w:rPr>
                <w:rFonts w:cs="Arial"/>
                <w:lang w:eastAsia="en-NZ"/>
              </w:rPr>
            </w:pPr>
          </w:p>
        </w:tc>
        <w:tc>
          <w:tcPr>
            <w:tcW w:w="0" w:type="auto"/>
          </w:tcPr>
          <w:p w14:paraId="6F90F4E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113DCE" w14:textId="77777777" w:rsidR="00000000" w:rsidRPr="00BE00C7" w:rsidRDefault="00000000" w:rsidP="00BE00C7">
            <w:pPr>
              <w:pStyle w:val="OutcomeDescription"/>
              <w:spacing w:before="120" w:after="120"/>
              <w:rPr>
                <w:rFonts w:cs="Arial"/>
                <w:lang w:eastAsia="en-NZ"/>
              </w:rPr>
            </w:pPr>
            <w:r w:rsidRPr="00BE00C7">
              <w:rPr>
                <w:rFonts w:cs="Arial"/>
                <w:lang w:eastAsia="en-NZ"/>
              </w:rPr>
              <w:t>Since the previous audit, the primary building of Hummingbird House has undergone further changes. This building houses the Kakapo and Albatross wings. The Albatross wing was segregated and closed on the audit day, and refurbishment work was still ongoing. The reconfiguration of Tui House from a rest home level of care to a dementia level of care was completed.</w:t>
            </w:r>
          </w:p>
          <w:p w14:paraId="5B7CDEAD" w14:textId="77777777" w:rsidR="00000000" w:rsidRPr="00BE00C7" w:rsidRDefault="00000000" w:rsidP="00BE00C7">
            <w:pPr>
              <w:pStyle w:val="OutcomeDescription"/>
              <w:spacing w:before="120" w:after="120"/>
              <w:rPr>
                <w:rFonts w:cs="Arial"/>
                <w:lang w:eastAsia="en-NZ"/>
              </w:rPr>
            </w:pPr>
            <w:r w:rsidRPr="00BE00C7">
              <w:rPr>
                <w:rFonts w:cs="Arial"/>
                <w:lang w:eastAsia="en-NZ"/>
              </w:rPr>
              <w:t>A new, approved Fire and Emergency New Zealand (FENZ) evacuation plan was in place. Training in using fire equipment required under health and safety is ongoing.  Fire drills are completed every six months, as per the training calendar. Fire exits remain unchanged. The staff orientation programme includes fire and security training. Civil defence emergency supplies were adequate. A staff member on duty in each wing has a current first aid certificate.</w:t>
            </w:r>
          </w:p>
          <w:p w14:paraId="607780B1" w14:textId="77777777" w:rsidR="00000000" w:rsidRPr="00BE00C7" w:rsidRDefault="00000000" w:rsidP="00BE00C7">
            <w:pPr>
              <w:pStyle w:val="OutcomeDescription"/>
              <w:spacing w:before="120" w:after="120"/>
              <w:rPr>
                <w:rFonts w:cs="Arial"/>
                <w:lang w:eastAsia="en-NZ"/>
              </w:rPr>
            </w:pPr>
          </w:p>
        </w:tc>
      </w:tr>
      <w:tr w:rsidR="00BC6C13" w14:paraId="76C529B2" w14:textId="77777777">
        <w:tc>
          <w:tcPr>
            <w:tcW w:w="0" w:type="auto"/>
          </w:tcPr>
          <w:p w14:paraId="499743D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B1381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64F79E8" w14:textId="77777777" w:rsidR="00000000" w:rsidRPr="00BE00C7" w:rsidRDefault="00000000" w:rsidP="00BE00C7">
            <w:pPr>
              <w:pStyle w:val="OutcomeDescription"/>
              <w:spacing w:before="120" w:after="120"/>
              <w:rPr>
                <w:rFonts w:cs="Arial"/>
                <w:lang w:eastAsia="en-NZ"/>
              </w:rPr>
            </w:pPr>
          </w:p>
        </w:tc>
        <w:tc>
          <w:tcPr>
            <w:tcW w:w="0" w:type="auto"/>
          </w:tcPr>
          <w:p w14:paraId="72049BF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E00E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which has been developed by those with IP expertise and approved by the governing body. The programme is linked to the quality improvement programme and is reviewed and reported on annually. This was confirmed by the IPCC and review of the programme documentation. The IP programme was last reviewed on 5 September 2024.</w:t>
            </w:r>
          </w:p>
          <w:p w14:paraId="6F9FC24F"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5EEE4B21" w14:textId="77777777" w:rsidR="00000000" w:rsidRPr="00BE00C7" w:rsidRDefault="00000000" w:rsidP="00BE00C7">
            <w:pPr>
              <w:pStyle w:val="OutcomeDescription"/>
              <w:spacing w:before="120" w:after="120"/>
              <w:rPr>
                <w:rFonts w:cs="Arial"/>
                <w:lang w:eastAsia="en-NZ"/>
              </w:rPr>
            </w:pPr>
          </w:p>
        </w:tc>
      </w:tr>
      <w:tr w:rsidR="00BC6C13" w14:paraId="22784EEE" w14:textId="77777777">
        <w:tc>
          <w:tcPr>
            <w:tcW w:w="0" w:type="auto"/>
          </w:tcPr>
          <w:p w14:paraId="04DD836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106FC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40EE506" w14:textId="77777777" w:rsidR="00000000" w:rsidRPr="00BE00C7" w:rsidRDefault="00000000" w:rsidP="00BE00C7">
            <w:pPr>
              <w:pStyle w:val="OutcomeDescription"/>
              <w:spacing w:before="120" w:after="120"/>
              <w:rPr>
                <w:rFonts w:cs="Arial"/>
                <w:lang w:eastAsia="en-NZ"/>
              </w:rPr>
            </w:pPr>
          </w:p>
        </w:tc>
        <w:tc>
          <w:tcPr>
            <w:tcW w:w="0" w:type="auto"/>
          </w:tcPr>
          <w:p w14:paraId="0A74E19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FEF921"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Surveillance includes ethnicity data.  Results of the surveillance programme are shared with staff and reported to the governing body at monthly meetings. There was a COVID-19 outbreak reported in July 2024 that was managed in an appropriate manner.</w:t>
            </w:r>
          </w:p>
          <w:p w14:paraId="10A84554" w14:textId="77777777" w:rsidR="00000000" w:rsidRPr="00BE00C7" w:rsidRDefault="00000000" w:rsidP="00BE00C7">
            <w:pPr>
              <w:pStyle w:val="OutcomeDescription"/>
              <w:spacing w:before="120" w:after="120"/>
              <w:rPr>
                <w:rFonts w:cs="Arial"/>
                <w:lang w:eastAsia="en-NZ"/>
              </w:rPr>
            </w:pPr>
          </w:p>
        </w:tc>
      </w:tr>
      <w:tr w:rsidR="00BC6C13" w14:paraId="3A63C8B7" w14:textId="77777777">
        <w:tc>
          <w:tcPr>
            <w:tcW w:w="0" w:type="auto"/>
          </w:tcPr>
          <w:p w14:paraId="7C78C8C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0BAEBE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w:t>
            </w:r>
            <w:r w:rsidRPr="00BE00C7">
              <w:rPr>
                <w:rFonts w:cs="Arial"/>
                <w:lang w:eastAsia="en-NZ"/>
              </w:rPr>
              <w:lastRenderedPageBreak/>
              <w:t>of restraint in the context of aiming for elimination.</w:t>
            </w:r>
          </w:p>
          <w:p w14:paraId="5DF901EA" w14:textId="77777777" w:rsidR="00000000" w:rsidRPr="00BE00C7" w:rsidRDefault="00000000" w:rsidP="00BE00C7">
            <w:pPr>
              <w:pStyle w:val="OutcomeDescription"/>
              <w:spacing w:before="120" w:after="120"/>
              <w:rPr>
                <w:rFonts w:cs="Arial"/>
                <w:lang w:eastAsia="en-NZ"/>
              </w:rPr>
            </w:pPr>
          </w:p>
        </w:tc>
        <w:tc>
          <w:tcPr>
            <w:tcW w:w="0" w:type="auto"/>
          </w:tcPr>
          <w:p w14:paraId="34CB57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EEA6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interviewed advised that restraint is eliminated whenever possible. The clinical manager confirmed that this is documented in policy (sighted) and communicated to staff during orientation and as part of the ongoing education programme. The clinical manager is the restraint coordinator who provides monthly reporting, and restraint is discussed at the staff meetings. </w:t>
            </w:r>
          </w:p>
          <w:p w14:paraId="196B722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De-escalation training includes a competency questionnaire, which all staff complete at orientation and annually. The clinical manager is responsible </w:t>
            </w:r>
            <w:r w:rsidRPr="00BE00C7">
              <w:rPr>
                <w:rFonts w:cs="Arial"/>
                <w:lang w:eastAsia="en-NZ"/>
              </w:rPr>
              <w:lastRenderedPageBreak/>
              <w:t>for maintaining the restraint register. At the time of the audit, there were no residents using a restraint.</w:t>
            </w:r>
          </w:p>
          <w:p w14:paraId="4A08459F" w14:textId="77777777" w:rsidR="00000000" w:rsidRPr="00BE00C7" w:rsidRDefault="00000000" w:rsidP="00BE00C7">
            <w:pPr>
              <w:pStyle w:val="OutcomeDescription"/>
              <w:spacing w:before="120" w:after="120"/>
              <w:rPr>
                <w:rFonts w:cs="Arial"/>
                <w:lang w:eastAsia="en-NZ"/>
              </w:rPr>
            </w:pPr>
          </w:p>
        </w:tc>
      </w:tr>
    </w:tbl>
    <w:p w14:paraId="2117FA29"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FE4BD07" w14:textId="77777777" w:rsidR="00000000" w:rsidRDefault="00000000">
      <w:pPr>
        <w:pStyle w:val="Heading1"/>
        <w:rPr>
          <w:rFonts w:cs="Arial"/>
        </w:rPr>
      </w:pPr>
      <w:r>
        <w:rPr>
          <w:rFonts w:cs="Arial"/>
        </w:rPr>
        <w:lastRenderedPageBreak/>
        <w:t>Specific results for criterion where corrective actions are required</w:t>
      </w:r>
    </w:p>
    <w:p w14:paraId="75348FF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C84733C"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045CA19"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C6C13" w14:paraId="54C43A4F" w14:textId="77777777">
        <w:tc>
          <w:tcPr>
            <w:tcW w:w="0" w:type="auto"/>
          </w:tcPr>
          <w:p w14:paraId="1066D9F5"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6FDDAA6"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3B9D836" w14:textId="77777777" w:rsidR="00000000" w:rsidRDefault="00000000">
      <w:pPr>
        <w:pStyle w:val="Heading1"/>
        <w:rPr>
          <w:rFonts w:cs="Arial"/>
        </w:rPr>
      </w:pPr>
      <w:r>
        <w:rPr>
          <w:rFonts w:cs="Arial"/>
        </w:rPr>
        <w:lastRenderedPageBreak/>
        <w:t>Specific results for criterion where a continuous improvement has been recorded</w:t>
      </w:r>
    </w:p>
    <w:p w14:paraId="1BA87B84"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9974003"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A7F6A63"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C6C13" w14:paraId="15CB3A26" w14:textId="77777777">
        <w:tc>
          <w:tcPr>
            <w:tcW w:w="0" w:type="auto"/>
          </w:tcPr>
          <w:p w14:paraId="752133C0"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0827EC6"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94649E6"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EE44" w14:textId="77777777" w:rsidR="00315F79" w:rsidRDefault="00315F79">
      <w:r>
        <w:separator/>
      </w:r>
    </w:p>
  </w:endnote>
  <w:endnote w:type="continuationSeparator" w:id="0">
    <w:p w14:paraId="4C1C9FA6" w14:textId="77777777" w:rsidR="00315F79" w:rsidRDefault="0031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5C69" w14:textId="77777777" w:rsidR="00000000" w:rsidRDefault="00000000">
    <w:pPr>
      <w:pStyle w:val="Footer"/>
    </w:pPr>
  </w:p>
  <w:p w14:paraId="4BB6F4CC" w14:textId="77777777" w:rsidR="00000000" w:rsidRDefault="00000000"/>
  <w:p w14:paraId="44DA08FB"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01D5"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North Health Limited - Hummingbird House</w:t>
    </w:r>
    <w:bookmarkEnd w:id="59"/>
    <w:r>
      <w:rPr>
        <w:rFonts w:cs="Arial"/>
        <w:sz w:val="16"/>
        <w:szCs w:val="20"/>
      </w:rPr>
      <w:tab/>
      <w:t xml:space="preserve">Date of Audit: </w:t>
    </w:r>
    <w:bookmarkStart w:id="60" w:name="AuditStartDate1"/>
    <w:r>
      <w:rPr>
        <w:rFonts w:cs="Arial"/>
        <w:sz w:val="16"/>
        <w:szCs w:val="20"/>
      </w:rPr>
      <w:t>23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75407D"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F7C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8E81" w14:textId="77777777" w:rsidR="00315F79" w:rsidRDefault="00315F79">
      <w:r>
        <w:separator/>
      </w:r>
    </w:p>
  </w:footnote>
  <w:footnote w:type="continuationSeparator" w:id="0">
    <w:p w14:paraId="058B17F4" w14:textId="77777777" w:rsidR="00315F79" w:rsidRDefault="00315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53FC" w14:textId="77777777" w:rsidR="00000000" w:rsidRDefault="00000000">
    <w:pPr>
      <w:pStyle w:val="Header"/>
    </w:pPr>
  </w:p>
  <w:p w14:paraId="7058AC8E"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4C60" w14:textId="77777777" w:rsidR="00000000" w:rsidRDefault="00000000">
    <w:pPr>
      <w:pStyle w:val="Header"/>
    </w:pPr>
  </w:p>
  <w:p w14:paraId="4A23C90E"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BE8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DEA4CF6">
      <w:start w:val="1"/>
      <w:numFmt w:val="decimal"/>
      <w:lvlText w:val="%1."/>
      <w:lvlJc w:val="left"/>
      <w:pPr>
        <w:ind w:left="360" w:hanging="360"/>
      </w:pPr>
    </w:lvl>
    <w:lvl w:ilvl="1" w:tplc="CBAE4D44" w:tentative="1">
      <w:start w:val="1"/>
      <w:numFmt w:val="lowerLetter"/>
      <w:lvlText w:val="%2."/>
      <w:lvlJc w:val="left"/>
      <w:pPr>
        <w:ind w:left="1080" w:hanging="360"/>
      </w:pPr>
    </w:lvl>
    <w:lvl w:ilvl="2" w:tplc="ABF203AC" w:tentative="1">
      <w:start w:val="1"/>
      <w:numFmt w:val="lowerRoman"/>
      <w:lvlText w:val="%3."/>
      <w:lvlJc w:val="right"/>
      <w:pPr>
        <w:ind w:left="1800" w:hanging="180"/>
      </w:pPr>
    </w:lvl>
    <w:lvl w:ilvl="3" w:tplc="59A44E8A" w:tentative="1">
      <w:start w:val="1"/>
      <w:numFmt w:val="decimal"/>
      <w:lvlText w:val="%4."/>
      <w:lvlJc w:val="left"/>
      <w:pPr>
        <w:ind w:left="2520" w:hanging="360"/>
      </w:pPr>
    </w:lvl>
    <w:lvl w:ilvl="4" w:tplc="635E8C84" w:tentative="1">
      <w:start w:val="1"/>
      <w:numFmt w:val="lowerLetter"/>
      <w:lvlText w:val="%5."/>
      <w:lvlJc w:val="left"/>
      <w:pPr>
        <w:ind w:left="3240" w:hanging="360"/>
      </w:pPr>
    </w:lvl>
    <w:lvl w:ilvl="5" w:tplc="24CC2C90" w:tentative="1">
      <w:start w:val="1"/>
      <w:numFmt w:val="lowerRoman"/>
      <w:lvlText w:val="%6."/>
      <w:lvlJc w:val="right"/>
      <w:pPr>
        <w:ind w:left="3960" w:hanging="180"/>
      </w:pPr>
    </w:lvl>
    <w:lvl w:ilvl="6" w:tplc="DFF683E2" w:tentative="1">
      <w:start w:val="1"/>
      <w:numFmt w:val="decimal"/>
      <w:lvlText w:val="%7."/>
      <w:lvlJc w:val="left"/>
      <w:pPr>
        <w:ind w:left="4680" w:hanging="360"/>
      </w:pPr>
    </w:lvl>
    <w:lvl w:ilvl="7" w:tplc="F9968834" w:tentative="1">
      <w:start w:val="1"/>
      <w:numFmt w:val="lowerLetter"/>
      <w:lvlText w:val="%8."/>
      <w:lvlJc w:val="left"/>
      <w:pPr>
        <w:ind w:left="5400" w:hanging="360"/>
      </w:pPr>
    </w:lvl>
    <w:lvl w:ilvl="8" w:tplc="B470D80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D6280B4">
      <w:start w:val="1"/>
      <w:numFmt w:val="bullet"/>
      <w:lvlText w:val=""/>
      <w:lvlJc w:val="left"/>
      <w:pPr>
        <w:ind w:left="720" w:hanging="360"/>
      </w:pPr>
      <w:rPr>
        <w:rFonts w:ascii="Symbol" w:hAnsi="Symbol" w:hint="default"/>
      </w:rPr>
    </w:lvl>
    <w:lvl w:ilvl="1" w:tplc="F8380BD2" w:tentative="1">
      <w:start w:val="1"/>
      <w:numFmt w:val="bullet"/>
      <w:lvlText w:val="o"/>
      <w:lvlJc w:val="left"/>
      <w:pPr>
        <w:ind w:left="1440" w:hanging="360"/>
      </w:pPr>
      <w:rPr>
        <w:rFonts w:ascii="Courier New" w:hAnsi="Courier New" w:cs="Courier New" w:hint="default"/>
      </w:rPr>
    </w:lvl>
    <w:lvl w:ilvl="2" w:tplc="D87EE6B2" w:tentative="1">
      <w:start w:val="1"/>
      <w:numFmt w:val="bullet"/>
      <w:lvlText w:val=""/>
      <w:lvlJc w:val="left"/>
      <w:pPr>
        <w:ind w:left="2160" w:hanging="360"/>
      </w:pPr>
      <w:rPr>
        <w:rFonts w:ascii="Wingdings" w:hAnsi="Wingdings" w:hint="default"/>
      </w:rPr>
    </w:lvl>
    <w:lvl w:ilvl="3" w:tplc="D7D6AA7A" w:tentative="1">
      <w:start w:val="1"/>
      <w:numFmt w:val="bullet"/>
      <w:lvlText w:val=""/>
      <w:lvlJc w:val="left"/>
      <w:pPr>
        <w:ind w:left="2880" w:hanging="360"/>
      </w:pPr>
      <w:rPr>
        <w:rFonts w:ascii="Symbol" w:hAnsi="Symbol" w:hint="default"/>
      </w:rPr>
    </w:lvl>
    <w:lvl w:ilvl="4" w:tplc="AF4EEA06" w:tentative="1">
      <w:start w:val="1"/>
      <w:numFmt w:val="bullet"/>
      <w:lvlText w:val="o"/>
      <w:lvlJc w:val="left"/>
      <w:pPr>
        <w:ind w:left="3600" w:hanging="360"/>
      </w:pPr>
      <w:rPr>
        <w:rFonts w:ascii="Courier New" w:hAnsi="Courier New" w:cs="Courier New" w:hint="default"/>
      </w:rPr>
    </w:lvl>
    <w:lvl w:ilvl="5" w:tplc="938CD3E6" w:tentative="1">
      <w:start w:val="1"/>
      <w:numFmt w:val="bullet"/>
      <w:lvlText w:val=""/>
      <w:lvlJc w:val="left"/>
      <w:pPr>
        <w:ind w:left="4320" w:hanging="360"/>
      </w:pPr>
      <w:rPr>
        <w:rFonts w:ascii="Wingdings" w:hAnsi="Wingdings" w:hint="default"/>
      </w:rPr>
    </w:lvl>
    <w:lvl w:ilvl="6" w:tplc="BA4ED792" w:tentative="1">
      <w:start w:val="1"/>
      <w:numFmt w:val="bullet"/>
      <w:lvlText w:val=""/>
      <w:lvlJc w:val="left"/>
      <w:pPr>
        <w:ind w:left="5040" w:hanging="360"/>
      </w:pPr>
      <w:rPr>
        <w:rFonts w:ascii="Symbol" w:hAnsi="Symbol" w:hint="default"/>
      </w:rPr>
    </w:lvl>
    <w:lvl w:ilvl="7" w:tplc="78EC7E58" w:tentative="1">
      <w:start w:val="1"/>
      <w:numFmt w:val="bullet"/>
      <w:lvlText w:val="o"/>
      <w:lvlJc w:val="left"/>
      <w:pPr>
        <w:ind w:left="5760" w:hanging="360"/>
      </w:pPr>
      <w:rPr>
        <w:rFonts w:ascii="Courier New" w:hAnsi="Courier New" w:cs="Courier New" w:hint="default"/>
      </w:rPr>
    </w:lvl>
    <w:lvl w:ilvl="8" w:tplc="94C4A7A2" w:tentative="1">
      <w:start w:val="1"/>
      <w:numFmt w:val="bullet"/>
      <w:lvlText w:val=""/>
      <w:lvlJc w:val="left"/>
      <w:pPr>
        <w:ind w:left="6480" w:hanging="360"/>
      </w:pPr>
      <w:rPr>
        <w:rFonts w:ascii="Wingdings" w:hAnsi="Wingdings" w:hint="default"/>
      </w:rPr>
    </w:lvl>
  </w:abstractNum>
  <w:num w:numId="1" w16cid:durableId="1095437053">
    <w:abstractNumId w:val="1"/>
  </w:num>
  <w:num w:numId="2" w16cid:durableId="8048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13"/>
    <w:rsid w:val="00315F79"/>
    <w:rsid w:val="003F3367"/>
    <w:rsid w:val="00BC6C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B441"/>
  <w15:docId w15:val="{62A78664-B025-478F-8DE5-440848D9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7196</Words>
  <Characters>41021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2024-10-22T02:34:00Z</dcterms:created>
  <dcterms:modified xsi:type="dcterms:W3CDTF">2024-10-22T02:34:00Z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