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41AD" w14:textId="77777777" w:rsidR="00000000" w:rsidRDefault="00000000">
      <w:pPr>
        <w:pStyle w:val="Heading1"/>
        <w:rPr>
          <w:rFonts w:cs="Arial"/>
        </w:rPr>
      </w:pPr>
      <w:bookmarkStart w:id="0" w:name="PRMS_RIName"/>
      <w:r>
        <w:rPr>
          <w:rFonts w:cs="Arial"/>
        </w:rPr>
        <w:t>Te Mahana Limited - Te Mahana Limited</w:t>
      </w:r>
      <w:bookmarkEnd w:id="0"/>
    </w:p>
    <w:p w14:paraId="409B3C6D" w14:textId="77777777" w:rsidR="00000000" w:rsidRDefault="00000000">
      <w:pPr>
        <w:pStyle w:val="Heading2"/>
        <w:spacing w:after="0"/>
        <w:rPr>
          <w:rFonts w:cs="Arial"/>
        </w:rPr>
      </w:pPr>
      <w:r>
        <w:rPr>
          <w:rFonts w:cs="Arial"/>
        </w:rPr>
        <w:t>Introduction</w:t>
      </w:r>
    </w:p>
    <w:p w14:paraId="1E69EC6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09E0ED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AAB500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928F54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3577AFF" w14:textId="77777777" w:rsidR="00000000" w:rsidRDefault="00000000">
      <w:pPr>
        <w:spacing w:before="240" w:after="240"/>
        <w:rPr>
          <w:rFonts w:cs="Arial"/>
          <w:lang w:eastAsia="en-NZ"/>
        </w:rPr>
      </w:pPr>
      <w:r>
        <w:rPr>
          <w:rFonts w:cs="Arial"/>
          <w:lang w:eastAsia="en-NZ"/>
        </w:rPr>
        <w:t>The specifics of this audit included:</w:t>
      </w:r>
    </w:p>
    <w:p w14:paraId="4E162AF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37AB3D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Mahana Limited</w:t>
      </w:r>
      <w:bookmarkEnd w:id="4"/>
    </w:p>
    <w:p w14:paraId="55516F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Te </w:t>
      </w:r>
      <w:r>
        <w:rPr>
          <w:rFonts w:cs="Arial"/>
        </w:rPr>
        <w:t>Mahana Limited</w:t>
      </w:r>
      <w:bookmarkEnd w:id="5"/>
    </w:p>
    <w:p w14:paraId="303651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EEA65E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July 2024</w:t>
      </w:r>
      <w:bookmarkEnd w:id="7"/>
      <w:r w:rsidRPr="009418D4">
        <w:rPr>
          <w:rFonts w:cs="Arial"/>
        </w:rPr>
        <w:tab/>
        <w:t xml:space="preserve">End date: </w:t>
      </w:r>
      <w:bookmarkStart w:id="8" w:name="AuditEndDate"/>
      <w:r>
        <w:rPr>
          <w:rFonts w:cs="Arial"/>
        </w:rPr>
        <w:t>24 July 2024</w:t>
      </w:r>
      <w:bookmarkEnd w:id="8"/>
    </w:p>
    <w:p w14:paraId="71530E4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Annie Brydon Complex Limited – Te Mahana Resthome has changed its legal entity name to Te Mahana Limited</w:t>
      </w:r>
    </w:p>
    <w:bookmarkEnd w:id="9"/>
    <w:p w14:paraId="1A5793B6" w14:textId="77777777" w:rsidR="00FD1EF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2CCA5F6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ABA7AF5" w14:textId="77777777" w:rsidR="00000000" w:rsidRDefault="00000000">
      <w:pPr>
        <w:pStyle w:val="Heading1"/>
        <w:rPr>
          <w:rFonts w:cs="Arial"/>
        </w:rPr>
      </w:pPr>
      <w:r>
        <w:rPr>
          <w:rFonts w:cs="Arial"/>
        </w:rPr>
        <w:lastRenderedPageBreak/>
        <w:t>Executive summary of the audit</w:t>
      </w:r>
    </w:p>
    <w:p w14:paraId="0F0BFDF8" w14:textId="77777777" w:rsidR="00000000" w:rsidRDefault="00000000">
      <w:pPr>
        <w:pStyle w:val="Heading2"/>
        <w:rPr>
          <w:rFonts w:cs="Arial"/>
        </w:rPr>
      </w:pPr>
      <w:r>
        <w:rPr>
          <w:rFonts w:cs="Arial"/>
        </w:rPr>
        <w:t>Introduction</w:t>
      </w:r>
    </w:p>
    <w:p w14:paraId="5A1ADB5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35CDCE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C92D33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BDF49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D5E331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1DB674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914F75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88CBE4" w14:textId="77777777" w:rsidR="00000000" w:rsidRDefault="00000000">
      <w:pPr>
        <w:pStyle w:val="Heading2"/>
        <w:spacing w:after="0"/>
        <w:rPr>
          <w:rFonts w:cs="Arial"/>
        </w:rPr>
      </w:pPr>
      <w:r>
        <w:rPr>
          <w:rFonts w:cs="Arial"/>
        </w:rPr>
        <w:t>General overview of the audit</w:t>
      </w:r>
    </w:p>
    <w:p w14:paraId="0102B9A2" w14:textId="77777777" w:rsidR="00000000" w:rsidRDefault="00000000">
      <w:pPr>
        <w:spacing w:before="240" w:line="276" w:lineRule="auto"/>
        <w:rPr>
          <w:rFonts w:eastAsia="Calibri"/>
        </w:rPr>
      </w:pPr>
      <w:bookmarkStart w:id="13" w:name="GeneralOverview"/>
      <w:r w:rsidRPr="00A4268A">
        <w:rPr>
          <w:rFonts w:eastAsia="Calibri"/>
        </w:rPr>
        <w:t>Annie Brydon Complex – Te Mahana Rest Home provides rest home care for up to 22 residents. The facility is owned and operated by two directors in a building leased from the local Te Mahana Trust. Residents, whānau and external health providers were complimentary of the care provided.</w:t>
      </w:r>
    </w:p>
    <w:p w14:paraId="60981A1F" w14:textId="77777777" w:rsidR="00FD1EF2" w:rsidRPr="00A4268A" w:rsidRDefault="00000000">
      <w:pPr>
        <w:spacing w:before="240" w:line="276" w:lineRule="auto"/>
        <w:rPr>
          <w:rFonts w:eastAsia="Calibri"/>
        </w:rPr>
      </w:pPr>
      <w:r w:rsidRPr="00A4268A">
        <w:rPr>
          <w:rFonts w:eastAsia="Calibri"/>
        </w:rPr>
        <w:t>This provisional audit process was instigated due to a plan to change the legal entity of the facility from Annie Brydon Complex – Te Mahana Resthome to Te Mahana Resthome Limited. Residents and staff will not be impacted by the change of legal entity of the company.</w:t>
      </w:r>
    </w:p>
    <w:p w14:paraId="462EFFCA" w14:textId="77777777" w:rsidR="00FD1EF2" w:rsidRPr="00A4268A" w:rsidRDefault="00000000">
      <w:pPr>
        <w:spacing w:before="240" w:line="276" w:lineRule="auto"/>
        <w:rPr>
          <w:rFonts w:eastAsia="Calibri"/>
        </w:rPr>
      </w:pPr>
      <w:r w:rsidRPr="00A4268A">
        <w:rPr>
          <w:rFonts w:eastAsia="Calibri"/>
        </w:rPr>
        <w:t>The audit was conducted against the Ngā Paerewa Health and Disability Services Standard NZS 8134:2021 and the provider’s contracts held with Health New Zealand – Te Whatu Ora. The audit included a pre-audit review of policies and procedures, review of residents’ and staff files, observations and interviews with residents, whānau, the facility’s directors, staff, and a general practitioner.</w:t>
      </w:r>
    </w:p>
    <w:p w14:paraId="1417B63C" w14:textId="77777777" w:rsidR="00FD1EF2" w:rsidRPr="00A4268A" w:rsidRDefault="00000000">
      <w:pPr>
        <w:spacing w:before="240" w:line="276" w:lineRule="auto"/>
        <w:rPr>
          <w:rFonts w:eastAsia="Calibri"/>
        </w:rPr>
      </w:pPr>
      <w:r w:rsidRPr="00A4268A">
        <w:rPr>
          <w:rFonts w:eastAsia="Calibri"/>
        </w:rPr>
        <w:lastRenderedPageBreak/>
        <w:t>Improvements are required to registered nurse cover in the facility, police vetting of staff, completion of staff orientation, and medication management.</w:t>
      </w:r>
    </w:p>
    <w:bookmarkEnd w:id="13"/>
    <w:p w14:paraId="6CB6EB12" w14:textId="77777777" w:rsidR="00FD1EF2" w:rsidRPr="00A4268A" w:rsidRDefault="00FD1EF2">
      <w:pPr>
        <w:spacing w:before="240" w:line="276" w:lineRule="auto"/>
        <w:rPr>
          <w:rFonts w:eastAsia="Calibri"/>
        </w:rPr>
      </w:pPr>
    </w:p>
    <w:p w14:paraId="4064F21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1803A587" w14:textId="77777777" w:rsidR="00000000" w:rsidRDefault="00000000">
      <w:pPr>
        <w:spacing w:before="240" w:line="276" w:lineRule="auto"/>
        <w:rPr>
          <w:rFonts w:eastAsia="Calibri"/>
        </w:rPr>
      </w:pPr>
      <w:bookmarkStart w:id="14" w:name="ConsumerRights"/>
      <w:r w:rsidRPr="00A4268A">
        <w:rPr>
          <w:rFonts w:eastAsia="Calibri"/>
        </w:rPr>
        <w:t>Annie Brydon Complex – Te Mahana Rest Home provided an environment that supported residents’ rights and culturally safe care. There was a health plan that encapsulated care specifically directed at Māori, Pasifika, and other ethnicities. The service worked collaboratively to support and encourage a Māori world view of health in service delivery. Māori residents were provided with equitable and effective services based on Te Tiriti o Waitangi and the principles of mana motuhake (self-determination).</w:t>
      </w:r>
    </w:p>
    <w:p w14:paraId="5EF1F698" w14:textId="77777777" w:rsidR="00FD1EF2" w:rsidRPr="00A4268A" w:rsidRDefault="00000000">
      <w:pPr>
        <w:spacing w:before="240" w:line="276" w:lineRule="auto"/>
        <w:rPr>
          <w:rFonts w:eastAsia="Calibri"/>
        </w:rPr>
      </w:pPr>
      <w:r w:rsidRPr="00A4268A">
        <w:rPr>
          <w:rFonts w:eastAsia="Calibri"/>
        </w:rPr>
        <w:t>Systems and processes are in place to make sure Pacific peoples can be provided with services that recognise their worldviews and are culturally safe.</w:t>
      </w:r>
    </w:p>
    <w:p w14:paraId="038E1B29" w14:textId="77777777" w:rsidR="00FD1EF2"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had participated in Te Tiriti o Waitangi training, which was reflected in day-to-day service delivery. Residents were safe from abuse.</w:t>
      </w:r>
    </w:p>
    <w:p w14:paraId="7DB4A39F" w14:textId="77777777" w:rsidR="00FD1EF2"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was practised. Interpreter services were provided as needed. Whānau and legal representatives participated in decision-making that complied with the law. Advance directives were followed wherever possible.</w:t>
      </w:r>
    </w:p>
    <w:p w14:paraId="15F5FFA7" w14:textId="77777777" w:rsidR="00FD1EF2"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w:t>
      </w:r>
    </w:p>
    <w:p w14:paraId="195D6AEF" w14:textId="77777777" w:rsidR="00FD1EF2" w:rsidRPr="00A4268A" w:rsidRDefault="00000000">
      <w:pPr>
        <w:spacing w:before="240" w:line="276" w:lineRule="auto"/>
        <w:rPr>
          <w:rFonts w:eastAsia="Calibri"/>
        </w:rPr>
      </w:pPr>
      <w:r w:rsidRPr="00A4268A">
        <w:rPr>
          <w:rFonts w:eastAsia="Calibri"/>
        </w:rPr>
        <w:t>There have been no complaints received by the service from external sources.</w:t>
      </w:r>
    </w:p>
    <w:bookmarkEnd w:id="14"/>
    <w:p w14:paraId="2FDC0E52" w14:textId="77777777" w:rsidR="00FD1EF2" w:rsidRPr="00A4268A" w:rsidRDefault="00FD1EF2">
      <w:pPr>
        <w:spacing w:before="240" w:line="276" w:lineRule="auto"/>
        <w:rPr>
          <w:rFonts w:eastAsia="Calibri"/>
        </w:rPr>
      </w:pPr>
    </w:p>
    <w:p w14:paraId="281E1BCF"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p w14:paraId="311B864B" w14:textId="77777777" w:rsidR="00000000" w:rsidRDefault="00000000">
      <w:pPr>
        <w:spacing w:before="240" w:line="276" w:lineRule="auto"/>
        <w:rPr>
          <w:rFonts w:eastAsia="Calibri"/>
        </w:rPr>
      </w:pPr>
      <w:bookmarkStart w:id="15" w:name="OrganisationalManagement"/>
      <w:r w:rsidRPr="00A4268A">
        <w:rPr>
          <w:rFonts w:eastAsia="Calibri"/>
        </w:rPr>
        <w:t>The directors at Annie Brydon Complex – Te Mahana Rest Home assume accountability for delivering a service that is inclusive of, and sensitive to, the cultural needs of Māori. This includes supporting meaningful inclusion of Māori, honouring Te Tiriti o Waitangi, and reducing barriers to improve outcomes for Māori and people with disabilities. The directors are suitably experienced and qualified in governance, and one has completed education in cultural awareness, Te Tiriti o Waitangi and health equity.</w:t>
      </w:r>
    </w:p>
    <w:p w14:paraId="07FBBB7F" w14:textId="77777777" w:rsidR="00FD1EF2"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5F54BF37" w14:textId="77777777" w:rsidR="00FD1EF2" w:rsidRPr="00A4268A" w:rsidRDefault="00000000">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participate in quality activities. An integrated approach includes collection and analysis of quality improvement data, identifies trends, and leads to improvements. Actual and potential risks are identified and mitigated. The National Adverse Events Reporting Policy is followed, with corrective actions supporting systems learnings. The service complies with statutory and regulatory reporting obligations.</w:t>
      </w:r>
    </w:p>
    <w:p w14:paraId="51389724" w14:textId="77777777" w:rsidR="00FD1EF2" w:rsidRPr="00A4268A" w:rsidRDefault="00000000">
      <w:pPr>
        <w:spacing w:before="240" w:line="276" w:lineRule="auto"/>
        <w:rPr>
          <w:rFonts w:eastAsia="Calibri"/>
        </w:rPr>
      </w:pPr>
      <w:r w:rsidRPr="00A4268A">
        <w:rPr>
          <w:rFonts w:eastAsia="Calibri"/>
        </w:rPr>
        <w:t>Staffing levels and skill mix meet the cultural and clinical needs of residents. Staff are managed using current good practice. A systematic approach to identify and deliver ongoing learning supports safe equitable service delivery.</w:t>
      </w:r>
    </w:p>
    <w:p w14:paraId="030B2B14" w14:textId="77777777" w:rsidR="00FD1EF2" w:rsidRPr="00A4268A" w:rsidRDefault="00000000">
      <w:pPr>
        <w:spacing w:before="240" w:line="276" w:lineRule="auto"/>
        <w:rPr>
          <w:rFonts w:eastAsia="Calibri"/>
        </w:rPr>
      </w:pPr>
      <w:r w:rsidRPr="00A4268A">
        <w:rPr>
          <w:rFonts w:eastAsia="Calibri"/>
        </w:rPr>
        <w:t>Residents’ information is accurately recorded and securely stored and was not on public display or accessible to unauthorised people.</w:t>
      </w:r>
    </w:p>
    <w:bookmarkEnd w:id="15"/>
    <w:p w14:paraId="5E80606D" w14:textId="77777777" w:rsidR="00FD1EF2" w:rsidRPr="00A4268A" w:rsidRDefault="00FD1EF2">
      <w:pPr>
        <w:spacing w:before="240" w:line="276" w:lineRule="auto"/>
        <w:rPr>
          <w:rFonts w:eastAsia="Calibri"/>
        </w:rPr>
      </w:pPr>
    </w:p>
    <w:p w14:paraId="7E001E5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740C85B"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When people enter the service, a person-centred and whānau-centred approach is adopted. Relevant information is provided to the potential resident and whānau.</w:t>
      </w:r>
    </w:p>
    <w:p w14:paraId="4B532532" w14:textId="77777777" w:rsidR="00FD1EF2" w:rsidRPr="00A4268A" w:rsidRDefault="00000000" w:rsidP="00621629">
      <w:pPr>
        <w:spacing w:before="240" w:line="276" w:lineRule="auto"/>
        <w:rPr>
          <w:rFonts w:eastAsia="Calibri"/>
        </w:rPr>
      </w:pPr>
      <w:r w:rsidRPr="00A4268A">
        <w:rPr>
          <w:rFonts w:eastAsia="Calibri"/>
        </w:rPr>
        <w:lastRenderedPageBreak/>
        <w:t>The service worked in partnership with the residents and their whānau to assess, plan and evaluate care. Care plans were individualised, based on comprehensive information, and accommodated any recent problems that arose. Files reviewed demonstrated that care met the needs of residents and whānau and was evaluated on a regular and timely basis.</w:t>
      </w:r>
    </w:p>
    <w:p w14:paraId="4FC6DCB5" w14:textId="77777777" w:rsidR="00FD1EF2"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1B0DFB06" w14:textId="77777777" w:rsidR="00FD1EF2" w:rsidRPr="00A4268A" w:rsidRDefault="00000000" w:rsidP="00621629">
      <w:pPr>
        <w:spacing w:before="240" w:line="276" w:lineRule="auto"/>
        <w:rPr>
          <w:rFonts w:eastAsia="Calibri"/>
        </w:rPr>
      </w:pPr>
      <w:r w:rsidRPr="00A4268A">
        <w:rPr>
          <w:rFonts w:eastAsia="Calibri"/>
        </w:rPr>
        <w:t>A hard copy, paper-based medication management system was in place.</w:t>
      </w:r>
    </w:p>
    <w:p w14:paraId="0263E4E8" w14:textId="77777777" w:rsidR="00FD1EF2" w:rsidRPr="00A4268A" w:rsidRDefault="00000000" w:rsidP="00621629">
      <w:pPr>
        <w:spacing w:before="240" w:line="276" w:lineRule="auto"/>
        <w:rPr>
          <w:rFonts w:eastAsia="Calibri"/>
        </w:rPr>
      </w:pPr>
      <w:r w:rsidRPr="00A4268A">
        <w:rPr>
          <w:rFonts w:eastAsia="Calibri"/>
        </w:rPr>
        <w:t>The food service met the nutritional needs of the residents, with cultural needs catered for. Food was safely managed.</w:t>
      </w:r>
    </w:p>
    <w:p w14:paraId="4D5155F2" w14:textId="77777777" w:rsidR="00FD1EF2"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16"/>
    <w:p w14:paraId="445B1190" w14:textId="77777777" w:rsidR="00FD1EF2" w:rsidRPr="00A4268A" w:rsidRDefault="00FD1EF2" w:rsidP="00621629">
      <w:pPr>
        <w:spacing w:before="240" w:line="276" w:lineRule="auto"/>
        <w:rPr>
          <w:rFonts w:eastAsia="Calibri"/>
        </w:rPr>
      </w:pPr>
    </w:p>
    <w:p w14:paraId="74BD9A5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13EAC57" w14:textId="77777777" w:rsidR="00000000" w:rsidRDefault="00000000">
      <w:pPr>
        <w:spacing w:before="240" w:line="276" w:lineRule="auto"/>
        <w:rPr>
          <w:rFonts w:eastAsia="Calibri"/>
        </w:rPr>
      </w:pPr>
      <w:bookmarkStart w:id="17" w:name="SafeAndAppropriateEnvironment"/>
      <w:r w:rsidRPr="00A4268A">
        <w:rPr>
          <w:rFonts w:eastAsia="Calibri"/>
        </w:rPr>
        <w:t>The facility meets the needs of residents and was clean and well maintained. There was a current building warrant of fitness. Electrical and biomedical equipment has been checked and tested as required. External areas are accessible, safe, and meet the needs of tāngata whaikaha (people with disabilities).</w:t>
      </w:r>
    </w:p>
    <w:p w14:paraId="0C6674BA" w14:textId="77777777" w:rsidR="00FD1EF2"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17"/>
    <w:p w14:paraId="5198C56E" w14:textId="77777777" w:rsidR="00FD1EF2" w:rsidRPr="00A4268A" w:rsidRDefault="00FD1EF2">
      <w:pPr>
        <w:spacing w:before="240" w:line="276" w:lineRule="auto"/>
        <w:rPr>
          <w:rFonts w:eastAsia="Calibri"/>
        </w:rPr>
      </w:pPr>
    </w:p>
    <w:p w14:paraId="6CDB003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348F1647" w14:textId="77777777" w:rsidR="00000000" w:rsidRDefault="00000000">
      <w:pPr>
        <w:spacing w:before="240" w:line="276" w:lineRule="auto"/>
        <w:rPr>
          <w:rFonts w:eastAsia="Calibri"/>
        </w:rPr>
      </w:pPr>
      <w:bookmarkStart w:id="18" w:name="RestraintMinimisationAndSafePractice"/>
      <w:r w:rsidRPr="00A4268A">
        <w:rPr>
          <w:rFonts w:eastAsia="Calibri"/>
        </w:rPr>
        <w:t>The directors and the infection control coordinator ensured the safety of residents and staff through planned infection prevention (IP) and antimicrobial stewardship (AMS) programmes that were appropriate to the size and complexity of the service. An experienced and trained infection control coordinator leads the programme.</w:t>
      </w:r>
    </w:p>
    <w:p w14:paraId="70566DFE" w14:textId="77777777" w:rsidR="00FD1EF2" w:rsidRPr="00A4268A" w:rsidRDefault="00000000">
      <w:pPr>
        <w:spacing w:before="240" w:line="276" w:lineRule="auto"/>
        <w:rPr>
          <w:rFonts w:eastAsia="Calibri"/>
        </w:rPr>
      </w:pPr>
      <w:r w:rsidRPr="00A4268A">
        <w:rPr>
          <w:rFonts w:eastAsia="Calibri"/>
        </w:rPr>
        <w:t>The infection control coordinator participated in procurement processes, any facility changes, and processes related to decontamination of any reusable devices.</w:t>
      </w:r>
    </w:p>
    <w:p w14:paraId="3EC69F10" w14:textId="77777777" w:rsidR="00FD1EF2"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4D0F0F7" w14:textId="77777777" w:rsidR="00FD1EF2" w:rsidRPr="00A4268A" w:rsidRDefault="00000000">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3EB930DC" w14:textId="77777777" w:rsidR="00FD1EF2"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managed. There were safe and effective laundry services.</w:t>
      </w:r>
    </w:p>
    <w:bookmarkEnd w:id="18"/>
    <w:p w14:paraId="61944ECC" w14:textId="77777777" w:rsidR="00FD1EF2" w:rsidRPr="00A4268A" w:rsidRDefault="00FD1EF2">
      <w:pPr>
        <w:spacing w:before="240" w:line="276" w:lineRule="auto"/>
        <w:rPr>
          <w:rFonts w:eastAsia="Calibri"/>
        </w:rPr>
      </w:pPr>
    </w:p>
    <w:p w14:paraId="119FD103" w14:textId="77777777" w:rsidR="00000000" w:rsidRDefault="00000000" w:rsidP="000E6E02">
      <w:pPr>
        <w:pStyle w:val="Heading2"/>
        <w:spacing w:before="0"/>
        <w:rPr>
          <w:rFonts w:cs="Arial"/>
        </w:rPr>
      </w:pPr>
      <w:r w:rsidRPr="00FB778F">
        <w:rPr>
          <w:rFonts w:cs="Arial"/>
        </w:rPr>
        <w:t>Here taratahi │ Restraint and seclusion</w:t>
      </w:r>
    </w:p>
    <w:p w14:paraId="5F257F2A" w14:textId="77777777" w:rsidR="00000000" w:rsidRDefault="00000000">
      <w:pPr>
        <w:spacing w:before="240" w:line="276" w:lineRule="auto"/>
        <w:rPr>
          <w:rFonts w:eastAsia="Calibri"/>
        </w:rPr>
      </w:pPr>
      <w:bookmarkStart w:id="19" w:name="InfectionPreventionAndControl"/>
      <w:r w:rsidRPr="00A4268A">
        <w:rPr>
          <w:rFonts w:eastAsia="Calibri"/>
        </w:rPr>
        <w:t>The service is a restraint-free environment. This is supported by the organisation’s policies and procedures. There were no residents observed to be using restraint at the time of audit. A comprehensive assessment, approval and monitoring process, with regular reviews, is in place should restraint use be required in the future.</w:t>
      </w:r>
    </w:p>
    <w:p w14:paraId="3C8C4819" w14:textId="77777777" w:rsidR="00FD1EF2" w:rsidRPr="00A4268A" w:rsidRDefault="00000000">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least restrictive practice, de-escalation techniques, alternative interventions to restraint, and restraint monitoring.</w:t>
      </w:r>
    </w:p>
    <w:bookmarkEnd w:id="19"/>
    <w:p w14:paraId="6CB6B8C0" w14:textId="77777777" w:rsidR="00FD1EF2" w:rsidRPr="00A4268A" w:rsidRDefault="00FD1EF2">
      <w:pPr>
        <w:spacing w:before="240" w:line="276" w:lineRule="auto"/>
        <w:rPr>
          <w:rFonts w:eastAsia="Calibri"/>
        </w:rPr>
      </w:pPr>
    </w:p>
    <w:p w14:paraId="38DA9D81" w14:textId="77777777" w:rsidR="00000000" w:rsidRDefault="00000000" w:rsidP="000E6E02">
      <w:pPr>
        <w:pStyle w:val="Heading2"/>
        <w:spacing w:before="0"/>
        <w:rPr>
          <w:rFonts w:cs="Arial"/>
        </w:rPr>
      </w:pPr>
      <w:r>
        <w:rPr>
          <w:rFonts w:cs="Arial"/>
        </w:rPr>
        <w:t>Summary of attainment</w:t>
      </w:r>
    </w:p>
    <w:p w14:paraId="35D92C2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D1EF2" w14:paraId="45D7DC61" w14:textId="77777777">
        <w:tc>
          <w:tcPr>
            <w:tcW w:w="1384" w:type="dxa"/>
            <w:vAlign w:val="center"/>
          </w:tcPr>
          <w:p w14:paraId="678019F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717A0A" w14:textId="77777777" w:rsidR="00000000" w:rsidRDefault="00000000">
            <w:pPr>
              <w:keepNext/>
              <w:spacing w:before="60" w:after="60"/>
              <w:jc w:val="center"/>
              <w:rPr>
                <w:rFonts w:cs="Arial"/>
                <w:b/>
                <w:sz w:val="20"/>
                <w:szCs w:val="20"/>
              </w:rPr>
            </w:pPr>
            <w:r>
              <w:rPr>
                <w:rFonts w:cs="Arial"/>
                <w:b/>
                <w:sz w:val="20"/>
                <w:szCs w:val="20"/>
              </w:rPr>
              <w:t>Continuous Improvement</w:t>
            </w:r>
          </w:p>
          <w:p w14:paraId="7463B2E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FD2A5D4" w14:textId="77777777" w:rsidR="00000000" w:rsidRDefault="00000000">
            <w:pPr>
              <w:keepNext/>
              <w:spacing w:before="60" w:after="60"/>
              <w:jc w:val="center"/>
              <w:rPr>
                <w:rFonts w:cs="Arial"/>
                <w:b/>
                <w:sz w:val="20"/>
                <w:szCs w:val="20"/>
              </w:rPr>
            </w:pPr>
            <w:r>
              <w:rPr>
                <w:rFonts w:cs="Arial"/>
                <w:b/>
                <w:sz w:val="20"/>
                <w:szCs w:val="20"/>
              </w:rPr>
              <w:t>Fully Attained</w:t>
            </w:r>
          </w:p>
          <w:p w14:paraId="3F30772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15700E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1CAAEE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7A4BFF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6653DB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4FDB7A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47A51A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39BA6B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558CBD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A9205B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EF270A2" w14:textId="77777777" w:rsidR="00000000" w:rsidRDefault="00000000">
            <w:pPr>
              <w:keepNext/>
              <w:spacing w:before="60" w:after="60"/>
              <w:jc w:val="center"/>
              <w:rPr>
                <w:rFonts w:cs="Arial"/>
                <w:b/>
                <w:sz w:val="20"/>
                <w:szCs w:val="20"/>
              </w:rPr>
            </w:pPr>
            <w:r>
              <w:rPr>
                <w:rFonts w:cs="Arial"/>
                <w:b/>
                <w:sz w:val="20"/>
                <w:szCs w:val="20"/>
              </w:rPr>
              <w:t>(PA Critical)</w:t>
            </w:r>
          </w:p>
        </w:tc>
      </w:tr>
      <w:tr w:rsidR="00FD1EF2" w14:paraId="19FA5729" w14:textId="77777777">
        <w:tc>
          <w:tcPr>
            <w:tcW w:w="1384" w:type="dxa"/>
            <w:vAlign w:val="center"/>
          </w:tcPr>
          <w:p w14:paraId="052E53C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519BCA"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ED276B1"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23</w:t>
            </w:r>
            <w:bookmarkEnd w:id="21"/>
          </w:p>
        </w:tc>
        <w:tc>
          <w:tcPr>
            <w:tcW w:w="1843" w:type="dxa"/>
            <w:vAlign w:val="center"/>
          </w:tcPr>
          <w:p w14:paraId="0B2023C5"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B08EA45"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501051A0"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1D184B02"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1</w:t>
            </w:r>
            <w:bookmarkEnd w:id="25"/>
          </w:p>
        </w:tc>
        <w:tc>
          <w:tcPr>
            <w:tcW w:w="1843" w:type="dxa"/>
            <w:vAlign w:val="center"/>
          </w:tcPr>
          <w:p w14:paraId="48024413"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D1EF2" w14:paraId="2E772C91" w14:textId="77777777">
        <w:tc>
          <w:tcPr>
            <w:tcW w:w="1384" w:type="dxa"/>
            <w:vAlign w:val="center"/>
          </w:tcPr>
          <w:p w14:paraId="33EE739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DD574CB"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60EE8322"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162</w:t>
            </w:r>
            <w:bookmarkEnd w:id="28"/>
          </w:p>
        </w:tc>
        <w:tc>
          <w:tcPr>
            <w:tcW w:w="1843" w:type="dxa"/>
            <w:vAlign w:val="center"/>
          </w:tcPr>
          <w:p w14:paraId="3929A511"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DAE3E5E"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709B50AC"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2</w:t>
            </w:r>
            <w:bookmarkEnd w:id="31"/>
          </w:p>
        </w:tc>
        <w:tc>
          <w:tcPr>
            <w:tcW w:w="1843" w:type="dxa"/>
            <w:vAlign w:val="center"/>
          </w:tcPr>
          <w:p w14:paraId="1172BCFD"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1</w:t>
            </w:r>
            <w:bookmarkEnd w:id="32"/>
          </w:p>
        </w:tc>
        <w:tc>
          <w:tcPr>
            <w:tcW w:w="1843" w:type="dxa"/>
            <w:vAlign w:val="center"/>
          </w:tcPr>
          <w:p w14:paraId="79C8FBF7"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CF577A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D1EF2" w14:paraId="6CE0DE9C" w14:textId="77777777">
        <w:tc>
          <w:tcPr>
            <w:tcW w:w="1384" w:type="dxa"/>
            <w:vAlign w:val="center"/>
          </w:tcPr>
          <w:p w14:paraId="5FFB948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17F24D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5B42AD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BDD17F5" w14:textId="77777777" w:rsidR="00000000" w:rsidRDefault="00000000">
            <w:pPr>
              <w:keepNext/>
              <w:spacing w:before="60" w:after="60"/>
              <w:jc w:val="center"/>
              <w:rPr>
                <w:rFonts w:cs="Arial"/>
                <w:b/>
                <w:sz w:val="20"/>
                <w:szCs w:val="20"/>
              </w:rPr>
            </w:pPr>
            <w:r>
              <w:rPr>
                <w:rFonts w:cs="Arial"/>
                <w:b/>
                <w:sz w:val="20"/>
                <w:szCs w:val="20"/>
              </w:rPr>
              <w:t>Unattained Low Risk</w:t>
            </w:r>
          </w:p>
          <w:p w14:paraId="2BECEA4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AE431DB" w14:textId="77777777" w:rsidR="00000000" w:rsidRDefault="00000000">
            <w:pPr>
              <w:keepNext/>
              <w:spacing w:before="60" w:after="60"/>
              <w:jc w:val="center"/>
              <w:rPr>
                <w:rFonts w:cs="Arial"/>
                <w:b/>
                <w:sz w:val="20"/>
                <w:szCs w:val="20"/>
              </w:rPr>
            </w:pPr>
            <w:r>
              <w:rPr>
                <w:rFonts w:cs="Arial"/>
                <w:b/>
                <w:sz w:val="20"/>
                <w:szCs w:val="20"/>
              </w:rPr>
              <w:t>Unattained Moderate Risk</w:t>
            </w:r>
          </w:p>
          <w:p w14:paraId="5F5981C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7D40291" w14:textId="77777777" w:rsidR="00000000" w:rsidRDefault="00000000">
            <w:pPr>
              <w:keepNext/>
              <w:spacing w:before="60" w:after="60"/>
              <w:jc w:val="center"/>
              <w:rPr>
                <w:rFonts w:cs="Arial"/>
                <w:b/>
                <w:sz w:val="20"/>
                <w:szCs w:val="20"/>
              </w:rPr>
            </w:pPr>
            <w:r>
              <w:rPr>
                <w:rFonts w:cs="Arial"/>
                <w:b/>
                <w:sz w:val="20"/>
                <w:szCs w:val="20"/>
              </w:rPr>
              <w:t>Unattained High Risk</w:t>
            </w:r>
          </w:p>
          <w:p w14:paraId="6B73174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9516EF0" w14:textId="77777777" w:rsidR="00000000" w:rsidRDefault="00000000">
            <w:pPr>
              <w:keepNext/>
              <w:spacing w:before="60" w:after="60"/>
              <w:jc w:val="center"/>
              <w:rPr>
                <w:rFonts w:cs="Arial"/>
                <w:b/>
                <w:sz w:val="20"/>
                <w:szCs w:val="20"/>
              </w:rPr>
            </w:pPr>
            <w:r>
              <w:rPr>
                <w:rFonts w:cs="Arial"/>
                <w:b/>
                <w:sz w:val="20"/>
                <w:szCs w:val="20"/>
              </w:rPr>
              <w:t>Unattained Critical Risk</w:t>
            </w:r>
          </w:p>
          <w:p w14:paraId="0419CD2D" w14:textId="77777777" w:rsidR="00000000" w:rsidRDefault="00000000">
            <w:pPr>
              <w:keepNext/>
              <w:spacing w:before="60" w:after="60"/>
              <w:jc w:val="center"/>
              <w:rPr>
                <w:rFonts w:cs="Arial"/>
                <w:b/>
                <w:sz w:val="20"/>
                <w:szCs w:val="20"/>
              </w:rPr>
            </w:pPr>
            <w:r>
              <w:rPr>
                <w:rFonts w:cs="Arial"/>
                <w:b/>
                <w:sz w:val="20"/>
                <w:szCs w:val="20"/>
              </w:rPr>
              <w:t>(UA Critical)</w:t>
            </w:r>
          </w:p>
        </w:tc>
      </w:tr>
      <w:tr w:rsidR="00FD1EF2" w14:paraId="695E56A2" w14:textId="77777777">
        <w:tc>
          <w:tcPr>
            <w:tcW w:w="1384" w:type="dxa"/>
            <w:vAlign w:val="center"/>
          </w:tcPr>
          <w:p w14:paraId="09C8E76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B62476F"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45B788C"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42C32DB"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EA7C489"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52BB8D3"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D1EF2" w14:paraId="11890D70" w14:textId="77777777">
        <w:tc>
          <w:tcPr>
            <w:tcW w:w="1384" w:type="dxa"/>
            <w:vAlign w:val="center"/>
          </w:tcPr>
          <w:p w14:paraId="632E78D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DEB0D7"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232EEB0"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6FBB3D2"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12E6FFC"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D8AD137"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1D54F1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47F12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FC6B0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FA27BA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FD1EF2" w14:paraId="24A60E9E" w14:textId="77777777">
        <w:tc>
          <w:tcPr>
            <w:tcW w:w="0" w:type="auto"/>
          </w:tcPr>
          <w:p w14:paraId="576E918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7D1DC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015EF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D1EF2" w14:paraId="4DE66AB5" w14:textId="77777777">
        <w:tc>
          <w:tcPr>
            <w:tcW w:w="0" w:type="auto"/>
          </w:tcPr>
          <w:p w14:paraId="118B7C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F3F56D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BF2F01D" w14:textId="77777777" w:rsidR="00000000" w:rsidRPr="00BE00C7" w:rsidRDefault="00000000" w:rsidP="00BE00C7">
            <w:pPr>
              <w:pStyle w:val="OutcomeDescription"/>
              <w:spacing w:before="120" w:after="120"/>
              <w:rPr>
                <w:rFonts w:cs="Arial"/>
                <w:lang w:eastAsia="en-NZ"/>
              </w:rPr>
            </w:pPr>
          </w:p>
        </w:tc>
        <w:tc>
          <w:tcPr>
            <w:tcW w:w="0" w:type="auto"/>
          </w:tcPr>
          <w:p w14:paraId="21F24D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A6F1B9" w14:textId="77777777" w:rsidR="00000000" w:rsidRPr="00BE00C7" w:rsidRDefault="00000000" w:rsidP="00BE00C7">
            <w:pPr>
              <w:pStyle w:val="OutcomeDescription"/>
              <w:spacing w:before="120" w:after="120"/>
              <w:rPr>
                <w:rFonts w:cs="Arial"/>
                <w:lang w:eastAsia="en-NZ"/>
              </w:rPr>
            </w:pPr>
            <w:r w:rsidRPr="00BE00C7">
              <w:rPr>
                <w:rFonts w:cs="Arial"/>
                <w:lang w:eastAsia="en-NZ"/>
              </w:rPr>
              <w:t>Annie Brydon Complex – Te Mahana Rest Home (Te Mahana) provides an environment that supports residents’ rights and culturally safe care. There was a health plan in place that was specifically directed at Māori, with a culturally appropriate model of care to guide culturally safe services.</w:t>
            </w:r>
          </w:p>
          <w:p w14:paraId="0A9427FE" w14:textId="77777777" w:rsidR="00000000" w:rsidRPr="00BE00C7" w:rsidRDefault="00000000" w:rsidP="00BE00C7">
            <w:pPr>
              <w:pStyle w:val="OutcomeDescription"/>
              <w:spacing w:before="120" w:after="120"/>
              <w:rPr>
                <w:rFonts w:cs="Arial"/>
                <w:lang w:eastAsia="en-NZ"/>
              </w:rPr>
            </w:pPr>
            <w:r w:rsidRPr="00BE00C7">
              <w:rPr>
                <w:rFonts w:cs="Arial"/>
                <w:lang w:eastAsia="en-NZ"/>
              </w:rPr>
              <w:t>Te Mahana works collaboratively with internal and external Māori supports to encourage a Māori world view of health in service delivery. At the time of audit, there were staff and residents in the service who identified as Māori. Māori were provided with equitable and effective services based on Te Tiriti o Waitangi and the principles of mana motuhake (self-determination), and this was confirmed by residents and whānau interviewed. Te Mahana can access support for Māori through a kaumatua who visits regularly and through a Kaumātua group affiliated to two local maraes (Pariroa and Wai-o-Turi Marae).</w:t>
            </w:r>
          </w:p>
          <w:p w14:paraId="70CEF052" w14:textId="77777777" w:rsidR="00000000" w:rsidRPr="00BE00C7" w:rsidRDefault="00000000" w:rsidP="00BE00C7">
            <w:pPr>
              <w:pStyle w:val="OutcomeDescription"/>
              <w:spacing w:before="120" w:after="120"/>
              <w:rPr>
                <w:rFonts w:cs="Arial"/>
                <w:lang w:eastAsia="en-NZ"/>
              </w:rPr>
            </w:pPr>
          </w:p>
        </w:tc>
      </w:tr>
      <w:tr w:rsidR="00FD1EF2" w14:paraId="6F481B12" w14:textId="77777777">
        <w:tc>
          <w:tcPr>
            <w:tcW w:w="0" w:type="auto"/>
          </w:tcPr>
          <w:p w14:paraId="1B9871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2435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CC8E17" w14:textId="77777777" w:rsidR="00000000" w:rsidRPr="00BE00C7" w:rsidRDefault="00000000" w:rsidP="00BE00C7">
            <w:pPr>
              <w:pStyle w:val="OutcomeDescription"/>
              <w:spacing w:before="120" w:after="120"/>
              <w:rPr>
                <w:rFonts w:cs="Arial"/>
                <w:lang w:eastAsia="en-NZ"/>
              </w:rPr>
            </w:pPr>
          </w:p>
        </w:tc>
        <w:tc>
          <w:tcPr>
            <w:tcW w:w="0" w:type="auto"/>
          </w:tcPr>
          <w:p w14:paraId="3E73C9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18F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Mahana has a Pacific health plan, based on Ola Manuia, which describes how the organisation will respond to the cultural and spiritual needs of Pasifika residents. The plan documents care </w:t>
            </w:r>
            <w:r w:rsidRPr="00BE00C7">
              <w:rPr>
                <w:rFonts w:cs="Arial"/>
                <w:lang w:eastAsia="en-NZ"/>
              </w:rPr>
              <w:lastRenderedPageBreak/>
              <w:t>requirements for Pacific peoples to ensure equitable and culturally appropriate services and has a culturally appropriate model of care (Fonofale) to guide culturally safe services. While there were no residents who identified as Pasifika in the facility during the audit, the service can access Pasifika communities through TOA (Treasuring Older Adults) Pacific Inc. and the Aiga Carers Network.</w:t>
            </w:r>
          </w:p>
          <w:p w14:paraId="074675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supports increasing Pasifika capacity by employing more Pasifika staff members across differing levels of the organisation as vacancies and applications for employment permit. Ethnicity data is gathered when staff are employed, and this data is analysed at management level. There were no staff who identified as Pasifika in the service.</w:t>
            </w:r>
          </w:p>
          <w:p w14:paraId="3514853C" w14:textId="77777777" w:rsidR="00000000" w:rsidRPr="00BE00C7" w:rsidRDefault="00000000" w:rsidP="00BE00C7">
            <w:pPr>
              <w:pStyle w:val="OutcomeDescription"/>
              <w:spacing w:before="120" w:after="120"/>
              <w:rPr>
                <w:rFonts w:cs="Arial"/>
                <w:lang w:eastAsia="en-NZ"/>
              </w:rPr>
            </w:pPr>
          </w:p>
        </w:tc>
      </w:tr>
      <w:tr w:rsidR="00FD1EF2" w14:paraId="13E7551F" w14:textId="77777777">
        <w:tc>
          <w:tcPr>
            <w:tcW w:w="0" w:type="auto"/>
          </w:tcPr>
          <w:p w14:paraId="3C437E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450ED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BC89F4" w14:textId="77777777" w:rsidR="00000000" w:rsidRPr="00BE00C7" w:rsidRDefault="00000000" w:rsidP="00BE00C7">
            <w:pPr>
              <w:pStyle w:val="OutcomeDescription"/>
              <w:spacing w:before="120" w:after="120"/>
              <w:rPr>
                <w:rFonts w:cs="Arial"/>
                <w:lang w:eastAsia="en-NZ"/>
              </w:rPr>
            </w:pPr>
          </w:p>
        </w:tc>
        <w:tc>
          <w:tcPr>
            <w:tcW w:w="0" w:type="auto"/>
          </w:tcPr>
          <w:p w14:paraId="6F0534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CA4A0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Training on the Code was provided to staff by the staff of the Health and Disability Commission Advocacy Service (Advocacy Service) in June 2023. A further training session is booked for August 2024.</w:t>
            </w:r>
          </w:p>
          <w:p w14:paraId="2C876BB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Advocacy Service and were provided with opportunities to discuss and clarify their rights. The Code was displayed in English, te reo Māori and New Zealand Sign Language (NZSL) at the facility entrance, with additional brochures accessible if required. The residents’ information pack, provided on admission, includes information on the Code.</w:t>
            </w:r>
          </w:p>
          <w:p w14:paraId="623C8F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were familiar with the Code, and aware of their obligations in relation to the Code.</w:t>
            </w:r>
          </w:p>
          <w:p w14:paraId="57FCAF8B" w14:textId="444EC18B" w:rsidR="00000000" w:rsidRPr="00BE00C7" w:rsidRDefault="00000000" w:rsidP="00BE00C7">
            <w:pPr>
              <w:pStyle w:val="OutcomeDescription"/>
              <w:spacing w:before="120" w:after="120"/>
              <w:rPr>
                <w:rFonts w:cs="Arial"/>
                <w:lang w:eastAsia="en-NZ"/>
              </w:rPr>
            </w:pPr>
            <w:r w:rsidRPr="00BE00C7">
              <w:rPr>
                <w:rFonts w:cs="Arial"/>
                <w:lang w:eastAsia="en-NZ"/>
              </w:rPr>
              <w:t>The rights of residents in the service, and the directors' obligations in that respect, will not be impacted by the change of legal entity of the company.</w:t>
            </w:r>
          </w:p>
        </w:tc>
      </w:tr>
      <w:tr w:rsidR="00FD1EF2" w14:paraId="3B8582BB" w14:textId="77777777">
        <w:tc>
          <w:tcPr>
            <w:tcW w:w="0" w:type="auto"/>
          </w:tcPr>
          <w:p w14:paraId="2CB92F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76A8A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D5167D0" w14:textId="77777777" w:rsidR="00000000" w:rsidRPr="00BE00C7" w:rsidRDefault="00000000" w:rsidP="00BE00C7">
            <w:pPr>
              <w:pStyle w:val="OutcomeDescription"/>
              <w:spacing w:before="120" w:after="120"/>
              <w:rPr>
                <w:rFonts w:cs="Arial"/>
                <w:lang w:eastAsia="en-NZ"/>
              </w:rPr>
            </w:pPr>
          </w:p>
        </w:tc>
        <w:tc>
          <w:tcPr>
            <w:tcW w:w="0" w:type="auto"/>
          </w:tcPr>
          <w:p w14:paraId="270859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5798ED" w14:textId="77777777" w:rsidR="00000000" w:rsidRPr="00BE00C7" w:rsidRDefault="00000000" w:rsidP="00BE00C7">
            <w:pPr>
              <w:pStyle w:val="OutcomeDescription"/>
              <w:spacing w:before="120" w:after="120"/>
              <w:rPr>
                <w:rFonts w:cs="Arial"/>
                <w:lang w:eastAsia="en-NZ"/>
              </w:rPr>
            </w:pPr>
            <w:r w:rsidRPr="00BE00C7">
              <w:rPr>
                <w:rFonts w:cs="Arial"/>
                <w:lang w:eastAsia="en-NZ"/>
              </w:rPr>
              <w:t>Te Mahana supported residents in a way that was inclusive and respected their identity and experiences. Residents and whānau, including tāngata whaikaha, confirmed that they received services in a manner that had regard for their dignity, gender, privacy, sexual orientation, spirituality and choices.</w:t>
            </w:r>
          </w:p>
          <w:p w14:paraId="6992726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All residents have a private room.</w:t>
            </w:r>
          </w:p>
          <w:p w14:paraId="323C6729"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Several staff identified as Māori and spoke te reo Māori, as did several residents. Staff have undertaken training in Te Tiriti o Waitangi and understood the principles and how to apply these in their daily work.</w:t>
            </w:r>
          </w:p>
          <w:p w14:paraId="524E66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24B1292E" w14:textId="77777777" w:rsidR="00000000" w:rsidRPr="00BE00C7" w:rsidRDefault="00000000" w:rsidP="00BE00C7">
            <w:pPr>
              <w:pStyle w:val="OutcomeDescription"/>
              <w:spacing w:before="120" w:after="120"/>
              <w:rPr>
                <w:rFonts w:cs="Arial"/>
                <w:lang w:eastAsia="en-NZ"/>
              </w:rPr>
            </w:pPr>
          </w:p>
        </w:tc>
      </w:tr>
      <w:tr w:rsidR="00FD1EF2" w14:paraId="533A104B" w14:textId="77777777">
        <w:tc>
          <w:tcPr>
            <w:tcW w:w="0" w:type="auto"/>
          </w:tcPr>
          <w:p w14:paraId="0BF522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63AE3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C355C8B" w14:textId="77777777" w:rsidR="00000000" w:rsidRPr="00BE00C7" w:rsidRDefault="00000000" w:rsidP="00BE00C7">
            <w:pPr>
              <w:pStyle w:val="OutcomeDescription"/>
              <w:spacing w:before="120" w:after="120"/>
              <w:rPr>
                <w:rFonts w:cs="Arial"/>
                <w:lang w:eastAsia="en-NZ"/>
              </w:rPr>
            </w:pPr>
          </w:p>
        </w:tc>
        <w:tc>
          <w:tcPr>
            <w:tcW w:w="0" w:type="auto"/>
          </w:tcPr>
          <w:p w14:paraId="162C14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0F718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There were no examples of discrimination, coercion or harassment identified during the audit through staff and/or resident or whānau interviews, or in documentation reviewed.</w:t>
            </w:r>
          </w:p>
          <w:p w14:paraId="4F82CD5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w:t>
            </w:r>
          </w:p>
          <w:p w14:paraId="680D3EA7"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to raise any concerns in relation to institutional and systemic racism, and that any concerns would be acted upon. A strengths-based and holistic model of care was evident and included use of Te Whare Tapa Whā model of care.</w:t>
            </w:r>
          </w:p>
          <w:p w14:paraId="5F296CA6" w14:textId="77777777" w:rsidR="00000000" w:rsidRPr="00BE00C7" w:rsidRDefault="00000000" w:rsidP="00BE00C7">
            <w:pPr>
              <w:pStyle w:val="OutcomeDescription"/>
              <w:spacing w:before="120" w:after="120"/>
              <w:rPr>
                <w:rFonts w:cs="Arial"/>
                <w:lang w:eastAsia="en-NZ"/>
              </w:rPr>
            </w:pPr>
          </w:p>
        </w:tc>
      </w:tr>
      <w:tr w:rsidR="00FD1EF2" w14:paraId="00B7BF20" w14:textId="77777777">
        <w:tc>
          <w:tcPr>
            <w:tcW w:w="0" w:type="auto"/>
          </w:tcPr>
          <w:p w14:paraId="758FED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DA97C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A24493D" w14:textId="77777777" w:rsidR="00000000" w:rsidRPr="00BE00C7" w:rsidRDefault="00000000" w:rsidP="00BE00C7">
            <w:pPr>
              <w:pStyle w:val="OutcomeDescription"/>
              <w:spacing w:before="120" w:after="120"/>
              <w:rPr>
                <w:rFonts w:cs="Arial"/>
                <w:lang w:eastAsia="en-NZ"/>
              </w:rPr>
            </w:pPr>
          </w:p>
        </w:tc>
        <w:tc>
          <w:tcPr>
            <w:tcW w:w="0" w:type="auto"/>
          </w:tcPr>
          <w:p w14:paraId="3D1A8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E40B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t>
            </w:r>
            <w:r w:rsidRPr="00BE00C7">
              <w:rPr>
                <w:rFonts w:cs="Arial"/>
                <w:lang w:eastAsia="en-NZ"/>
              </w:rPr>
              <w:lastRenderedPageBreak/>
              <w:t>were communicated to whānau in a timely manner. Where other agencies participated in care, communication had occurred.</w:t>
            </w:r>
          </w:p>
          <w:p w14:paraId="1395B82C"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were evident following adverse events and during management of any complaints.</w:t>
            </w:r>
          </w:p>
          <w:p w14:paraId="71C7365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027C96F4" w14:textId="77777777" w:rsidR="00000000" w:rsidRPr="00BE00C7" w:rsidRDefault="00000000" w:rsidP="00BE00C7">
            <w:pPr>
              <w:pStyle w:val="OutcomeDescription"/>
              <w:spacing w:before="120" w:after="120"/>
              <w:rPr>
                <w:rFonts w:cs="Arial"/>
                <w:lang w:eastAsia="en-NZ"/>
              </w:rPr>
            </w:pPr>
          </w:p>
        </w:tc>
      </w:tr>
      <w:tr w:rsidR="00FD1EF2" w14:paraId="06BB71FC" w14:textId="77777777">
        <w:tc>
          <w:tcPr>
            <w:tcW w:w="0" w:type="auto"/>
          </w:tcPr>
          <w:p w14:paraId="242BCF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FCDA7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FAB2CDD" w14:textId="77777777" w:rsidR="00000000" w:rsidRPr="00BE00C7" w:rsidRDefault="00000000" w:rsidP="00BE00C7">
            <w:pPr>
              <w:pStyle w:val="OutcomeDescription"/>
              <w:spacing w:before="120" w:after="120"/>
              <w:rPr>
                <w:rFonts w:cs="Arial"/>
                <w:lang w:eastAsia="en-NZ"/>
              </w:rPr>
            </w:pPr>
          </w:p>
        </w:tc>
        <w:tc>
          <w:tcPr>
            <w:tcW w:w="0" w:type="auto"/>
          </w:tcPr>
          <w:p w14:paraId="74E504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DA85C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w:t>
            </w:r>
          </w:p>
          <w:p w14:paraId="2A49F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Care staff interviewed understood the principles and practice of informed consent, supported by policies in accordance with the Code and in line with tikanga guidelines.</w:t>
            </w:r>
          </w:p>
          <w:p w14:paraId="72409B48"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All resident files reviewed had an advance directive and resuscitation requests documented.</w:t>
            </w:r>
          </w:p>
          <w:p w14:paraId="33921850" w14:textId="77777777" w:rsidR="00000000" w:rsidRPr="00BE00C7" w:rsidRDefault="00000000" w:rsidP="00BE00C7">
            <w:pPr>
              <w:pStyle w:val="OutcomeDescription"/>
              <w:spacing w:before="120" w:after="120"/>
              <w:rPr>
                <w:rFonts w:cs="Arial"/>
                <w:lang w:eastAsia="en-NZ"/>
              </w:rPr>
            </w:pPr>
          </w:p>
        </w:tc>
      </w:tr>
      <w:tr w:rsidR="00FD1EF2" w14:paraId="0261E3AB" w14:textId="77777777">
        <w:tc>
          <w:tcPr>
            <w:tcW w:w="0" w:type="auto"/>
          </w:tcPr>
          <w:p w14:paraId="601077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2C5A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CF8FD9" w14:textId="77777777" w:rsidR="00000000" w:rsidRPr="00BE00C7" w:rsidRDefault="00000000" w:rsidP="00BE00C7">
            <w:pPr>
              <w:pStyle w:val="OutcomeDescription"/>
              <w:spacing w:before="120" w:after="120"/>
              <w:rPr>
                <w:rFonts w:cs="Arial"/>
                <w:lang w:eastAsia="en-NZ"/>
              </w:rPr>
            </w:pPr>
          </w:p>
        </w:tc>
        <w:tc>
          <w:tcPr>
            <w:tcW w:w="0" w:type="auto"/>
          </w:tcPr>
          <w:p w14:paraId="0FCE2E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C7C2B6"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Information on complaints and the complaints process was available to residents, along with information on advocacy options available to them. Residents and whānau interviewed understood their right to make a complaint and knew how to do so.</w:t>
            </w:r>
          </w:p>
          <w:p w14:paraId="5185C4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for two complaints received in the last 12 months showed that the complaints had been addressed in a timely manner and that the complainants had been informed of the outcome of their complaint. There have been no complaints from Māori in the service, but there are processes in place to ensure complaints from Māori are managed in a culturally appropriate way </w:t>
            </w:r>
            <w:r w:rsidRPr="00BE00C7">
              <w:rPr>
                <w:rFonts w:cs="Arial"/>
                <w:lang w:eastAsia="en-NZ"/>
              </w:rPr>
              <w:lastRenderedPageBreak/>
              <w:t>(e.g., through the use of culturally appropriate support, hui, and tikanga practices specific to the resident or the complainant).</w:t>
            </w:r>
          </w:p>
          <w:p w14:paraId="13E213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63139C59" w14:textId="77777777" w:rsidR="00000000" w:rsidRPr="00BE00C7" w:rsidRDefault="00000000" w:rsidP="00BE00C7">
            <w:pPr>
              <w:pStyle w:val="OutcomeDescription"/>
              <w:spacing w:before="120" w:after="120"/>
              <w:rPr>
                <w:rFonts w:cs="Arial"/>
                <w:lang w:eastAsia="en-NZ"/>
              </w:rPr>
            </w:pPr>
          </w:p>
        </w:tc>
      </w:tr>
      <w:tr w:rsidR="00FD1EF2" w14:paraId="69302C8A" w14:textId="77777777">
        <w:tc>
          <w:tcPr>
            <w:tcW w:w="0" w:type="auto"/>
          </w:tcPr>
          <w:p w14:paraId="0067C8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88C44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2C53BC" w14:textId="77777777" w:rsidR="00000000" w:rsidRPr="00BE00C7" w:rsidRDefault="00000000" w:rsidP="00BE00C7">
            <w:pPr>
              <w:pStyle w:val="OutcomeDescription"/>
              <w:spacing w:before="120" w:after="120"/>
              <w:rPr>
                <w:rFonts w:cs="Arial"/>
                <w:lang w:eastAsia="en-NZ"/>
              </w:rPr>
            </w:pPr>
          </w:p>
        </w:tc>
        <w:tc>
          <w:tcPr>
            <w:tcW w:w="0" w:type="auto"/>
          </w:tcPr>
          <w:p w14:paraId="479525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FC0B7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assume accountability for delivering services to the residents at Te Mahana with one of the directors acting as the manager of the service with the support of the other director and a registered nurse. The service monitors changes to legislative and clinical requirements through membership of the Chamber of Commerce and the New Zealand Aged-Care Association, as well as through Government feeds.</w:t>
            </w:r>
          </w:p>
          <w:p w14:paraId="5F3CFB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Māori representation in the service via residents and staff; however, Māori do not have substantive input into organisational policies and procedures (refer criterion 2.1.9). The land and buildings are owned by a local trust and leased to the directors of Te Mahana. This has not changed since the name of Te Mahana was changed from Annie Brydon Complex Limited to Te Mahana Limited. Te Mahana was, in the past, affiliated to the Annie Brydon Complex Limited, but it now stands alone, hence the change of legal entity of the company.</w:t>
            </w:r>
          </w:p>
          <w:p w14:paraId="419A3FCA" w14:textId="77777777" w:rsidR="00000000" w:rsidRPr="00BE00C7" w:rsidRDefault="00000000" w:rsidP="00BE00C7">
            <w:pPr>
              <w:pStyle w:val="OutcomeDescription"/>
              <w:spacing w:before="120" w:after="120"/>
              <w:rPr>
                <w:rFonts w:cs="Arial"/>
                <w:lang w:eastAsia="en-NZ"/>
              </w:rPr>
            </w:pPr>
            <w:r w:rsidRPr="00BE00C7">
              <w:rPr>
                <w:rFonts w:cs="Arial"/>
                <w:lang w:eastAsia="en-NZ"/>
              </w:rPr>
              <w:t>Equity for Māori, Pasifika and tāngata whaikaha is addressed through the policy documentation, and enabled through choice and control over supports and the removal of barriers that prevent access to information (e.g., bilingual signage and information in other languages for the Code of Rights, advocacy services, and infection prevention and control). Te Mahana promotes appropriate models of care specific to residents’ cultural needs, including for Māori and Pasifika.</w:t>
            </w:r>
          </w:p>
          <w:p w14:paraId="558E10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is appropriate to the size and complexity of the organisation; however, there is little clinical supervision in the service due to the difficulty in recruiting registered nurse (RNs) in the local area (refer criterion 2.3.1). The RN cover that is in place is an experienced and suitably qualified person. Apart from securing the services of an RN working hours appropriate for the service, </w:t>
            </w:r>
            <w:r w:rsidRPr="00BE00C7">
              <w:rPr>
                <w:rFonts w:cs="Arial"/>
                <w:lang w:eastAsia="en-NZ"/>
              </w:rPr>
              <w:lastRenderedPageBreak/>
              <w:t>there will be no change to personnel as a result of the legal entity of the company running the facility.</w:t>
            </w:r>
          </w:p>
          <w:p w14:paraId="460EB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performance occurs through regular reporting at planned intervals. A commitment to the quality and risk management system was evident. The directors attend Te Mahana and are onsite most weekdays. They confirmed that they felt well informed on progress and risks.</w:t>
            </w:r>
          </w:p>
          <w:p w14:paraId="3EA8504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quality data collection (e.g., adverse events, complaints, infections, antibiotic use, internal audits, and restraint use) are aggregated and corrective actions completed where deficits are identified. A sample of facility reports and graphs showed adequate information to monitor performance is reported.</w:t>
            </w:r>
          </w:p>
          <w:p w14:paraId="5A1D146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Residents hold meetings, and there was evidence of discussion and documented response to matters raised from residents in meeting minutes sighted. Residents’ satisfaction surveys and general resident meetings showed a high level of satisfaction with the services provided. Residents and whānau interviewed also reported a very high level of satisfaction when interviewed.</w:t>
            </w:r>
          </w:p>
          <w:p w14:paraId="28A588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currently holds contracts with Te Whatu Ora – Health New Zealand for age-related residential care (ARRC) at rest home level; this includes contracts for long-term support-chronic health conditions (LTS-CHC), respite, and day respite services. Nineteen (19) residents were receiving ARRC services at the time of audit: there were also two boarders who were not included in this audit process (21 residents in total). There were no residents receiving services under the LTS-CHC, or rest home respite contract. Three people attended intermittently for day care respite.</w:t>
            </w:r>
          </w:p>
          <w:p w14:paraId="71807C5F" w14:textId="77777777" w:rsidR="00000000" w:rsidRPr="00BE00C7" w:rsidRDefault="00000000" w:rsidP="00BE00C7">
            <w:pPr>
              <w:pStyle w:val="OutcomeDescription"/>
              <w:spacing w:before="120" w:after="120"/>
              <w:rPr>
                <w:rFonts w:cs="Arial"/>
                <w:lang w:eastAsia="en-NZ"/>
              </w:rPr>
            </w:pPr>
          </w:p>
        </w:tc>
      </w:tr>
      <w:tr w:rsidR="00FD1EF2" w14:paraId="1D585C0B" w14:textId="77777777">
        <w:tc>
          <w:tcPr>
            <w:tcW w:w="0" w:type="auto"/>
          </w:tcPr>
          <w:p w14:paraId="78299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6E8D1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lastRenderedPageBreak/>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F33CFA" w14:textId="77777777" w:rsidR="00000000" w:rsidRPr="00BE00C7" w:rsidRDefault="00000000" w:rsidP="00BE00C7">
            <w:pPr>
              <w:pStyle w:val="OutcomeDescription"/>
              <w:spacing w:before="120" w:after="120"/>
              <w:rPr>
                <w:rFonts w:cs="Arial"/>
                <w:lang w:eastAsia="en-NZ"/>
              </w:rPr>
            </w:pPr>
          </w:p>
        </w:tc>
        <w:tc>
          <w:tcPr>
            <w:tcW w:w="0" w:type="auto"/>
          </w:tcPr>
          <w:p w14:paraId="4F770A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D5F0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adverse events (including the monitoring of hazards and clinical incidents, for example, falls, pressure injuries, </w:t>
            </w:r>
            <w:r w:rsidRPr="00BE00C7">
              <w:rPr>
                <w:rFonts w:cs="Arial"/>
                <w:lang w:eastAsia="en-NZ"/>
              </w:rPr>
              <w:lastRenderedPageBreak/>
              <w:t>infections, wounds, and medication errors), audit activities, compliments and complaints, resident feedback from meetings and the satisfaction survey, and policies and procedures. Staff document adverse and near miss events in line with the National Adverse Events Reporting Policy. Relevant corrective actions are developed and implemented to address any shortfalls.</w:t>
            </w:r>
          </w:p>
          <w:p w14:paraId="3E7CE53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are completed with corrective action identified and addressed. Medication management is part of the audit cycle but, due to timing, it did not pick up the lack of monitoring of medication room and refrigeration temperatures. Staff reported that they generally did monitor room and refrigerator temperatures and were able to describe the processes for monitoring and the required temperature range, but the book that was in use for monitoring these had gone missing (refer criterion 3.4.2).</w:t>
            </w:r>
          </w:p>
          <w:p w14:paraId="5873616D"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five incident forms reviewed (one pressure injury (PI), three falls, one behaviour that challenged) showed these were fully completed, incidents were investigated, action plans were developed, and any corrective actions followed up in a timely manner. Residents who had unwitnessed falls, or witnessed falls with a ‘head knock’, had neurological observations completed.</w:t>
            </w:r>
          </w:p>
          <w:p w14:paraId="5D6D6DA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contractual requirements and were current. Critical analysis of organisational practices to improve health equity is occurring, with appropriate follow-up and reporting. A Māori health plan guides care for Māori.</w:t>
            </w:r>
          </w:p>
          <w:p w14:paraId="4A13D4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understood and have complied with essential notification reporting requirements. One Section 31 notification has been made to Manatū Hauora in the last 12 months, related to RN availability in the service (refer criterion 2.3.1). The directors are aware of the changes in the reporting structure, with pressure injury (PI) notifications now being directed to Te Tatū Hauora - the Health Quality and Safety Commission (HQSC). No notifications have been made to HQSC.</w:t>
            </w:r>
          </w:p>
          <w:p w14:paraId="7B1CDD07" w14:textId="73712499" w:rsidR="00000000" w:rsidRPr="00BE00C7" w:rsidRDefault="00000000" w:rsidP="00BE00C7">
            <w:pPr>
              <w:pStyle w:val="OutcomeDescription"/>
              <w:spacing w:before="120" w:after="120"/>
              <w:rPr>
                <w:rFonts w:cs="Arial"/>
                <w:lang w:eastAsia="en-NZ"/>
              </w:rPr>
            </w:pPr>
            <w:r w:rsidRPr="00BE00C7">
              <w:rPr>
                <w:rFonts w:cs="Arial"/>
                <w:lang w:eastAsia="en-NZ"/>
              </w:rPr>
              <w:t>The quality and risk system will not be impacted by the change of legal entity of the company.</w:t>
            </w:r>
          </w:p>
        </w:tc>
      </w:tr>
      <w:tr w:rsidR="00FD1EF2" w14:paraId="2B7D9129" w14:textId="77777777">
        <w:tc>
          <w:tcPr>
            <w:tcW w:w="0" w:type="auto"/>
          </w:tcPr>
          <w:p w14:paraId="61CFC7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1C81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A1DB42" w14:textId="77777777" w:rsidR="00000000" w:rsidRPr="00BE00C7" w:rsidRDefault="00000000" w:rsidP="00BE00C7">
            <w:pPr>
              <w:pStyle w:val="OutcomeDescription"/>
              <w:spacing w:before="120" w:after="120"/>
              <w:rPr>
                <w:rFonts w:cs="Arial"/>
                <w:lang w:eastAsia="en-NZ"/>
              </w:rPr>
            </w:pPr>
          </w:p>
        </w:tc>
        <w:tc>
          <w:tcPr>
            <w:tcW w:w="0" w:type="auto"/>
          </w:tcPr>
          <w:p w14:paraId="4F6523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61F46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for determining staffing levels and skill mixes to provide culturally and clinically safe care, 24 hours a day, seven days a week (24/7). The facility adjusts staffing levels to meet the changing needs of residents. However, RN unavailability means that, while the cultural needs of residents can be met, there are insufficient RN hours available to the facility to ensure clinically safe services (refer criterion 2.3.1). If RN input is required after hours, this is supplied by telephone the by RN currently working in the service. If direct resident care is required after hours, this is accessed through the paramedics in the local ambulance service and/or the local hospital. Facility on-call is covered by the directors of the facility. There have been no changes to staffing following the change of legal entity of the company.</w:t>
            </w:r>
          </w:p>
          <w:p w14:paraId="28D551AC"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(MDT) approach ensures residents’ needs are met. Those providing care reported there were adequate staff to complete the work allocated to them. Residents and whānau interviewed supported this. At least one staff member on duty has a current first aid certificate.</w:t>
            </w:r>
          </w:p>
          <w:p w14:paraId="1AAAF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2B87A4B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outlines mandatory requirements, including education relevant to the care of Māori, Pasifika, and tāngata whaikaha. Related competencies are assessed and support equitable service delivery, except for medication competencies (refer criterion 3.4.3). Care staff have access to a New Zealand Qualification Authority (NZQA) education programme. Records reviewed demonstrated that, with the exception of medication competencies (refer criterion 3.4.3), the required training and competency assessments were completed.</w:t>
            </w:r>
          </w:p>
          <w:p w14:paraId="0DC745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education.</w:t>
            </w:r>
          </w:p>
          <w:p w14:paraId="70A600E7" w14:textId="5D245B85"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tc>
      </w:tr>
      <w:tr w:rsidR="00FD1EF2" w14:paraId="1273BDE5" w14:textId="77777777">
        <w:tc>
          <w:tcPr>
            <w:tcW w:w="0" w:type="auto"/>
          </w:tcPr>
          <w:p w14:paraId="0B3693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7C3C6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CB12AE9" w14:textId="77777777" w:rsidR="00000000" w:rsidRPr="00BE00C7" w:rsidRDefault="00000000" w:rsidP="00BE00C7">
            <w:pPr>
              <w:pStyle w:val="OutcomeDescription"/>
              <w:spacing w:before="120" w:after="120"/>
              <w:rPr>
                <w:rFonts w:cs="Arial"/>
                <w:lang w:eastAsia="en-NZ"/>
              </w:rPr>
            </w:pPr>
          </w:p>
        </w:tc>
        <w:tc>
          <w:tcPr>
            <w:tcW w:w="0" w:type="auto"/>
          </w:tcPr>
          <w:p w14:paraId="73C7F4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8FE93A0"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generally based on good employment practice and relevant legislation, but do not include police vetting (refer criterion 2.4.1). Except for police vetting, a sample of staff records reviewed confirmed the organisation’s policies are being consistently implemented.</w:t>
            </w:r>
          </w:p>
          <w:p w14:paraId="397254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721E3B6E"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are validated prior to employment. Thereafter, a register of annual practising certificates (APCs) is maintained for the RN and associated health contractors (a general practitioner (GP), three pharmacists, a podiatrist, and a dietitian).</w:t>
            </w:r>
          </w:p>
          <w:p w14:paraId="0CDAD6A3"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seven staff records were reviewed. The files evidenced implementation of the recruitment process (except for police vetting), the provision of employment contracts, reference checking, and visa checking (if applicable). Not all staff had completed the requirements for induction and orientation (refer criterion 2.4.4).</w:t>
            </w:r>
          </w:p>
          <w:p w14:paraId="4268DF7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had been reviewed and discussed with staff at regular intervals; this was confirmed through documentation sighted and interviews with staff. Staff reported that they have input into the performance appraisal process, and that they can set their own goals.</w:t>
            </w:r>
          </w:p>
          <w:p w14:paraId="4C50BCA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 Staff information is secure and accessible only to those authorised to use it.</w:t>
            </w:r>
          </w:p>
          <w:p w14:paraId="506335C1"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w:t>
            </w:r>
          </w:p>
          <w:p w14:paraId="0911FF17" w14:textId="77777777" w:rsidR="00000000" w:rsidRPr="00BE00C7" w:rsidRDefault="00000000" w:rsidP="00BE00C7">
            <w:pPr>
              <w:pStyle w:val="OutcomeDescription"/>
              <w:spacing w:before="120" w:after="120"/>
              <w:rPr>
                <w:rFonts w:cs="Arial"/>
                <w:lang w:eastAsia="en-NZ"/>
              </w:rPr>
            </w:pPr>
          </w:p>
        </w:tc>
      </w:tr>
      <w:tr w:rsidR="00FD1EF2" w14:paraId="28D34FA1" w14:textId="77777777">
        <w:tc>
          <w:tcPr>
            <w:tcW w:w="0" w:type="auto"/>
          </w:tcPr>
          <w:p w14:paraId="7D48B7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9C519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95FD23B" w14:textId="77777777" w:rsidR="00000000" w:rsidRPr="00BE00C7" w:rsidRDefault="00000000" w:rsidP="00BE00C7">
            <w:pPr>
              <w:pStyle w:val="OutcomeDescription"/>
              <w:spacing w:before="120" w:after="120"/>
              <w:rPr>
                <w:rFonts w:cs="Arial"/>
                <w:lang w:eastAsia="en-NZ"/>
              </w:rPr>
            </w:pPr>
          </w:p>
        </w:tc>
        <w:tc>
          <w:tcPr>
            <w:tcW w:w="0" w:type="auto"/>
          </w:tcPr>
          <w:p w14:paraId="7C1103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C38FBF" w14:textId="77777777" w:rsidR="00000000" w:rsidRPr="00BE00C7" w:rsidRDefault="00000000" w:rsidP="00BE00C7">
            <w:pPr>
              <w:pStyle w:val="OutcomeDescription"/>
              <w:spacing w:before="120" w:after="120"/>
              <w:rPr>
                <w:rFonts w:cs="Arial"/>
                <w:lang w:eastAsia="en-NZ"/>
              </w:rPr>
            </w:pPr>
            <w:r w:rsidRPr="00BE00C7">
              <w:rPr>
                <w:rFonts w:cs="Arial"/>
                <w:lang w:eastAsia="en-NZ"/>
              </w:rPr>
              <w:t>Te Mahana maintained quality records that complied with relevant legislation, health information standards and professional guidelines. Resident and staff files are paper based.</w:t>
            </w:r>
          </w:p>
          <w:p w14:paraId="706E6EC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Consent was sighted for data collection. Data collected included ethnicity data. Clinical notes were current, integrated and legible, and met current documentation standards. Information is accessible for all those who need it. Files are held securely for the required period before being destroyed. No personal or private resident information was on public display during the audit.</w:t>
            </w:r>
          </w:p>
          <w:p w14:paraId="579C7A58" w14:textId="77777777" w:rsidR="00000000" w:rsidRPr="00BE00C7" w:rsidRDefault="00000000" w:rsidP="00BE00C7">
            <w:pPr>
              <w:pStyle w:val="OutcomeDescription"/>
              <w:spacing w:before="120" w:after="120"/>
              <w:rPr>
                <w:rFonts w:cs="Arial"/>
                <w:lang w:eastAsia="en-NZ"/>
              </w:rPr>
            </w:pPr>
            <w:r w:rsidRPr="00BE00C7">
              <w:rPr>
                <w:rFonts w:cs="Arial"/>
                <w:lang w:eastAsia="en-NZ"/>
              </w:rPr>
              <w:t>Te Mahana is not responsible for the National Health Index registration of people receiving services.</w:t>
            </w:r>
          </w:p>
          <w:p w14:paraId="290E68B2" w14:textId="77777777" w:rsidR="00000000" w:rsidRPr="00BE00C7" w:rsidRDefault="00000000" w:rsidP="00BE00C7">
            <w:pPr>
              <w:pStyle w:val="OutcomeDescription"/>
              <w:spacing w:before="120" w:after="120"/>
              <w:rPr>
                <w:rFonts w:cs="Arial"/>
                <w:lang w:eastAsia="en-NZ"/>
              </w:rPr>
            </w:pPr>
          </w:p>
        </w:tc>
      </w:tr>
      <w:tr w:rsidR="00FD1EF2" w14:paraId="6F7A7FB3" w14:textId="77777777">
        <w:tc>
          <w:tcPr>
            <w:tcW w:w="0" w:type="auto"/>
          </w:tcPr>
          <w:p w14:paraId="4DA29A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211A1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96E3F2A" w14:textId="77777777" w:rsidR="00000000" w:rsidRPr="00BE00C7" w:rsidRDefault="00000000" w:rsidP="00BE00C7">
            <w:pPr>
              <w:pStyle w:val="OutcomeDescription"/>
              <w:spacing w:before="120" w:after="120"/>
              <w:rPr>
                <w:rFonts w:cs="Arial"/>
                <w:lang w:eastAsia="en-NZ"/>
              </w:rPr>
            </w:pPr>
          </w:p>
        </w:tc>
        <w:tc>
          <w:tcPr>
            <w:tcW w:w="0" w:type="auto"/>
          </w:tcPr>
          <w:p w14:paraId="0579EB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5129E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Whānau interviewed were satisfied with the admission process and the information that had been made available to them on admission.</w:t>
            </w:r>
          </w:p>
          <w:p w14:paraId="11C12F0E"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was declined entry, there were processes in place for communicating the decision. Related data was documented and analysed, including entry and decline rates for Māori.</w:t>
            </w:r>
          </w:p>
          <w:p w14:paraId="3B36D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the local Māori community and organisations and supports Māori and their whānau when entering the service.</w:t>
            </w:r>
          </w:p>
          <w:p w14:paraId="431749E4" w14:textId="77777777" w:rsidR="00000000" w:rsidRPr="00BE00C7" w:rsidRDefault="00000000" w:rsidP="00BE00C7">
            <w:pPr>
              <w:pStyle w:val="OutcomeDescription"/>
              <w:spacing w:before="120" w:after="120"/>
              <w:rPr>
                <w:rFonts w:cs="Arial"/>
                <w:lang w:eastAsia="en-NZ"/>
              </w:rPr>
            </w:pPr>
          </w:p>
        </w:tc>
      </w:tr>
      <w:tr w:rsidR="00FD1EF2" w14:paraId="4735B350" w14:textId="77777777">
        <w:tc>
          <w:tcPr>
            <w:tcW w:w="0" w:type="auto"/>
          </w:tcPr>
          <w:p w14:paraId="4981E7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7ADDF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46DB8D9" w14:textId="77777777" w:rsidR="00000000" w:rsidRPr="00BE00C7" w:rsidRDefault="00000000" w:rsidP="00BE00C7">
            <w:pPr>
              <w:pStyle w:val="OutcomeDescription"/>
              <w:spacing w:before="120" w:after="120"/>
              <w:rPr>
                <w:rFonts w:cs="Arial"/>
                <w:lang w:eastAsia="en-NZ"/>
              </w:rPr>
            </w:pPr>
          </w:p>
        </w:tc>
        <w:tc>
          <w:tcPr>
            <w:tcW w:w="0" w:type="auto"/>
          </w:tcPr>
          <w:p w14:paraId="005906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4C89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the RN following a </w:t>
            </w:r>
            <w:r w:rsidRPr="00BE00C7">
              <w:rPr>
                <w:rFonts w:cs="Arial"/>
                <w:lang w:eastAsia="en-NZ"/>
              </w:rPr>
              <w:lastRenderedPageBreak/>
              <w:t>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w:t>
            </w:r>
          </w:p>
          <w:p w14:paraId="7D556CC5"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and included residents who identified as Māori, residents admitted with a pressure injury, residents with insulin-dependent and non-insulin-dependent diabetes, residents with congestive heart failure, and residents who had had a recent fall.</w:t>
            </w:r>
          </w:p>
          <w:p w14:paraId="513AB807"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GP assessment, initial care plan, long-term care plan and review timeframes meet contractual requirements. Staff understand and support Māori and whānau to identify their own pae ora outcomes in their care plan. Care plans at Te Mahana acknowledged in detail the individualised needs of each resident. Residents’ specific needs were well documented to enable residents to be provided with the care they would otherwise provide for themselves if they were able. Residents with diabetes were managed in accordance with best practice guidelines. Blood glucose monitoring occurred as requested by the GP. Potentials for high and low blood glucose levels were identified and symptoms to be alert for were documented. Wound care and strategies to minimise the risk of pressure injuries were in place. This was verified by sampling residents’ records, and from interviews with clinical staff, people receiving services and whānau.</w:t>
            </w:r>
          </w:p>
          <w:p w14:paraId="54B2C520"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32A6E1EB" w14:textId="5BCE60F0" w:rsidR="00000000" w:rsidRPr="00BE00C7" w:rsidRDefault="00000000" w:rsidP="009C6E1F">
            <w:pPr>
              <w:pStyle w:val="OutcomeDescription"/>
              <w:spacing w:before="120" w:after="120"/>
              <w:rPr>
                <w:rFonts w:cs="Arial"/>
                <w:lang w:eastAsia="en-NZ"/>
              </w:rPr>
            </w:pPr>
            <w:r w:rsidRPr="00BE00C7">
              <w:rPr>
                <w:rFonts w:cs="Arial"/>
                <w:lang w:eastAsia="en-NZ"/>
              </w:rPr>
              <w:t xml:space="preserve">Tāngata whaikaha participated in service development through ongoing discussion. Examples of choices and control over service delivery were discussed with staff, tāngata whaikaha and whānau. </w:t>
            </w:r>
            <w:r w:rsidRPr="00BE00C7">
              <w:rPr>
                <w:rFonts w:cs="Arial"/>
                <w:lang w:eastAsia="en-NZ"/>
              </w:rPr>
              <w:lastRenderedPageBreak/>
              <w:t>Tāngata whaikaha and whānau can independently access information.</w:t>
            </w:r>
          </w:p>
        </w:tc>
      </w:tr>
      <w:tr w:rsidR="00FD1EF2" w14:paraId="1F5162A3" w14:textId="77777777">
        <w:tc>
          <w:tcPr>
            <w:tcW w:w="0" w:type="auto"/>
          </w:tcPr>
          <w:p w14:paraId="722CCD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BDCD4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1D1FA04" w14:textId="77777777" w:rsidR="00000000" w:rsidRPr="00BE00C7" w:rsidRDefault="00000000" w:rsidP="00BE00C7">
            <w:pPr>
              <w:pStyle w:val="OutcomeDescription"/>
              <w:spacing w:before="120" w:after="120"/>
              <w:rPr>
                <w:rFonts w:cs="Arial"/>
                <w:lang w:eastAsia="en-NZ"/>
              </w:rPr>
            </w:pPr>
          </w:p>
        </w:tc>
        <w:tc>
          <w:tcPr>
            <w:tcW w:w="0" w:type="auto"/>
          </w:tcPr>
          <w:p w14:paraId="0F711D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7485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developed by the activity’s coordinator supported residents of Te Mahana to maintain and develop their interests and was suitable for their ages and stages of life.</w:t>
            </w:r>
          </w:p>
          <w:p w14:paraId="6E2D347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A kaumātua community group meets three days each week, and residents are supported to attend these meetings. Every month there is a community meal in Patea that residents attend and can catch up with locals and local whānau. A kohanga reo kindergarten group regularly comes to sing at Te Mahana and entertains the residents. A kaumatua visits the residents at Te Mahana every fortnight. Van outings occurred regularly and included visits to places of interest or attendance at local events.</w:t>
            </w:r>
          </w:p>
          <w:p w14:paraId="5742F12E"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and whānau interviews and the resident satisfaction survey. Survey results evidenced a high degree of satisfaction with the activities programme. Those interviewed confirmed they find the programme meets their needs.</w:t>
            </w:r>
          </w:p>
          <w:p w14:paraId="3E2B5464" w14:textId="77777777" w:rsidR="00000000" w:rsidRPr="00BE00C7" w:rsidRDefault="00000000" w:rsidP="00BE00C7">
            <w:pPr>
              <w:pStyle w:val="OutcomeDescription"/>
              <w:spacing w:before="120" w:after="120"/>
              <w:rPr>
                <w:rFonts w:cs="Arial"/>
                <w:lang w:eastAsia="en-NZ"/>
              </w:rPr>
            </w:pPr>
          </w:p>
        </w:tc>
      </w:tr>
      <w:tr w:rsidR="00FD1EF2" w14:paraId="4BFE816B" w14:textId="77777777">
        <w:tc>
          <w:tcPr>
            <w:tcW w:w="0" w:type="auto"/>
          </w:tcPr>
          <w:p w14:paraId="1041C6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66FD5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55FD5A" w14:textId="77777777" w:rsidR="00000000" w:rsidRPr="00BE00C7" w:rsidRDefault="00000000" w:rsidP="00BE00C7">
            <w:pPr>
              <w:pStyle w:val="OutcomeDescription"/>
              <w:spacing w:before="120" w:after="120"/>
              <w:rPr>
                <w:rFonts w:cs="Arial"/>
                <w:lang w:eastAsia="en-NZ"/>
              </w:rPr>
            </w:pPr>
          </w:p>
        </w:tc>
        <w:tc>
          <w:tcPr>
            <w:tcW w:w="0" w:type="auto"/>
          </w:tcPr>
          <w:p w14:paraId="3CE549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High</w:t>
            </w:r>
          </w:p>
        </w:tc>
        <w:tc>
          <w:tcPr>
            <w:tcW w:w="0" w:type="auto"/>
          </w:tcPr>
          <w:p w14:paraId="43418B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medication round was observed and  a system for medicine management using a hard copy paper system was, however, not observed on the day of audit (refer criterion 3.4.2). All staff who administer medicines were not evidenced to have been assessed as competent to perform the function they managed (refer criterion 3.4.3), including the staff member observed dispensing medications on the day. These areas require prompt corrective action.</w:t>
            </w:r>
          </w:p>
          <w:p w14:paraId="448797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 reconciliation occurred. All medications sighted were within current use-by dates.</w:t>
            </w:r>
          </w:p>
          <w:p w14:paraId="20DB2C3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securely, including controlled drugs. The required stock checks had been completed. Medicines were not evidenced to be stored within the recommended temperature range (refer criterion 3.4.2). This also requires to be addressed.</w:t>
            </w:r>
          </w:p>
          <w:p w14:paraId="133D30A0"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did not meet requirements, and this requires attention (refer criterion 3.4.). Medicine-related allergies or sensitivities were recorded, and any adverse events responded to appropriately. Over-the-counter medication and supplements are considered by the prescriber as part of the person’s medication. The required three-monthly GP review was consistently recorded; however, this was not on the medicine chart (refer criterion 3.4.2). Standing orders were not in use at Te Mahana.</w:t>
            </w:r>
          </w:p>
          <w:p w14:paraId="2D7F2565"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01CA612C" w14:textId="77777777" w:rsidR="00000000" w:rsidRPr="00BE00C7" w:rsidRDefault="00000000" w:rsidP="00BE00C7">
            <w:pPr>
              <w:pStyle w:val="OutcomeDescription"/>
              <w:spacing w:before="120" w:after="120"/>
              <w:rPr>
                <w:rFonts w:cs="Arial"/>
                <w:lang w:eastAsia="en-NZ"/>
              </w:rPr>
            </w:pPr>
          </w:p>
        </w:tc>
      </w:tr>
      <w:tr w:rsidR="00FD1EF2" w14:paraId="7D1A0A52" w14:textId="77777777">
        <w:tc>
          <w:tcPr>
            <w:tcW w:w="0" w:type="auto"/>
          </w:tcPr>
          <w:p w14:paraId="7DB7B4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B9C0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B711B4A" w14:textId="77777777" w:rsidR="00000000" w:rsidRPr="00BE00C7" w:rsidRDefault="00000000" w:rsidP="00BE00C7">
            <w:pPr>
              <w:pStyle w:val="OutcomeDescription"/>
              <w:spacing w:before="120" w:after="120"/>
              <w:rPr>
                <w:rFonts w:cs="Arial"/>
                <w:lang w:eastAsia="en-NZ"/>
              </w:rPr>
            </w:pPr>
          </w:p>
        </w:tc>
        <w:tc>
          <w:tcPr>
            <w:tcW w:w="0" w:type="auto"/>
          </w:tcPr>
          <w:p w14:paraId="3D30D8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EF63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being provided at Te Mahana was in line with recognised nutritional guidelines for people using the services. The menu had been reviewed by a qualified dietitian on 12 January 2023. Recommendations made at that time had been implemented.</w:t>
            </w:r>
          </w:p>
          <w:p w14:paraId="1BBE53A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The food control plan was verified for 18 months on 13 September 2023. One area required corrective action, around staff training records. This was addressed and the plan is due for review in March 2025.</w:t>
            </w:r>
          </w:p>
          <w:p w14:paraId="6F9D091C"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Māori and their whānau had menu options that were culturally specific to te ao Māori.</w:t>
            </w:r>
          </w:p>
          <w:p w14:paraId="76735B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Evidence of resident satisfaction with meals was verified by residents and whānau interviews, and satisfaction surveys. Residents were given sufficient time to eat their meals in an unhurried fashion, and those requiring assistance had this provided with dignity.</w:t>
            </w:r>
          </w:p>
          <w:p w14:paraId="4281800B" w14:textId="77777777" w:rsidR="00000000" w:rsidRPr="00BE00C7" w:rsidRDefault="00000000" w:rsidP="00BE00C7">
            <w:pPr>
              <w:pStyle w:val="OutcomeDescription"/>
              <w:spacing w:before="120" w:after="120"/>
              <w:rPr>
                <w:rFonts w:cs="Arial"/>
                <w:lang w:eastAsia="en-NZ"/>
              </w:rPr>
            </w:pPr>
          </w:p>
        </w:tc>
      </w:tr>
      <w:tr w:rsidR="00FD1EF2" w14:paraId="78052260" w14:textId="77777777">
        <w:tc>
          <w:tcPr>
            <w:tcW w:w="0" w:type="auto"/>
          </w:tcPr>
          <w:p w14:paraId="6B0AF4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E4B52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AB206FC" w14:textId="77777777" w:rsidR="00000000" w:rsidRPr="00BE00C7" w:rsidRDefault="00000000" w:rsidP="00BE00C7">
            <w:pPr>
              <w:pStyle w:val="OutcomeDescription"/>
              <w:spacing w:before="120" w:after="120"/>
              <w:rPr>
                <w:rFonts w:cs="Arial"/>
                <w:lang w:eastAsia="en-NZ"/>
              </w:rPr>
            </w:pPr>
          </w:p>
        </w:tc>
        <w:tc>
          <w:tcPr>
            <w:tcW w:w="0" w:type="auto"/>
          </w:tcPr>
          <w:p w14:paraId="2AC2C1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E9753"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Te Mahana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recent transfer of their relative.</w:t>
            </w:r>
          </w:p>
          <w:p w14:paraId="554FF8B5" w14:textId="77777777" w:rsidR="00000000" w:rsidRPr="00BE00C7" w:rsidRDefault="00000000" w:rsidP="00BE00C7">
            <w:pPr>
              <w:pStyle w:val="OutcomeDescription"/>
              <w:spacing w:before="120" w:after="120"/>
              <w:rPr>
                <w:rFonts w:cs="Arial"/>
                <w:lang w:eastAsia="en-NZ"/>
              </w:rPr>
            </w:pPr>
          </w:p>
        </w:tc>
      </w:tr>
      <w:tr w:rsidR="00FD1EF2" w14:paraId="550ECC23" w14:textId="77777777">
        <w:tc>
          <w:tcPr>
            <w:tcW w:w="0" w:type="auto"/>
          </w:tcPr>
          <w:p w14:paraId="7804A8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5D13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71940CF" w14:textId="77777777" w:rsidR="00000000" w:rsidRPr="00BE00C7" w:rsidRDefault="00000000" w:rsidP="00BE00C7">
            <w:pPr>
              <w:pStyle w:val="OutcomeDescription"/>
              <w:spacing w:before="120" w:after="120"/>
              <w:rPr>
                <w:rFonts w:cs="Arial"/>
                <w:lang w:eastAsia="en-NZ"/>
              </w:rPr>
            </w:pPr>
          </w:p>
        </w:tc>
        <w:tc>
          <w:tcPr>
            <w:tcW w:w="0" w:type="auto"/>
          </w:tcPr>
          <w:p w14:paraId="0ED7FA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A27411"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A planned maintenance schedule includes electrical testing and tagging, resident equipment checks, and calibrations of biomedical equipment. Monthly hot water tests are completed for resident areas; these were sighted and were all within normal limits.</w:t>
            </w:r>
          </w:p>
          <w:p w14:paraId="094B6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building warrant of fitness for the facility is displayed with an expiry date of 26 August 2024. The service currently has no plans for further building projects requiring consultation, but the directors were aware of the requirement to consult and co-design with Māori if this was envisaged, and it is unlikely that the owners of the land and buildings would agree to changes should this not take place. </w:t>
            </w:r>
          </w:p>
          <w:p w14:paraId="2BED3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homely, comfortable and accessible, promoting independence and safe mobility and minimising risk of harm. Residents were sighted relaxing in different areas around the </w:t>
            </w:r>
            <w:r w:rsidRPr="00BE00C7">
              <w:rPr>
                <w:rFonts w:cs="Arial"/>
                <w:lang w:eastAsia="en-NZ"/>
              </w:rPr>
              <w:lastRenderedPageBreak/>
              <w:t>home.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and toilet facilities throughout the facility; two of the rooms have ensuite facilities. There are external areas within the facility for leisure activities, with appropriate seating and shade.</w:t>
            </w:r>
          </w:p>
          <w:p w14:paraId="45C3EAF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Services and the environment will not be impacted by the change of legal entity of the company, no changes are planned.</w:t>
            </w:r>
          </w:p>
          <w:p w14:paraId="081930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natural light, privacy, and maintenance. Care staff interviewed confirmed they have adequate equipment to safely deliver care for residents.</w:t>
            </w:r>
          </w:p>
          <w:p w14:paraId="49622413" w14:textId="77777777" w:rsidR="00000000" w:rsidRPr="00BE00C7" w:rsidRDefault="00000000" w:rsidP="00BE00C7">
            <w:pPr>
              <w:pStyle w:val="OutcomeDescription"/>
              <w:spacing w:before="120" w:after="120"/>
              <w:rPr>
                <w:rFonts w:cs="Arial"/>
                <w:lang w:eastAsia="en-NZ"/>
              </w:rPr>
            </w:pPr>
          </w:p>
        </w:tc>
      </w:tr>
      <w:tr w:rsidR="00FD1EF2" w14:paraId="1F9A3136" w14:textId="77777777">
        <w:tc>
          <w:tcPr>
            <w:tcW w:w="0" w:type="auto"/>
          </w:tcPr>
          <w:p w14:paraId="33BA2F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8B8A6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CC1BE9" w14:textId="77777777" w:rsidR="00000000" w:rsidRPr="00BE00C7" w:rsidRDefault="00000000" w:rsidP="00BE00C7">
            <w:pPr>
              <w:pStyle w:val="OutcomeDescription"/>
              <w:spacing w:before="120" w:after="120"/>
              <w:rPr>
                <w:rFonts w:cs="Arial"/>
                <w:lang w:eastAsia="en-NZ"/>
              </w:rPr>
            </w:pPr>
          </w:p>
        </w:tc>
        <w:tc>
          <w:tcPr>
            <w:tcW w:w="0" w:type="auto"/>
          </w:tcPr>
          <w:p w14:paraId="675794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E44C2B"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17 May 2017.</w:t>
            </w:r>
          </w:p>
          <w:p w14:paraId="424ADBEC"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Staff were able to provide a level of first aid relevant to the risks for the type of service provided, and a first aid certified staff member was available 24/7.</w:t>
            </w:r>
          </w:p>
          <w:p w14:paraId="4CE3BF7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bathrooms and communal areas have appropriately situated call bells. Call bells alert staff to residents requiring assistance and residents and whānau reported staff respond promptly.</w:t>
            </w:r>
          </w:p>
          <w:p w14:paraId="78D1B1AD" w14:textId="7A897E7F"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 with emergency and security arrangements.</w:t>
            </w:r>
          </w:p>
        </w:tc>
      </w:tr>
      <w:tr w:rsidR="00FD1EF2" w14:paraId="308C5AED" w14:textId="77777777">
        <w:tc>
          <w:tcPr>
            <w:tcW w:w="0" w:type="auto"/>
          </w:tcPr>
          <w:p w14:paraId="795EA5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F08CA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5AF7D1" w14:textId="77777777" w:rsidR="00000000" w:rsidRPr="00BE00C7" w:rsidRDefault="00000000" w:rsidP="00BE00C7">
            <w:pPr>
              <w:pStyle w:val="OutcomeDescription"/>
              <w:spacing w:before="120" w:after="120"/>
              <w:rPr>
                <w:rFonts w:cs="Arial"/>
                <w:lang w:eastAsia="en-NZ"/>
              </w:rPr>
            </w:pPr>
          </w:p>
        </w:tc>
        <w:tc>
          <w:tcPr>
            <w:tcW w:w="0" w:type="auto"/>
          </w:tcPr>
          <w:p w14:paraId="6FE1F8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193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of Te Mahana have a suite of infection prevention (IP) and antimicrobial stewardship (AMS) policies outlined in policy documents. Policy documents are provided by a contracted specialist infection prevention and control provider. The infection prevention (IP) and antimicrobial stewardship (AMS) programmes are appropriate to the size and complexity of the service, link to the quality improvement system and are reviewed and reported on yearly. Expertise and advice are sought following a defined process. A documented pathway supports risk-based reporting of progress, issues and noteworthy events to the directors of the service.</w:t>
            </w:r>
          </w:p>
          <w:p w14:paraId="22A3F44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(IP) and AMS are being supported through clinically competent personnel who make sure that IP and AMS are being appropriately managed. Expertise and advice are available as required following a defined process, and this also includes escalation of significant events. Such events and trends are reported and managed. Data on infections and antimicrobial use includes ethnicity data to support equity in IP and AMS programmes.</w:t>
            </w:r>
          </w:p>
          <w:p w14:paraId="06DEDE93"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clinically indicated, clinical staff at Te Mahana can access expertise through the contracted specialist infection prevention and control provider, local Te Whatu Ora infection control specialists, and Regional Public Health.</w:t>
            </w:r>
          </w:p>
          <w:p w14:paraId="2F0D6945" w14:textId="77777777" w:rsidR="00000000" w:rsidRPr="00BE00C7" w:rsidRDefault="00000000" w:rsidP="00BE00C7">
            <w:pPr>
              <w:pStyle w:val="OutcomeDescription"/>
              <w:spacing w:before="120" w:after="120"/>
              <w:rPr>
                <w:rFonts w:cs="Arial"/>
                <w:lang w:eastAsia="en-NZ"/>
              </w:rPr>
            </w:pPr>
          </w:p>
        </w:tc>
      </w:tr>
      <w:tr w:rsidR="00FD1EF2" w14:paraId="183B7E9A" w14:textId="77777777">
        <w:tc>
          <w:tcPr>
            <w:tcW w:w="0" w:type="auto"/>
          </w:tcPr>
          <w:p w14:paraId="13890E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BF5FE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3926B7" w14:textId="77777777" w:rsidR="00000000" w:rsidRPr="00BE00C7" w:rsidRDefault="00000000" w:rsidP="00BE00C7">
            <w:pPr>
              <w:pStyle w:val="OutcomeDescription"/>
              <w:spacing w:before="120" w:after="120"/>
              <w:rPr>
                <w:rFonts w:cs="Arial"/>
                <w:lang w:eastAsia="en-NZ"/>
              </w:rPr>
            </w:pPr>
          </w:p>
        </w:tc>
        <w:tc>
          <w:tcPr>
            <w:tcW w:w="0" w:type="auto"/>
          </w:tcPr>
          <w:p w14:paraId="668F26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D15F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company’s directors and the infection prevention and control coordinator (IPCC) are responsible for overseeing and implementing the IP programme. The IPCC reports directly to the directors. The IPCC has appropriate skills, knowledge and qualifications for the role and confirmed access to the necessary resources and support. Their advice would be sought when making decisions around procurement relevant to care delivery, design of any new building, or facility changes. Policies used in the facility are from the contracted specialist infection prevention and control provider.</w:t>
            </w:r>
          </w:p>
          <w:p w14:paraId="274FF5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prevention and control policies reflect the requirements of the standard and are based on current accepted good practice. Cultural advice was accessed where appropriate.</w:t>
            </w:r>
          </w:p>
          <w:p w14:paraId="419CE71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were educated about infection prevention in a manner that met their needs. Educational resources were available in te reo Māori.</w:t>
            </w:r>
          </w:p>
          <w:p w14:paraId="3B595031"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was documented and had been regularly assessed. There were sufficient resources and personal protective equipment (PPE) available, and staff have been trained in its use.</w:t>
            </w:r>
          </w:p>
          <w:p w14:paraId="6C66398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28BA9038" w14:textId="77777777" w:rsidR="00000000" w:rsidRPr="00BE00C7" w:rsidRDefault="00000000" w:rsidP="00BE00C7">
            <w:pPr>
              <w:pStyle w:val="OutcomeDescription"/>
              <w:spacing w:before="120" w:after="120"/>
              <w:rPr>
                <w:rFonts w:cs="Arial"/>
                <w:lang w:eastAsia="en-NZ"/>
              </w:rPr>
            </w:pPr>
          </w:p>
        </w:tc>
      </w:tr>
      <w:tr w:rsidR="00FD1EF2" w14:paraId="5976D841" w14:textId="77777777">
        <w:tc>
          <w:tcPr>
            <w:tcW w:w="0" w:type="auto"/>
          </w:tcPr>
          <w:p w14:paraId="3D748D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B6AD9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D279059" w14:textId="77777777" w:rsidR="00000000" w:rsidRPr="00BE00C7" w:rsidRDefault="00000000" w:rsidP="00BE00C7">
            <w:pPr>
              <w:pStyle w:val="OutcomeDescription"/>
              <w:spacing w:before="120" w:after="120"/>
              <w:rPr>
                <w:rFonts w:cs="Arial"/>
                <w:lang w:eastAsia="en-NZ"/>
              </w:rPr>
            </w:pPr>
          </w:p>
        </w:tc>
        <w:tc>
          <w:tcPr>
            <w:tcW w:w="0" w:type="auto"/>
          </w:tcPr>
          <w:p w14:paraId="41D94F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C4BD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was appropriate for the size and complexity of the service and supported by policies and procedures. The effectiveness of the AMS programme is evaluated by monitoring antimicrobial use and identifying areas for improvement. Evidence was sighted of a reduction in antimicrobial usage over the past year.</w:t>
            </w:r>
          </w:p>
          <w:p w14:paraId="3EB8FAB5" w14:textId="77777777" w:rsidR="00000000" w:rsidRPr="00BE00C7" w:rsidRDefault="00000000" w:rsidP="00BE00C7">
            <w:pPr>
              <w:pStyle w:val="OutcomeDescription"/>
              <w:spacing w:before="120" w:after="120"/>
              <w:rPr>
                <w:rFonts w:cs="Arial"/>
                <w:lang w:eastAsia="en-NZ"/>
              </w:rPr>
            </w:pPr>
          </w:p>
        </w:tc>
      </w:tr>
      <w:tr w:rsidR="00FD1EF2" w14:paraId="6E25053A" w14:textId="77777777">
        <w:tc>
          <w:tcPr>
            <w:tcW w:w="0" w:type="auto"/>
          </w:tcPr>
          <w:p w14:paraId="3F5322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34D86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036E7D7" w14:textId="77777777" w:rsidR="00000000" w:rsidRPr="00BE00C7" w:rsidRDefault="00000000" w:rsidP="00BE00C7">
            <w:pPr>
              <w:pStyle w:val="OutcomeDescription"/>
              <w:spacing w:before="120" w:after="120"/>
              <w:rPr>
                <w:rFonts w:cs="Arial"/>
                <w:lang w:eastAsia="en-NZ"/>
              </w:rPr>
            </w:pPr>
          </w:p>
        </w:tc>
        <w:tc>
          <w:tcPr>
            <w:tcW w:w="0" w:type="auto"/>
          </w:tcPr>
          <w:p w14:paraId="5568DB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AF1B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w:t>
            </w:r>
            <w:r w:rsidRPr="00BE00C7">
              <w:rPr>
                <w:rFonts w:cs="Arial"/>
                <w:lang w:eastAsia="en-NZ"/>
              </w:rPr>
              <w:lastRenderedPageBreak/>
              <w:t>Results of the surveillance programme are shared with staff and the Directors. Surveillance data includes ethnicity data.</w:t>
            </w:r>
          </w:p>
          <w:p w14:paraId="02C9BC79"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was culturally safe.</w:t>
            </w:r>
          </w:p>
          <w:p w14:paraId="10502841" w14:textId="77777777" w:rsidR="00000000" w:rsidRPr="00BE00C7" w:rsidRDefault="00000000" w:rsidP="00BE00C7">
            <w:pPr>
              <w:pStyle w:val="OutcomeDescription"/>
              <w:spacing w:before="120" w:after="120"/>
              <w:rPr>
                <w:rFonts w:cs="Arial"/>
                <w:lang w:eastAsia="en-NZ"/>
              </w:rPr>
            </w:pPr>
          </w:p>
        </w:tc>
      </w:tr>
      <w:tr w:rsidR="00FD1EF2" w14:paraId="41E30285" w14:textId="77777777">
        <w:tc>
          <w:tcPr>
            <w:tcW w:w="0" w:type="auto"/>
          </w:tcPr>
          <w:p w14:paraId="1D467B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3EC95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633AE34" w14:textId="77777777" w:rsidR="00000000" w:rsidRPr="00BE00C7" w:rsidRDefault="00000000" w:rsidP="00BE00C7">
            <w:pPr>
              <w:pStyle w:val="OutcomeDescription"/>
              <w:spacing w:before="120" w:after="120"/>
              <w:rPr>
                <w:rFonts w:cs="Arial"/>
                <w:lang w:eastAsia="en-NZ"/>
              </w:rPr>
            </w:pPr>
          </w:p>
        </w:tc>
        <w:tc>
          <w:tcPr>
            <w:tcW w:w="0" w:type="auto"/>
          </w:tcPr>
          <w:p w14:paraId="57AECD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0A60A0"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supported prevention of infection and mitigation of transmission of antimicrobial-resistant organisms.</w:t>
            </w:r>
          </w:p>
          <w:p w14:paraId="7129B82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Infection prevention personnel have oversight of the environmental testing and monitoring programme. Staff involved have completed relevant training and were observed to perform duties safely. Chemicals were stored safely.</w:t>
            </w:r>
          </w:p>
          <w:p w14:paraId="688AD52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31205ED6" w14:textId="77777777" w:rsidR="00000000" w:rsidRPr="00BE00C7" w:rsidRDefault="00000000" w:rsidP="00BE00C7">
            <w:pPr>
              <w:pStyle w:val="OutcomeDescription"/>
              <w:spacing w:before="120" w:after="120"/>
              <w:rPr>
                <w:rFonts w:cs="Arial"/>
                <w:lang w:eastAsia="en-NZ"/>
              </w:rPr>
            </w:pPr>
          </w:p>
        </w:tc>
      </w:tr>
      <w:tr w:rsidR="00FD1EF2" w14:paraId="5C26E3FC" w14:textId="77777777">
        <w:tc>
          <w:tcPr>
            <w:tcW w:w="0" w:type="auto"/>
          </w:tcPr>
          <w:p w14:paraId="3CE48C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6FA37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3D02C1" w14:textId="77777777" w:rsidR="00000000" w:rsidRPr="00BE00C7" w:rsidRDefault="00000000" w:rsidP="00BE00C7">
            <w:pPr>
              <w:pStyle w:val="OutcomeDescription"/>
              <w:spacing w:before="120" w:after="120"/>
              <w:rPr>
                <w:rFonts w:cs="Arial"/>
                <w:lang w:eastAsia="en-NZ"/>
              </w:rPr>
            </w:pPr>
          </w:p>
        </w:tc>
        <w:tc>
          <w:tcPr>
            <w:tcW w:w="0" w:type="auto"/>
          </w:tcPr>
          <w:p w14:paraId="079F83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781FC1" w14:textId="77777777" w:rsidR="00000000" w:rsidRPr="00BE00C7" w:rsidRDefault="00000000" w:rsidP="00BE00C7">
            <w:pPr>
              <w:pStyle w:val="OutcomeDescription"/>
              <w:spacing w:before="120" w:after="120"/>
              <w:rPr>
                <w:rFonts w:cs="Arial"/>
                <w:lang w:eastAsia="en-NZ"/>
              </w:rPr>
            </w:pPr>
            <w:r w:rsidRPr="00BE00C7">
              <w:rPr>
                <w:rFonts w:cs="Arial"/>
                <w:lang w:eastAsia="en-NZ"/>
              </w:rPr>
              <w:t>Te Mahana is a restraint-free environment, and policies and procedures support restraint elimination. There were no residents observed to be using a restraint during the audit.</w:t>
            </w:r>
          </w:p>
          <w:p w14:paraId="5466F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(RC) is a defined role undertaken by a director of the service in consultation with the RN. If restraint was in use, the RN would provide support and oversight of restraint use. There is a job description that outlines the role, and the RC has had specific education around restraint and its use. The RC, in consultation with the Te Mahana multidisciplinary team, would be responsible for the approval of the use of restraint should this be required in the future; there are clear lines of accountability. For any decision to use or not use restraint, there is a process to involve the resident, the GP, and the resident’s EPOA and/or whānau as part of the decision-making process.</w:t>
            </w:r>
          </w:p>
          <w:p w14:paraId="0C2ED4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Restraint use is identified as part of the quality programme and reported as part of the quality management programme, even if restraint is not in use. There are strategies in place in the service to support the non-use of restraint, including staff interventions and an investment in equipment (e.g., through the use of ‘intentional rounding’ (scheduled resident checks), de-escalation strategies, high/low beds, and sensor equipment). Restraint is also considered during the individualised care planning process, with alternative interventions put into place if the resident is thought to be at risk. Restraint would only be considered when all other interventions have failed. There are processes in place for emergency restraint in policy should this be required.</w:t>
            </w:r>
          </w:p>
          <w:p w14:paraId="7B8B1D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orientation programme of the facility (refer criterion 2.4.4) and included in the education/training programme. Annual restraint competency is required for staff, and this has been completed. Staff had been trained in the management of behaviours that challenge, least restrictive practice, safe restraint practice, alternative cultural-specific interventions, de-escalation techniques, and restraint monitoring.</w:t>
            </w:r>
          </w:p>
          <w:p w14:paraId="2301D6E0"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restraint has never been used in the facility, subsections 6.2 and 6.3 have not been audited.</w:t>
            </w:r>
          </w:p>
          <w:p w14:paraId="189D0DCB" w14:textId="77777777" w:rsidR="00000000" w:rsidRPr="00BE00C7" w:rsidRDefault="00000000" w:rsidP="00BE00C7">
            <w:pPr>
              <w:pStyle w:val="OutcomeDescription"/>
              <w:spacing w:before="120" w:after="120"/>
              <w:rPr>
                <w:rFonts w:cs="Arial"/>
                <w:lang w:eastAsia="en-NZ"/>
              </w:rPr>
            </w:pPr>
          </w:p>
        </w:tc>
      </w:tr>
    </w:tbl>
    <w:p w14:paraId="5B052013"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6EAC5776" w14:textId="77777777" w:rsidR="00000000" w:rsidRDefault="00000000">
      <w:pPr>
        <w:pStyle w:val="Heading1"/>
        <w:rPr>
          <w:rFonts w:cs="Arial"/>
        </w:rPr>
      </w:pPr>
      <w:r>
        <w:rPr>
          <w:rFonts w:cs="Arial"/>
        </w:rPr>
        <w:lastRenderedPageBreak/>
        <w:t>Specific results for criterion where corrective actions are required</w:t>
      </w:r>
    </w:p>
    <w:p w14:paraId="64A42C8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94DD93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93E5F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297"/>
        <w:gridCol w:w="3942"/>
        <w:gridCol w:w="3080"/>
        <w:gridCol w:w="3080"/>
      </w:tblGrid>
      <w:tr w:rsidR="00FD1EF2" w14:paraId="12348A54" w14:textId="77777777">
        <w:tc>
          <w:tcPr>
            <w:tcW w:w="0" w:type="auto"/>
          </w:tcPr>
          <w:p w14:paraId="66E9B7F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F42DE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539DE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DD6A0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E3A6B5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D1EF2" w14:paraId="06F0ECFA" w14:textId="77777777">
        <w:tc>
          <w:tcPr>
            <w:tcW w:w="0" w:type="auto"/>
          </w:tcPr>
          <w:p w14:paraId="04AB61F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2.1.9</w:t>
            </w:r>
          </w:p>
          <w:p w14:paraId="3DD99247"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have meaningful Māori representation on relevant organisational boards, and these representatives shall have substantive input into organisational operational policies.</w:t>
            </w:r>
          </w:p>
        </w:tc>
        <w:tc>
          <w:tcPr>
            <w:tcW w:w="0" w:type="auto"/>
          </w:tcPr>
          <w:p w14:paraId="5ECD6FF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A4CCC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Māori representation in the service via residents and staff. The service is located in a predominately Māori community; however, Māori do not have substantive input into organisational policies and procedures.</w:t>
            </w:r>
          </w:p>
          <w:p w14:paraId="3F49EF9F" w14:textId="77777777" w:rsidR="00000000" w:rsidRPr="00BE00C7" w:rsidRDefault="00000000" w:rsidP="00BE00C7">
            <w:pPr>
              <w:pStyle w:val="OutcomeDescription"/>
              <w:spacing w:before="120" w:after="120"/>
              <w:rPr>
                <w:rFonts w:cs="Arial"/>
                <w:lang w:eastAsia="en-NZ"/>
              </w:rPr>
            </w:pPr>
          </w:p>
        </w:tc>
        <w:tc>
          <w:tcPr>
            <w:tcW w:w="0" w:type="auto"/>
          </w:tcPr>
          <w:p w14:paraId="127A71B1"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do not have substantive input into organisational policies and procedures.</w:t>
            </w:r>
          </w:p>
          <w:p w14:paraId="7E685F59" w14:textId="77777777" w:rsidR="00000000" w:rsidRPr="00BE00C7" w:rsidRDefault="00000000" w:rsidP="00BE00C7">
            <w:pPr>
              <w:pStyle w:val="OutcomeDescription"/>
              <w:spacing w:before="120" w:after="120"/>
              <w:rPr>
                <w:rFonts w:cs="Arial"/>
                <w:lang w:eastAsia="en-NZ"/>
              </w:rPr>
            </w:pPr>
          </w:p>
        </w:tc>
        <w:tc>
          <w:tcPr>
            <w:tcW w:w="0" w:type="auto"/>
          </w:tcPr>
          <w:p w14:paraId="051EE78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Māori have substantive input into organisational policies and procedures.</w:t>
            </w:r>
          </w:p>
          <w:p w14:paraId="0DA5B669" w14:textId="77777777" w:rsidR="00000000" w:rsidRPr="00BE00C7" w:rsidRDefault="00000000" w:rsidP="00BE00C7">
            <w:pPr>
              <w:pStyle w:val="OutcomeDescription"/>
              <w:spacing w:before="120" w:after="120"/>
              <w:rPr>
                <w:rFonts w:cs="Arial"/>
                <w:lang w:eastAsia="en-NZ"/>
              </w:rPr>
            </w:pPr>
          </w:p>
          <w:p w14:paraId="295397B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D1EF2" w14:paraId="2004768A" w14:textId="77777777">
        <w:tc>
          <w:tcPr>
            <w:tcW w:w="0" w:type="auto"/>
          </w:tcPr>
          <w:p w14:paraId="63BFF8F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56BE831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5B7795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AB61D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 unavailability means that there are insufficient RN hours allied to the service to meet the provider’s agreement with Te Whatu Ora. Currently the service only has (on average) seven hours of RN cover per week with the service primarily managed by the directors of the facility and caregivers. The RN attends the facility, but focuses </w:t>
            </w:r>
            <w:r w:rsidRPr="00BE00C7">
              <w:rPr>
                <w:rFonts w:cs="Arial"/>
                <w:lang w:eastAsia="en-NZ"/>
              </w:rPr>
              <w:lastRenderedPageBreak/>
              <w:t>primarily on interRAI assessment and care plans, as required or when the residents’ status changes. They are not involved in the initial assessment of each resident on admission, nor are they available to advise on care and administration of medication (refer criteria 3.4.2 and 3.4.3), possible side effects and reported errors/incidents, provide and supervise care; act as a resource person and fulfil an education role; monitor the competence of care staff to ensure safe practice (refer criteria 3.4.2 and 3.4.3), or advise management of the staff’s training needs, and in the development of policies and procedures.</w:t>
            </w:r>
          </w:p>
          <w:p w14:paraId="479961A0" w14:textId="77777777" w:rsidR="00000000" w:rsidRPr="00BE00C7" w:rsidRDefault="00000000" w:rsidP="00BE00C7">
            <w:pPr>
              <w:pStyle w:val="OutcomeDescription"/>
              <w:spacing w:before="120" w:after="120"/>
              <w:rPr>
                <w:rFonts w:cs="Arial"/>
                <w:lang w:eastAsia="en-NZ"/>
              </w:rPr>
            </w:pPr>
          </w:p>
        </w:tc>
        <w:tc>
          <w:tcPr>
            <w:tcW w:w="0" w:type="auto"/>
          </w:tcPr>
          <w:p w14:paraId="62430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insufficient RN hours in the service to meet the requirements of the provider’s contract with Te Whatu Ora.</w:t>
            </w:r>
          </w:p>
          <w:p w14:paraId="41592C21" w14:textId="77777777" w:rsidR="00000000" w:rsidRPr="00BE00C7" w:rsidRDefault="00000000" w:rsidP="00BE00C7">
            <w:pPr>
              <w:pStyle w:val="OutcomeDescription"/>
              <w:spacing w:before="120" w:after="120"/>
              <w:rPr>
                <w:rFonts w:cs="Arial"/>
                <w:lang w:eastAsia="en-NZ"/>
              </w:rPr>
            </w:pPr>
          </w:p>
        </w:tc>
        <w:tc>
          <w:tcPr>
            <w:tcW w:w="0" w:type="auto"/>
          </w:tcPr>
          <w:p w14:paraId="14FEB77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sufficient RN hours in the service to meet the requirements of the provider’s contract with Te Whatu Ora.</w:t>
            </w:r>
          </w:p>
          <w:p w14:paraId="0AD23DE2" w14:textId="77777777" w:rsidR="00000000" w:rsidRPr="00BE00C7" w:rsidRDefault="00000000" w:rsidP="00BE00C7">
            <w:pPr>
              <w:pStyle w:val="OutcomeDescription"/>
              <w:spacing w:before="120" w:after="120"/>
              <w:rPr>
                <w:rFonts w:cs="Arial"/>
                <w:lang w:eastAsia="en-NZ"/>
              </w:rPr>
            </w:pPr>
          </w:p>
          <w:p w14:paraId="3E9CCA2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D1EF2" w14:paraId="606F20DF" w14:textId="77777777">
        <w:tc>
          <w:tcPr>
            <w:tcW w:w="0" w:type="auto"/>
          </w:tcPr>
          <w:p w14:paraId="6644585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2.4.1</w:t>
            </w:r>
          </w:p>
          <w:p w14:paraId="66FDAAA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2C892A4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27BC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provision for police vetting is in line with good practice for staff working with potentially vulnerable adults. The facility processes required the police vetting of staff. Police vetting had taken place for two staff from the seven files reviewed. The directors of the service confirmed that police vetting was part of their recruitment of staff, but this had been missed due to management changes. The directors have undertaken to identify all staff who have not undergone police vetting and rectify this.</w:t>
            </w:r>
          </w:p>
          <w:p w14:paraId="0079A0D4" w14:textId="77777777" w:rsidR="00000000" w:rsidRPr="00BE00C7" w:rsidRDefault="00000000" w:rsidP="00BE00C7">
            <w:pPr>
              <w:pStyle w:val="OutcomeDescription"/>
              <w:spacing w:before="120" w:after="120"/>
              <w:rPr>
                <w:rFonts w:cs="Arial"/>
                <w:lang w:eastAsia="en-NZ"/>
              </w:rPr>
            </w:pPr>
          </w:p>
        </w:tc>
        <w:tc>
          <w:tcPr>
            <w:tcW w:w="0" w:type="auto"/>
          </w:tcPr>
          <w:p w14:paraId="551BA78D"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who enter the service have been police vetted.</w:t>
            </w:r>
          </w:p>
          <w:p w14:paraId="20F7B174" w14:textId="77777777" w:rsidR="00000000" w:rsidRPr="00BE00C7" w:rsidRDefault="00000000" w:rsidP="00BE00C7">
            <w:pPr>
              <w:pStyle w:val="OutcomeDescription"/>
              <w:spacing w:before="120" w:after="120"/>
              <w:rPr>
                <w:rFonts w:cs="Arial"/>
                <w:lang w:eastAsia="en-NZ"/>
              </w:rPr>
            </w:pPr>
          </w:p>
        </w:tc>
        <w:tc>
          <w:tcPr>
            <w:tcW w:w="0" w:type="auto"/>
          </w:tcPr>
          <w:p w14:paraId="595F7D4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who enter the service undergo police vetting.</w:t>
            </w:r>
          </w:p>
          <w:p w14:paraId="3F566B08" w14:textId="77777777" w:rsidR="00000000" w:rsidRPr="00BE00C7" w:rsidRDefault="00000000" w:rsidP="00BE00C7">
            <w:pPr>
              <w:pStyle w:val="OutcomeDescription"/>
              <w:spacing w:before="120" w:after="120"/>
              <w:rPr>
                <w:rFonts w:cs="Arial"/>
                <w:lang w:eastAsia="en-NZ"/>
              </w:rPr>
            </w:pPr>
          </w:p>
          <w:p w14:paraId="7154E20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D1EF2" w14:paraId="41176B07" w14:textId="77777777">
        <w:tc>
          <w:tcPr>
            <w:tcW w:w="0" w:type="auto"/>
          </w:tcPr>
          <w:p w14:paraId="224CE30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7AAF53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induction </w:t>
            </w:r>
            <w:r w:rsidRPr="00BE00C7">
              <w:rPr>
                <w:rFonts w:cs="Arial"/>
                <w:lang w:eastAsia="en-NZ"/>
              </w:rPr>
              <w:lastRenderedPageBreak/>
              <w:t>programme that covers the essential components of the service provided.</w:t>
            </w:r>
          </w:p>
        </w:tc>
        <w:tc>
          <w:tcPr>
            <w:tcW w:w="0" w:type="auto"/>
          </w:tcPr>
          <w:p w14:paraId="33354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FE7F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processes require that all staff are orientated to the service within a timeframe of three months. Whilst staff interviewed reported that they had been </w:t>
            </w:r>
            <w:r w:rsidRPr="00BE00C7">
              <w:rPr>
                <w:rFonts w:cs="Arial"/>
                <w:lang w:eastAsia="en-NZ"/>
              </w:rPr>
              <w:lastRenderedPageBreak/>
              <w:t>orientated to the service, in seven of the files reviewed, three staff who should have completed orientation did not have orientation documented on their files.</w:t>
            </w:r>
          </w:p>
          <w:p w14:paraId="6A5D89B0" w14:textId="77777777" w:rsidR="00000000" w:rsidRPr="00BE00C7" w:rsidRDefault="00000000" w:rsidP="00BE00C7">
            <w:pPr>
              <w:pStyle w:val="OutcomeDescription"/>
              <w:spacing w:before="120" w:after="120"/>
              <w:rPr>
                <w:rFonts w:cs="Arial"/>
                <w:lang w:eastAsia="en-NZ"/>
              </w:rPr>
            </w:pPr>
          </w:p>
        </w:tc>
        <w:tc>
          <w:tcPr>
            <w:tcW w:w="0" w:type="auto"/>
          </w:tcPr>
          <w:p w14:paraId="21780E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Not all staff who enter the service have completed an orientation programme within </w:t>
            </w:r>
            <w:r w:rsidRPr="00BE00C7">
              <w:rPr>
                <w:rFonts w:cs="Arial"/>
                <w:lang w:eastAsia="en-NZ"/>
              </w:rPr>
              <w:lastRenderedPageBreak/>
              <w:t>the required timeframe of three months.</w:t>
            </w:r>
          </w:p>
          <w:p w14:paraId="15E2CE09" w14:textId="77777777" w:rsidR="00000000" w:rsidRPr="00BE00C7" w:rsidRDefault="00000000" w:rsidP="00BE00C7">
            <w:pPr>
              <w:pStyle w:val="OutcomeDescription"/>
              <w:spacing w:before="120" w:after="120"/>
              <w:rPr>
                <w:rFonts w:cs="Arial"/>
                <w:lang w:eastAsia="en-NZ"/>
              </w:rPr>
            </w:pPr>
          </w:p>
        </w:tc>
        <w:tc>
          <w:tcPr>
            <w:tcW w:w="0" w:type="auto"/>
          </w:tcPr>
          <w:p w14:paraId="3906DA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all staff who enter the service complete an orientation programme within the required timeframe of three months.</w:t>
            </w:r>
          </w:p>
          <w:p w14:paraId="56F95949" w14:textId="77777777" w:rsidR="00000000" w:rsidRPr="00BE00C7" w:rsidRDefault="00000000" w:rsidP="00BE00C7">
            <w:pPr>
              <w:pStyle w:val="OutcomeDescription"/>
              <w:spacing w:before="120" w:after="120"/>
              <w:rPr>
                <w:rFonts w:cs="Arial"/>
                <w:lang w:eastAsia="en-NZ"/>
              </w:rPr>
            </w:pPr>
          </w:p>
          <w:p w14:paraId="36E317D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D1EF2" w14:paraId="265DF982" w14:textId="77777777">
        <w:tc>
          <w:tcPr>
            <w:tcW w:w="0" w:type="auto"/>
          </w:tcPr>
          <w:p w14:paraId="3A71BB0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382164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740ACBE8" w14:textId="77777777" w:rsidR="00000000" w:rsidRPr="00BE00C7" w:rsidRDefault="00000000" w:rsidP="00BE00C7">
            <w:pPr>
              <w:pStyle w:val="OutcomeDescription"/>
              <w:spacing w:before="120" w:after="120"/>
              <w:rPr>
                <w:rFonts w:cs="Arial"/>
                <w:lang w:eastAsia="en-NZ"/>
              </w:rPr>
            </w:pPr>
            <w:r w:rsidRPr="00BE00C7">
              <w:rPr>
                <w:rFonts w:cs="Arial"/>
                <w:lang w:eastAsia="en-NZ"/>
              </w:rPr>
              <w:t>PA High</w:t>
            </w:r>
          </w:p>
        </w:tc>
        <w:tc>
          <w:tcPr>
            <w:tcW w:w="0" w:type="auto"/>
          </w:tcPr>
          <w:p w14:paraId="5D3D6A88" w14:textId="77777777" w:rsidR="00000000" w:rsidRPr="00BE00C7" w:rsidRDefault="00000000" w:rsidP="00BE00C7">
            <w:pPr>
              <w:pStyle w:val="OutcomeDescription"/>
              <w:spacing w:before="120" w:after="120"/>
              <w:rPr>
                <w:rFonts w:cs="Arial"/>
                <w:lang w:eastAsia="en-NZ"/>
              </w:rPr>
            </w:pPr>
            <w:r w:rsidRPr="00BE00C7">
              <w:rPr>
                <w:rFonts w:cs="Arial"/>
                <w:lang w:eastAsia="en-NZ"/>
              </w:rPr>
              <w:t>A hard copy paper-based medication system was operating at Te Mahana, as internet services in the region are not dependable. A review of 19 medication charts identified that all contained several areas of potential risk. The medication charts were electronically generated by the pharmacy whenever there was a change in medication. The medication charts onsite did not consistently have a GP’s signature to authorise the prescription. Start dates of medications were not documented on the newly generated chart. The GP was recording they had reviewed the medication chart; however, this was not recorded on the medication chart being used. At times there was no system to determine the chart being used was the most recent, up-to-date medication chart. Where dates were recorded, it was only the day and month, not the year. At times, the medication chart being used recorded a prescribed medication; however, the staff identified it as having been discontinued, and the medication was not present in the medication packs.</w:t>
            </w:r>
          </w:p>
          <w:p w14:paraId="182CC8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refrigerator and medication room had no evidence that temperatures were being monitored to </w:t>
            </w:r>
            <w:r w:rsidRPr="00BE00C7">
              <w:rPr>
                <w:rFonts w:cs="Arial"/>
                <w:lang w:eastAsia="en-NZ"/>
              </w:rPr>
              <w:lastRenderedPageBreak/>
              <w:t>ensure medications are stored at the correct temperatures.</w:t>
            </w:r>
          </w:p>
          <w:p w14:paraId="09255763" w14:textId="77777777" w:rsidR="00000000" w:rsidRPr="00BE00C7" w:rsidRDefault="00000000" w:rsidP="00BE00C7">
            <w:pPr>
              <w:pStyle w:val="OutcomeDescription"/>
              <w:spacing w:before="120" w:after="120"/>
              <w:rPr>
                <w:rFonts w:cs="Arial"/>
                <w:lang w:eastAsia="en-NZ"/>
              </w:rPr>
            </w:pPr>
            <w:r w:rsidRPr="00BE00C7">
              <w:rPr>
                <w:rFonts w:cs="Arial"/>
                <w:lang w:eastAsia="en-NZ"/>
              </w:rPr>
              <w:t>A corrective action plan to address these areas of concern was instigated and being addressed prior to the audit finishing. This included implementing a new medication chart, which includes a space for the commencement and discontinuation date to be recorded, a space for the GPs signature and the review dates to be included on the medication chart. The original is to remain in use, and a request made to the pharmacy for updated medication charts not to be regenerated by them.</w:t>
            </w:r>
          </w:p>
          <w:p w14:paraId="78962D47" w14:textId="77777777" w:rsidR="00000000" w:rsidRPr="00BE00C7" w:rsidRDefault="00000000" w:rsidP="00BE00C7">
            <w:pPr>
              <w:pStyle w:val="OutcomeDescription"/>
              <w:spacing w:before="120" w:after="120"/>
              <w:rPr>
                <w:rFonts w:cs="Arial"/>
                <w:lang w:eastAsia="en-NZ"/>
              </w:rPr>
            </w:pPr>
          </w:p>
        </w:tc>
        <w:tc>
          <w:tcPr>
            <w:tcW w:w="0" w:type="auto"/>
          </w:tcPr>
          <w:p w14:paraId="345405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medication chart being used had been generated by the pharmacy, after any medication changes were made. The chart being used by care staff often did not have a GP’s signature to verify the medication had been prescribed by the GP, did not evidence the date when the medication was prescribed, did not evidence the medication had been reviewed on the medication chart, and did not ensure the most recently updated medication chart was being used. The medication refrigerator and medication room had no evidence that temperatures were being monitored to ensure medications are stored at the correct temperature.</w:t>
            </w:r>
          </w:p>
          <w:p w14:paraId="166265B3" w14:textId="77777777" w:rsidR="00000000" w:rsidRPr="00BE00C7" w:rsidRDefault="00000000" w:rsidP="00BE00C7">
            <w:pPr>
              <w:pStyle w:val="OutcomeDescription"/>
              <w:spacing w:before="120" w:after="120"/>
              <w:rPr>
                <w:rFonts w:cs="Arial"/>
                <w:lang w:eastAsia="en-NZ"/>
              </w:rPr>
            </w:pPr>
          </w:p>
        </w:tc>
        <w:tc>
          <w:tcPr>
            <w:tcW w:w="0" w:type="auto"/>
          </w:tcPr>
          <w:p w14:paraId="57E431B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the medication system in place verifies that the medication has been prescribed by the GP, the date when the medication was prescribed, when the medication has been reviewed on the medication chart and ensures the most recently updated medication chart is being used. Provide evidence the medication refrigerator and medication room have temperatures monitored to ensure medications are stored at the correct temperatures.</w:t>
            </w:r>
          </w:p>
          <w:p w14:paraId="6854CB7E" w14:textId="77777777" w:rsidR="00000000" w:rsidRPr="00BE00C7" w:rsidRDefault="00000000" w:rsidP="00BE00C7">
            <w:pPr>
              <w:pStyle w:val="OutcomeDescription"/>
              <w:spacing w:before="120" w:after="120"/>
              <w:rPr>
                <w:rFonts w:cs="Arial"/>
                <w:lang w:eastAsia="en-NZ"/>
              </w:rPr>
            </w:pPr>
          </w:p>
          <w:p w14:paraId="180F8495" w14:textId="77777777" w:rsidR="00000000" w:rsidRPr="00BE00C7" w:rsidRDefault="00000000" w:rsidP="00BE00C7">
            <w:pPr>
              <w:pStyle w:val="OutcomeDescription"/>
              <w:spacing w:before="120" w:after="120"/>
              <w:rPr>
                <w:rFonts w:cs="Arial"/>
                <w:lang w:eastAsia="en-NZ"/>
              </w:rPr>
            </w:pPr>
            <w:r w:rsidRPr="00BE00C7">
              <w:rPr>
                <w:rFonts w:cs="Arial"/>
                <w:lang w:eastAsia="en-NZ"/>
              </w:rPr>
              <w:t>7 days</w:t>
            </w:r>
          </w:p>
        </w:tc>
      </w:tr>
      <w:tr w:rsidR="00FD1EF2" w14:paraId="54752DBE" w14:textId="77777777">
        <w:tc>
          <w:tcPr>
            <w:tcW w:w="0" w:type="auto"/>
          </w:tcPr>
          <w:p w14:paraId="7E39BE9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0851F3A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4AFC780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29566C7"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was no evidence to verify staff administering medications, checking medications, administering, or checking controlled drugs and administering insulin had been deemed competent to perform these functions. Te Mahana had no records to verify competency in medication management. There was evidence that of the five caregivers administering medications, two had completed the questionnaire, but these had not been signed off. No evidence was sighted of a practical assessment/observation occurring. Three staff designated as second checkers did not have medication competency recorded. There was no evidence of medication errors occurring because of this practice.</w:t>
            </w:r>
          </w:p>
          <w:p w14:paraId="4894D0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 the day of audit, to mitigate the risk, the medication-competent practice nurse from the local medical practice did a full medication competency assessment for the senior caregiver, to enable residents’ ongoing medication needs to be met. This senior caregiver then instigated processes to ensure all health care assistants administering or checking medications were competent to do so. By the end of the audit, all but one caregiver administering or checking medications were deemed competent.</w:t>
            </w:r>
          </w:p>
          <w:p w14:paraId="0FFCD643" w14:textId="77777777" w:rsidR="00000000" w:rsidRPr="00BE00C7" w:rsidRDefault="00000000" w:rsidP="00BE00C7">
            <w:pPr>
              <w:pStyle w:val="OutcomeDescription"/>
              <w:spacing w:before="120" w:after="120"/>
              <w:rPr>
                <w:rFonts w:cs="Arial"/>
                <w:lang w:eastAsia="en-NZ"/>
              </w:rPr>
            </w:pPr>
          </w:p>
        </w:tc>
        <w:tc>
          <w:tcPr>
            <w:tcW w:w="0" w:type="auto"/>
          </w:tcPr>
          <w:p w14:paraId="71B493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no records available to verify staff dealing with medications (either administering or checking) had been deemed competent to perform that function.</w:t>
            </w:r>
          </w:p>
          <w:p w14:paraId="3790E979" w14:textId="77777777" w:rsidR="00000000" w:rsidRPr="00BE00C7" w:rsidRDefault="00000000" w:rsidP="00BE00C7">
            <w:pPr>
              <w:pStyle w:val="OutcomeDescription"/>
              <w:spacing w:before="120" w:after="120"/>
              <w:rPr>
                <w:rFonts w:cs="Arial"/>
                <w:lang w:eastAsia="en-NZ"/>
              </w:rPr>
            </w:pPr>
          </w:p>
        </w:tc>
        <w:tc>
          <w:tcPr>
            <w:tcW w:w="0" w:type="auto"/>
          </w:tcPr>
          <w:p w14:paraId="4D599A34"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all staff administering or checking medications are competent to perform that function.</w:t>
            </w:r>
          </w:p>
          <w:p w14:paraId="017D8F2B" w14:textId="77777777" w:rsidR="00000000" w:rsidRPr="00BE00C7" w:rsidRDefault="00000000" w:rsidP="00BE00C7">
            <w:pPr>
              <w:pStyle w:val="OutcomeDescription"/>
              <w:spacing w:before="120" w:after="120"/>
              <w:rPr>
                <w:rFonts w:cs="Arial"/>
                <w:lang w:eastAsia="en-NZ"/>
              </w:rPr>
            </w:pPr>
          </w:p>
          <w:p w14:paraId="48EA02AB" w14:textId="77777777" w:rsidR="00000000" w:rsidRPr="00BE00C7" w:rsidRDefault="00000000" w:rsidP="00BE00C7">
            <w:pPr>
              <w:pStyle w:val="OutcomeDescription"/>
              <w:spacing w:before="120" w:after="120"/>
              <w:rPr>
                <w:rFonts w:cs="Arial"/>
                <w:lang w:eastAsia="en-NZ"/>
              </w:rPr>
            </w:pPr>
            <w:r w:rsidRPr="00BE00C7">
              <w:rPr>
                <w:rFonts w:cs="Arial"/>
                <w:lang w:eastAsia="en-NZ"/>
              </w:rPr>
              <w:t>7 days</w:t>
            </w:r>
          </w:p>
        </w:tc>
      </w:tr>
    </w:tbl>
    <w:p w14:paraId="2E68AC3D"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00A46E51" w14:textId="77777777" w:rsidR="00000000" w:rsidRDefault="00000000">
      <w:pPr>
        <w:pStyle w:val="Heading1"/>
        <w:rPr>
          <w:rFonts w:cs="Arial"/>
        </w:rPr>
      </w:pPr>
      <w:r>
        <w:rPr>
          <w:rFonts w:cs="Arial"/>
        </w:rPr>
        <w:lastRenderedPageBreak/>
        <w:t>Specific results for criterion where a continuous improvement has been recorded</w:t>
      </w:r>
    </w:p>
    <w:p w14:paraId="3F28B7D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21CFE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432C96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D1EF2" w14:paraId="74FD6ADE" w14:textId="77777777">
        <w:tc>
          <w:tcPr>
            <w:tcW w:w="0" w:type="auto"/>
          </w:tcPr>
          <w:p w14:paraId="0B66775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8F9C92D"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61A7870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907D" w14:textId="77777777" w:rsidR="006D6212" w:rsidRDefault="006D6212">
      <w:r>
        <w:separator/>
      </w:r>
    </w:p>
  </w:endnote>
  <w:endnote w:type="continuationSeparator" w:id="0">
    <w:p w14:paraId="06515690" w14:textId="77777777" w:rsidR="006D6212" w:rsidRDefault="006D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7A34" w14:textId="77777777" w:rsidR="00000000" w:rsidRDefault="00000000">
    <w:pPr>
      <w:pStyle w:val="Footer"/>
    </w:pPr>
  </w:p>
  <w:p w14:paraId="3F73F17C" w14:textId="77777777" w:rsidR="00000000" w:rsidRDefault="00000000"/>
  <w:p w14:paraId="5E03FEA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370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Te Mahana Limited - Te Mahana Limited</w:t>
    </w:r>
    <w:bookmarkEnd w:id="47"/>
    <w:r>
      <w:rPr>
        <w:rFonts w:cs="Arial"/>
        <w:sz w:val="16"/>
        <w:szCs w:val="20"/>
      </w:rPr>
      <w:tab/>
      <w:t xml:space="preserve">Date of Audit: </w:t>
    </w:r>
    <w:bookmarkStart w:id="48" w:name="AuditStartDate1"/>
    <w:r>
      <w:rPr>
        <w:rFonts w:cs="Arial"/>
        <w:sz w:val="16"/>
        <w:szCs w:val="20"/>
      </w:rPr>
      <w:t>23 July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2B168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5A7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44B4" w14:textId="77777777" w:rsidR="006D6212" w:rsidRDefault="006D6212">
      <w:r>
        <w:separator/>
      </w:r>
    </w:p>
  </w:footnote>
  <w:footnote w:type="continuationSeparator" w:id="0">
    <w:p w14:paraId="538F75CD" w14:textId="77777777" w:rsidR="006D6212" w:rsidRDefault="006D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EB33" w14:textId="77777777" w:rsidR="00000000" w:rsidRDefault="00000000">
    <w:pPr>
      <w:pStyle w:val="Header"/>
    </w:pPr>
  </w:p>
  <w:p w14:paraId="7869AA9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4FCE" w14:textId="77777777" w:rsidR="00000000" w:rsidRDefault="00000000">
    <w:pPr>
      <w:pStyle w:val="Header"/>
    </w:pPr>
  </w:p>
  <w:p w14:paraId="058D94F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85B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8FAE11C">
      <w:start w:val="1"/>
      <w:numFmt w:val="decimal"/>
      <w:lvlText w:val="%1."/>
      <w:lvlJc w:val="left"/>
      <w:pPr>
        <w:ind w:left="360" w:hanging="360"/>
      </w:pPr>
    </w:lvl>
    <w:lvl w:ilvl="1" w:tplc="77BAB85C" w:tentative="1">
      <w:start w:val="1"/>
      <w:numFmt w:val="lowerLetter"/>
      <w:lvlText w:val="%2."/>
      <w:lvlJc w:val="left"/>
      <w:pPr>
        <w:ind w:left="1080" w:hanging="360"/>
      </w:pPr>
    </w:lvl>
    <w:lvl w:ilvl="2" w:tplc="3784491C" w:tentative="1">
      <w:start w:val="1"/>
      <w:numFmt w:val="lowerRoman"/>
      <w:lvlText w:val="%3."/>
      <w:lvlJc w:val="right"/>
      <w:pPr>
        <w:ind w:left="1800" w:hanging="180"/>
      </w:pPr>
    </w:lvl>
    <w:lvl w:ilvl="3" w:tplc="4426F2F0" w:tentative="1">
      <w:start w:val="1"/>
      <w:numFmt w:val="decimal"/>
      <w:lvlText w:val="%4."/>
      <w:lvlJc w:val="left"/>
      <w:pPr>
        <w:ind w:left="2520" w:hanging="360"/>
      </w:pPr>
    </w:lvl>
    <w:lvl w:ilvl="4" w:tplc="61184E28" w:tentative="1">
      <w:start w:val="1"/>
      <w:numFmt w:val="lowerLetter"/>
      <w:lvlText w:val="%5."/>
      <w:lvlJc w:val="left"/>
      <w:pPr>
        <w:ind w:left="3240" w:hanging="360"/>
      </w:pPr>
    </w:lvl>
    <w:lvl w:ilvl="5" w:tplc="C59436E2" w:tentative="1">
      <w:start w:val="1"/>
      <w:numFmt w:val="lowerRoman"/>
      <w:lvlText w:val="%6."/>
      <w:lvlJc w:val="right"/>
      <w:pPr>
        <w:ind w:left="3960" w:hanging="180"/>
      </w:pPr>
    </w:lvl>
    <w:lvl w:ilvl="6" w:tplc="07FA7336" w:tentative="1">
      <w:start w:val="1"/>
      <w:numFmt w:val="decimal"/>
      <w:lvlText w:val="%7."/>
      <w:lvlJc w:val="left"/>
      <w:pPr>
        <w:ind w:left="4680" w:hanging="360"/>
      </w:pPr>
    </w:lvl>
    <w:lvl w:ilvl="7" w:tplc="5DB689AC" w:tentative="1">
      <w:start w:val="1"/>
      <w:numFmt w:val="lowerLetter"/>
      <w:lvlText w:val="%8."/>
      <w:lvlJc w:val="left"/>
      <w:pPr>
        <w:ind w:left="5400" w:hanging="360"/>
      </w:pPr>
    </w:lvl>
    <w:lvl w:ilvl="8" w:tplc="1F7654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BBE7BE4">
      <w:start w:val="1"/>
      <w:numFmt w:val="bullet"/>
      <w:lvlText w:val=""/>
      <w:lvlJc w:val="left"/>
      <w:pPr>
        <w:ind w:left="720" w:hanging="360"/>
      </w:pPr>
      <w:rPr>
        <w:rFonts w:ascii="Symbol" w:hAnsi="Symbol" w:hint="default"/>
      </w:rPr>
    </w:lvl>
    <w:lvl w:ilvl="1" w:tplc="701A0C0C" w:tentative="1">
      <w:start w:val="1"/>
      <w:numFmt w:val="bullet"/>
      <w:lvlText w:val="o"/>
      <w:lvlJc w:val="left"/>
      <w:pPr>
        <w:ind w:left="1440" w:hanging="360"/>
      </w:pPr>
      <w:rPr>
        <w:rFonts w:ascii="Courier New" w:hAnsi="Courier New" w:cs="Courier New" w:hint="default"/>
      </w:rPr>
    </w:lvl>
    <w:lvl w:ilvl="2" w:tplc="910E3834" w:tentative="1">
      <w:start w:val="1"/>
      <w:numFmt w:val="bullet"/>
      <w:lvlText w:val=""/>
      <w:lvlJc w:val="left"/>
      <w:pPr>
        <w:ind w:left="2160" w:hanging="360"/>
      </w:pPr>
      <w:rPr>
        <w:rFonts w:ascii="Wingdings" w:hAnsi="Wingdings" w:hint="default"/>
      </w:rPr>
    </w:lvl>
    <w:lvl w:ilvl="3" w:tplc="A32E8944" w:tentative="1">
      <w:start w:val="1"/>
      <w:numFmt w:val="bullet"/>
      <w:lvlText w:val=""/>
      <w:lvlJc w:val="left"/>
      <w:pPr>
        <w:ind w:left="2880" w:hanging="360"/>
      </w:pPr>
      <w:rPr>
        <w:rFonts w:ascii="Symbol" w:hAnsi="Symbol" w:hint="default"/>
      </w:rPr>
    </w:lvl>
    <w:lvl w:ilvl="4" w:tplc="90988EF8" w:tentative="1">
      <w:start w:val="1"/>
      <w:numFmt w:val="bullet"/>
      <w:lvlText w:val="o"/>
      <w:lvlJc w:val="left"/>
      <w:pPr>
        <w:ind w:left="3600" w:hanging="360"/>
      </w:pPr>
      <w:rPr>
        <w:rFonts w:ascii="Courier New" w:hAnsi="Courier New" w:cs="Courier New" w:hint="default"/>
      </w:rPr>
    </w:lvl>
    <w:lvl w:ilvl="5" w:tplc="3522DEB8" w:tentative="1">
      <w:start w:val="1"/>
      <w:numFmt w:val="bullet"/>
      <w:lvlText w:val=""/>
      <w:lvlJc w:val="left"/>
      <w:pPr>
        <w:ind w:left="4320" w:hanging="360"/>
      </w:pPr>
      <w:rPr>
        <w:rFonts w:ascii="Wingdings" w:hAnsi="Wingdings" w:hint="default"/>
      </w:rPr>
    </w:lvl>
    <w:lvl w:ilvl="6" w:tplc="F23A5E06" w:tentative="1">
      <w:start w:val="1"/>
      <w:numFmt w:val="bullet"/>
      <w:lvlText w:val=""/>
      <w:lvlJc w:val="left"/>
      <w:pPr>
        <w:ind w:left="5040" w:hanging="360"/>
      </w:pPr>
      <w:rPr>
        <w:rFonts w:ascii="Symbol" w:hAnsi="Symbol" w:hint="default"/>
      </w:rPr>
    </w:lvl>
    <w:lvl w:ilvl="7" w:tplc="944E2138" w:tentative="1">
      <w:start w:val="1"/>
      <w:numFmt w:val="bullet"/>
      <w:lvlText w:val="o"/>
      <w:lvlJc w:val="left"/>
      <w:pPr>
        <w:ind w:left="5760" w:hanging="360"/>
      </w:pPr>
      <w:rPr>
        <w:rFonts w:ascii="Courier New" w:hAnsi="Courier New" w:cs="Courier New" w:hint="default"/>
      </w:rPr>
    </w:lvl>
    <w:lvl w:ilvl="8" w:tplc="E18A2A6C" w:tentative="1">
      <w:start w:val="1"/>
      <w:numFmt w:val="bullet"/>
      <w:lvlText w:val=""/>
      <w:lvlJc w:val="left"/>
      <w:pPr>
        <w:ind w:left="6480" w:hanging="360"/>
      </w:pPr>
      <w:rPr>
        <w:rFonts w:ascii="Wingdings" w:hAnsi="Wingdings" w:hint="default"/>
      </w:rPr>
    </w:lvl>
  </w:abstractNum>
  <w:num w:numId="1" w16cid:durableId="2058431203">
    <w:abstractNumId w:val="1"/>
  </w:num>
  <w:num w:numId="2" w16cid:durableId="158599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F2"/>
    <w:rsid w:val="006D6212"/>
    <w:rsid w:val="00775F71"/>
    <w:rsid w:val="009C6E1F"/>
    <w:rsid w:val="00D63E1B"/>
    <w:rsid w:val="00FD1E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8B10"/>
  <w15:docId w15:val="{CC2C0F9A-85FF-4694-B4B3-6BE07547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10469</Words>
  <Characters>59678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2024-08-26T01:27:00Z</dcterms:created>
  <dcterms:modified xsi:type="dcterms:W3CDTF">2024-08-26T01:30:00Z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