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8DA9" w14:textId="77777777" w:rsidR="00460D43" w:rsidRDefault="00000000">
      <w:pPr>
        <w:pStyle w:val="Heading1"/>
        <w:rPr>
          <w:rFonts w:cs="Arial"/>
        </w:rPr>
      </w:pPr>
      <w:bookmarkStart w:id="0" w:name="PRMS_RIName"/>
      <w:r>
        <w:rPr>
          <w:rFonts w:cs="Arial"/>
        </w:rPr>
        <w:t>Dixon House Trust Board (Inc) - Dixon House Rest Home</w:t>
      </w:r>
      <w:bookmarkEnd w:id="0"/>
    </w:p>
    <w:p w14:paraId="3A425659" w14:textId="77777777" w:rsidR="00460D43" w:rsidRDefault="00000000">
      <w:pPr>
        <w:pStyle w:val="Heading2"/>
        <w:spacing w:after="0"/>
        <w:rPr>
          <w:rFonts w:cs="Arial"/>
        </w:rPr>
      </w:pPr>
      <w:r>
        <w:rPr>
          <w:rFonts w:cs="Arial"/>
        </w:rPr>
        <w:t>Introduction</w:t>
      </w:r>
    </w:p>
    <w:p w14:paraId="1DF778E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9E56D2A"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199AFC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F98F7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4014263" w14:textId="77777777" w:rsidR="00460D43" w:rsidRDefault="00000000">
      <w:pPr>
        <w:spacing w:before="240" w:after="240"/>
        <w:rPr>
          <w:rFonts w:cs="Arial"/>
          <w:lang w:eastAsia="en-NZ"/>
        </w:rPr>
      </w:pPr>
      <w:r>
        <w:rPr>
          <w:rFonts w:cs="Arial"/>
          <w:lang w:eastAsia="en-NZ"/>
        </w:rPr>
        <w:t>The specifics of this audit included:</w:t>
      </w:r>
    </w:p>
    <w:p w14:paraId="4F5CA38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FF9A0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Dixon House Trust Board (Inc)</w:t>
      </w:r>
      <w:bookmarkEnd w:id="4"/>
    </w:p>
    <w:p w14:paraId="168A36C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Dixon House Rest Home</w:t>
      </w:r>
      <w:bookmarkEnd w:id="5"/>
    </w:p>
    <w:p w14:paraId="4F652B9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74626E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2024</w:t>
      </w:r>
      <w:bookmarkEnd w:id="7"/>
      <w:r w:rsidRPr="009418D4">
        <w:rPr>
          <w:rFonts w:cs="Arial"/>
        </w:rPr>
        <w:tab/>
        <w:t xml:space="preserve">End date: </w:t>
      </w:r>
      <w:bookmarkStart w:id="8" w:name="AuditEndDate"/>
      <w:r>
        <w:rPr>
          <w:rFonts w:cs="Arial"/>
        </w:rPr>
        <w:t>10 April 2024</w:t>
      </w:r>
      <w:bookmarkEnd w:id="8"/>
    </w:p>
    <w:p w14:paraId="594E7C9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30DF08A" w14:textId="77777777" w:rsidR="001C77F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38D1AF8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F46CBBE" w14:textId="77777777" w:rsidR="00460D43" w:rsidRDefault="00000000">
      <w:pPr>
        <w:pStyle w:val="Heading1"/>
        <w:rPr>
          <w:rFonts w:cs="Arial"/>
        </w:rPr>
      </w:pPr>
      <w:r>
        <w:rPr>
          <w:rFonts w:cs="Arial"/>
        </w:rPr>
        <w:lastRenderedPageBreak/>
        <w:t>Executive summary of the audit</w:t>
      </w:r>
    </w:p>
    <w:p w14:paraId="3A0316BC" w14:textId="77777777" w:rsidR="00460D43" w:rsidRDefault="00000000">
      <w:pPr>
        <w:pStyle w:val="Heading2"/>
        <w:rPr>
          <w:rFonts w:cs="Arial"/>
        </w:rPr>
      </w:pPr>
      <w:r>
        <w:rPr>
          <w:rFonts w:cs="Arial"/>
        </w:rPr>
        <w:t>Introduction</w:t>
      </w:r>
    </w:p>
    <w:p w14:paraId="238BF48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B319F4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B89A1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FC7E1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67EC78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8B920D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2EBFA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7C911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AD6E43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C77F0" w14:paraId="476D4F33" w14:textId="77777777">
        <w:trPr>
          <w:cantSplit/>
          <w:tblHeader/>
        </w:trPr>
        <w:tc>
          <w:tcPr>
            <w:tcW w:w="1260" w:type="dxa"/>
            <w:tcBorders>
              <w:bottom w:val="single" w:sz="4" w:space="0" w:color="000000"/>
            </w:tcBorders>
            <w:vAlign w:val="center"/>
          </w:tcPr>
          <w:p w14:paraId="10FDE90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E24DB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CD70CD" w14:textId="77777777" w:rsidR="00460D43" w:rsidRDefault="00000000">
            <w:pPr>
              <w:spacing w:before="60" w:after="60"/>
              <w:rPr>
                <w:rFonts w:eastAsia="Calibri"/>
                <w:b/>
                <w:szCs w:val="24"/>
              </w:rPr>
            </w:pPr>
            <w:r>
              <w:rPr>
                <w:rFonts w:eastAsia="Calibri"/>
                <w:b/>
                <w:szCs w:val="24"/>
              </w:rPr>
              <w:t>Definition</w:t>
            </w:r>
          </w:p>
        </w:tc>
      </w:tr>
      <w:tr w:rsidR="001C77F0" w14:paraId="4C46557A" w14:textId="77777777">
        <w:trPr>
          <w:cantSplit/>
          <w:trHeight w:val="964"/>
        </w:trPr>
        <w:tc>
          <w:tcPr>
            <w:tcW w:w="1260" w:type="dxa"/>
            <w:tcBorders>
              <w:bottom w:val="single" w:sz="4" w:space="0" w:color="000000"/>
            </w:tcBorders>
            <w:shd w:val="clear" w:color="0066FF" w:fill="0000FF"/>
            <w:vAlign w:val="center"/>
          </w:tcPr>
          <w:p w14:paraId="4784327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591D2E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653EA0A"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C77F0" w14:paraId="25EF5DF7" w14:textId="77777777">
        <w:trPr>
          <w:cantSplit/>
          <w:trHeight w:val="964"/>
        </w:trPr>
        <w:tc>
          <w:tcPr>
            <w:tcW w:w="1260" w:type="dxa"/>
            <w:shd w:val="clear" w:color="33CC33" w:fill="00FF00"/>
            <w:vAlign w:val="center"/>
          </w:tcPr>
          <w:p w14:paraId="414A0CFA" w14:textId="77777777" w:rsidR="00460D43" w:rsidRDefault="00000000">
            <w:pPr>
              <w:spacing w:before="60" w:after="60"/>
              <w:rPr>
                <w:rFonts w:eastAsia="Calibri"/>
                <w:szCs w:val="24"/>
              </w:rPr>
            </w:pPr>
          </w:p>
        </w:tc>
        <w:tc>
          <w:tcPr>
            <w:tcW w:w="7095" w:type="dxa"/>
            <w:shd w:val="clear" w:color="auto" w:fill="auto"/>
            <w:vAlign w:val="center"/>
          </w:tcPr>
          <w:p w14:paraId="50E09CA0"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E57CBE"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1C77F0" w14:paraId="1A847392" w14:textId="77777777">
        <w:trPr>
          <w:cantSplit/>
          <w:trHeight w:val="964"/>
        </w:trPr>
        <w:tc>
          <w:tcPr>
            <w:tcW w:w="1260" w:type="dxa"/>
            <w:tcBorders>
              <w:bottom w:val="single" w:sz="4" w:space="0" w:color="000000"/>
            </w:tcBorders>
            <w:shd w:val="clear" w:color="auto" w:fill="FFFF00"/>
            <w:vAlign w:val="center"/>
          </w:tcPr>
          <w:p w14:paraId="6AF49782" w14:textId="77777777" w:rsidR="00460D43" w:rsidRDefault="00000000">
            <w:pPr>
              <w:spacing w:before="60" w:after="60"/>
              <w:rPr>
                <w:rFonts w:eastAsia="Calibri"/>
                <w:szCs w:val="24"/>
              </w:rPr>
            </w:pPr>
          </w:p>
        </w:tc>
        <w:tc>
          <w:tcPr>
            <w:tcW w:w="7095" w:type="dxa"/>
            <w:shd w:val="clear" w:color="auto" w:fill="auto"/>
            <w:vAlign w:val="center"/>
          </w:tcPr>
          <w:p w14:paraId="44653AB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A89FB8E"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C77F0" w14:paraId="238062C0" w14:textId="77777777">
        <w:trPr>
          <w:cantSplit/>
          <w:trHeight w:val="964"/>
        </w:trPr>
        <w:tc>
          <w:tcPr>
            <w:tcW w:w="1260" w:type="dxa"/>
            <w:tcBorders>
              <w:bottom w:val="single" w:sz="4" w:space="0" w:color="000000"/>
            </w:tcBorders>
            <w:shd w:val="clear" w:color="auto" w:fill="FFC800"/>
            <w:vAlign w:val="center"/>
          </w:tcPr>
          <w:p w14:paraId="66525A9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06B2A2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3DE4D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C77F0" w14:paraId="44756752" w14:textId="77777777">
        <w:trPr>
          <w:cantSplit/>
          <w:trHeight w:val="964"/>
        </w:trPr>
        <w:tc>
          <w:tcPr>
            <w:tcW w:w="1260" w:type="dxa"/>
            <w:shd w:val="clear" w:color="auto" w:fill="FF0000"/>
            <w:vAlign w:val="center"/>
          </w:tcPr>
          <w:p w14:paraId="0F59148A" w14:textId="77777777" w:rsidR="00460D43" w:rsidRDefault="00000000">
            <w:pPr>
              <w:spacing w:before="60" w:after="60"/>
              <w:rPr>
                <w:rFonts w:eastAsia="Calibri"/>
                <w:szCs w:val="24"/>
              </w:rPr>
            </w:pPr>
          </w:p>
        </w:tc>
        <w:tc>
          <w:tcPr>
            <w:tcW w:w="7095" w:type="dxa"/>
            <w:shd w:val="clear" w:color="auto" w:fill="auto"/>
            <w:vAlign w:val="center"/>
          </w:tcPr>
          <w:p w14:paraId="6775B77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A0CB48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7097FF1" w14:textId="77777777" w:rsidR="00460D43" w:rsidRDefault="00000000">
      <w:pPr>
        <w:pStyle w:val="Heading2"/>
        <w:spacing w:after="0"/>
        <w:rPr>
          <w:rFonts w:cs="Arial"/>
        </w:rPr>
      </w:pPr>
      <w:r>
        <w:rPr>
          <w:rFonts w:cs="Arial"/>
        </w:rPr>
        <w:t>General overview of the audit</w:t>
      </w:r>
    </w:p>
    <w:p w14:paraId="727E2181" w14:textId="77777777" w:rsidR="00E536CC" w:rsidRDefault="00000000">
      <w:pPr>
        <w:spacing w:before="240" w:line="276" w:lineRule="auto"/>
        <w:rPr>
          <w:rFonts w:eastAsia="Calibri"/>
        </w:rPr>
      </w:pPr>
      <w:bookmarkStart w:id="13" w:name="GeneralOverview"/>
      <w:r w:rsidRPr="00A4268A">
        <w:rPr>
          <w:rFonts w:eastAsia="Calibri"/>
        </w:rPr>
        <w:t>Dixon House Rest Home is certified to provide rest home and hospital level care for up to 42 residents. Five of the rooms are certified as appropriate for double occupancy but all are currently occupied by a single resident. The service is operated by the Dixon House Trust Board (Inc) and managed by a facility manager. The position is supported by an enrolled nurse who acts as the clinical manager.</w:t>
      </w:r>
    </w:p>
    <w:p w14:paraId="6BD853B6" w14:textId="77777777" w:rsidR="001C77F0" w:rsidRPr="00A4268A" w:rsidRDefault="00000000">
      <w:pPr>
        <w:spacing w:before="240" w:line="276" w:lineRule="auto"/>
        <w:rPr>
          <w:rFonts w:eastAsia="Calibri"/>
        </w:rPr>
      </w:pPr>
      <w:r w:rsidRPr="00A4268A">
        <w:rPr>
          <w:rFonts w:eastAsia="Calibri"/>
        </w:rPr>
        <w:t>This surveillance audit process was conducted against the Ngā Paerewa Health and Disability Services Standard NZS 8134:2021 and the contracts held with Te Whatu Ora – Health New Zealand Te Tai o Poutini West Coast (Te Whatu Ora West Coast). It included review of policies and procedures, review of residents’ and staff files, observations, and interviews with residents, whānau, the manager, a trust member, staff, an allied health provider, a general practitioner and a nurse practitioner. Seven trust owned social housing flats adjacent to the aged care facility are not part of the audit and were not visited.</w:t>
      </w:r>
    </w:p>
    <w:p w14:paraId="65106513" w14:textId="77777777" w:rsidR="001C77F0" w:rsidRPr="00A4268A" w:rsidRDefault="00000000">
      <w:pPr>
        <w:spacing w:before="240" w:line="276" w:lineRule="auto"/>
        <w:rPr>
          <w:rFonts w:eastAsia="Calibri"/>
        </w:rPr>
      </w:pPr>
      <w:r w:rsidRPr="00A4268A">
        <w:rPr>
          <w:rFonts w:eastAsia="Calibri"/>
        </w:rPr>
        <w:t>Improvements have been made to the scheduling of emergency trial evacuations, addressing an area requiring improvement at the previous audit. Improvements required in relation to this audit relate to clinical oversight of the facility, staff education, staff competencies and care planning.</w:t>
      </w:r>
    </w:p>
    <w:bookmarkEnd w:id="13"/>
    <w:p w14:paraId="410282C3" w14:textId="77777777" w:rsidR="001C77F0" w:rsidRPr="00A4268A" w:rsidRDefault="001C77F0">
      <w:pPr>
        <w:spacing w:before="240" w:line="276" w:lineRule="auto"/>
        <w:rPr>
          <w:rFonts w:eastAsia="Calibri"/>
        </w:rPr>
      </w:pPr>
    </w:p>
    <w:p w14:paraId="185F4C28"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3B60C59E" w14:textId="77777777" w:rsidTr="00A4268A">
        <w:trPr>
          <w:cantSplit/>
        </w:trPr>
        <w:tc>
          <w:tcPr>
            <w:tcW w:w="10206" w:type="dxa"/>
            <w:vAlign w:val="center"/>
          </w:tcPr>
          <w:p w14:paraId="1AF961C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C29524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45799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56073E"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A8A0E0D" w14:textId="77777777" w:rsidR="00460D43" w:rsidRDefault="00000000">
      <w:pPr>
        <w:spacing w:before="240" w:line="276" w:lineRule="auto"/>
        <w:rPr>
          <w:rFonts w:eastAsia="Calibri"/>
        </w:rPr>
      </w:pPr>
      <w:bookmarkStart w:id="16" w:name="ConsumerRights"/>
      <w:r w:rsidRPr="00A4268A">
        <w:rPr>
          <w:rFonts w:eastAsia="Calibri"/>
        </w:rPr>
        <w:t>Dixon House Rest Home provided an environment that supported residents’ rights and culturally safe care. Staff demonstrated an understanding of residents' rights and obligations.</w:t>
      </w:r>
    </w:p>
    <w:p w14:paraId="6D49BF6B" w14:textId="77777777" w:rsidR="001C77F0" w:rsidRPr="00A4268A" w:rsidRDefault="00000000">
      <w:pPr>
        <w:spacing w:before="240" w:line="276" w:lineRule="auto"/>
        <w:rPr>
          <w:rFonts w:eastAsia="Calibri"/>
        </w:rPr>
      </w:pPr>
      <w:r w:rsidRPr="00A4268A">
        <w:rPr>
          <w:rFonts w:eastAsia="Calibri"/>
        </w:rPr>
        <w:t>There was a health plan that encapsulated care specifically directed at Māori, Pasifika, and other ethnicities. The service worked collaboratively with internal and external Māori supports to encourage a Māori worldview of health in service delivery.</w:t>
      </w:r>
    </w:p>
    <w:p w14:paraId="41415CA3" w14:textId="77777777" w:rsidR="001C77F0" w:rsidRPr="00A4268A" w:rsidRDefault="00000000">
      <w:pPr>
        <w:spacing w:before="240" w:line="276" w:lineRule="auto"/>
        <w:rPr>
          <w:rFonts w:eastAsia="Calibri"/>
        </w:rPr>
      </w:pPr>
      <w:r w:rsidRPr="00A4268A">
        <w:rPr>
          <w:rFonts w:eastAsia="Calibri"/>
        </w:rPr>
        <w:t>There were no residents who identified as Māori present during the audit. However, systems were in place to enable Māori to be provided with equitable and effective services based on Te Tiriti o Waitangi and the principles of mana motuhake (self-determination).</w:t>
      </w:r>
    </w:p>
    <w:p w14:paraId="038BC14B" w14:textId="77777777" w:rsidR="001C77F0" w:rsidRPr="00A4268A" w:rsidRDefault="00000000">
      <w:pPr>
        <w:spacing w:before="240" w:line="276" w:lineRule="auto"/>
        <w:rPr>
          <w:rFonts w:eastAsia="Calibri"/>
        </w:rPr>
      </w:pPr>
      <w:r w:rsidRPr="00A4268A">
        <w:rPr>
          <w:rFonts w:eastAsia="Calibri"/>
        </w:rPr>
        <w:t>There were no Pasifika residents in Dixon House Rest Home at the time of the audit; however, systems and processes and models of care relevant to Pasifika were in place to enable Pacific people to be provided with services that recognise their worldviews and are culturally safe. There were Pasifika staff employed by the service.</w:t>
      </w:r>
    </w:p>
    <w:p w14:paraId="23831930" w14:textId="77777777" w:rsidR="001C77F0" w:rsidRPr="00A4268A" w:rsidRDefault="00000000">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w:t>
      </w:r>
    </w:p>
    <w:bookmarkEnd w:id="16"/>
    <w:p w14:paraId="776A1017" w14:textId="77777777" w:rsidR="001C77F0" w:rsidRPr="00A4268A" w:rsidRDefault="001C77F0">
      <w:pPr>
        <w:spacing w:before="240" w:line="276" w:lineRule="auto"/>
        <w:rPr>
          <w:rFonts w:eastAsia="Calibri"/>
        </w:rPr>
      </w:pPr>
    </w:p>
    <w:p w14:paraId="3AF83166"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41E2275A" w14:textId="77777777" w:rsidTr="00A4268A">
        <w:trPr>
          <w:cantSplit/>
        </w:trPr>
        <w:tc>
          <w:tcPr>
            <w:tcW w:w="10206" w:type="dxa"/>
            <w:vAlign w:val="center"/>
          </w:tcPr>
          <w:p w14:paraId="5E8BF76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A9E68EE"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2C55BD"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C0C6C8F"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 disabilities (tāngata whaikaha). Planning ensures the purpose, values, direction, scope, and goals for the organisation are defined. Service performance is monitored and reviewed at planned intervals. The clinical governance structure in place is appropriate to the size and complexity of the services provided.</w:t>
      </w:r>
    </w:p>
    <w:p w14:paraId="23AD5AA8" w14:textId="77777777" w:rsidR="001C77F0" w:rsidRPr="00A4268A" w:rsidRDefault="00000000">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are involved in quality activities. An integrated approach includes collection and analysis of quality improvement data and identifies trends that lead to improvements. Actual and potential risks are identified and mitigated. Adverse events are documented, with corrective actions implemented. The service complies with statutory and regulatory reporting obligations.</w:t>
      </w:r>
    </w:p>
    <w:p w14:paraId="4C7B950E" w14:textId="77777777" w:rsidR="001C77F0" w:rsidRPr="00A4268A" w:rsidRDefault="00000000">
      <w:pPr>
        <w:spacing w:before="240" w:line="276" w:lineRule="auto"/>
        <w:rPr>
          <w:rFonts w:eastAsia="Calibri"/>
        </w:rPr>
      </w:pPr>
      <w:r w:rsidRPr="00A4268A">
        <w:rPr>
          <w:rFonts w:eastAsia="Calibri"/>
        </w:rPr>
        <w:t>Staff are appointed, orientated, and managed using current good practice. Staffing levels are sufficient to provide clinically and culturally appropriate care. Staff are orientated to the service and performance is monitored.</w:t>
      </w:r>
    </w:p>
    <w:bookmarkEnd w:id="19"/>
    <w:p w14:paraId="3C121280" w14:textId="77777777" w:rsidR="001C77F0" w:rsidRPr="00A4268A" w:rsidRDefault="001C77F0">
      <w:pPr>
        <w:spacing w:before="240" w:line="276" w:lineRule="auto"/>
        <w:rPr>
          <w:rFonts w:eastAsia="Calibri"/>
        </w:rPr>
      </w:pPr>
    </w:p>
    <w:p w14:paraId="1C5C9F3B"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19397C32" w14:textId="77777777" w:rsidTr="00A4268A">
        <w:trPr>
          <w:cantSplit/>
        </w:trPr>
        <w:tc>
          <w:tcPr>
            <w:tcW w:w="10206" w:type="dxa"/>
            <w:vAlign w:val="center"/>
          </w:tcPr>
          <w:p w14:paraId="28554F0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BC5D36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F4AF22D"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D5E477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Dixon House Rest Home, a person-centred and whānau-centred approach was adopted. Relevant information was provided to the potential resident and their whānau.</w:t>
      </w:r>
    </w:p>
    <w:p w14:paraId="34E81D4F" w14:textId="77777777" w:rsidR="001C77F0" w:rsidRPr="00A4268A" w:rsidRDefault="00000000" w:rsidP="00621629">
      <w:pPr>
        <w:spacing w:before="240" w:line="276" w:lineRule="auto"/>
        <w:rPr>
          <w:rFonts w:eastAsia="Calibri"/>
        </w:rPr>
      </w:pPr>
      <w:r w:rsidRPr="00A4268A">
        <w:rPr>
          <w:rFonts w:eastAsia="Calibri"/>
        </w:rPr>
        <w:t>Staff at Dixon House Rest Home worked in partnership with the residents and their whānau to assess, plan and evaluate care. Care plans were individualised, based on comprehensive information, and accommodate any recent problems that might arise. Files reviewed demonstrated that care met the needs of residents and their whānau and was evaluated on a regular and timely basis.</w:t>
      </w:r>
    </w:p>
    <w:p w14:paraId="47B93651" w14:textId="77777777" w:rsidR="001C77F0" w:rsidRPr="00A4268A" w:rsidRDefault="00000000" w:rsidP="00621629">
      <w:pPr>
        <w:spacing w:before="240" w:line="276" w:lineRule="auto"/>
        <w:rPr>
          <w:rFonts w:eastAsia="Calibri"/>
        </w:rPr>
      </w:pPr>
      <w:r w:rsidRPr="00A4268A">
        <w:rPr>
          <w:rFonts w:eastAsia="Calibri"/>
        </w:rPr>
        <w:t>Medicines were safely managed and administered by staff who were assessed as competent to do so.</w:t>
      </w:r>
    </w:p>
    <w:p w14:paraId="27659A5E" w14:textId="77777777" w:rsidR="001C77F0"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managed safely.</w:t>
      </w:r>
    </w:p>
    <w:p w14:paraId="7FDFD2EC" w14:textId="77777777" w:rsidR="001C77F0"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48ABB294" w14:textId="77777777" w:rsidR="001C77F0" w:rsidRPr="00A4268A" w:rsidRDefault="001C77F0" w:rsidP="00621629">
      <w:pPr>
        <w:spacing w:before="240" w:line="276" w:lineRule="auto"/>
        <w:rPr>
          <w:rFonts w:eastAsia="Calibri"/>
        </w:rPr>
      </w:pPr>
    </w:p>
    <w:p w14:paraId="7DEEA191"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7814A246" w14:textId="77777777" w:rsidTr="00A4268A">
        <w:trPr>
          <w:cantSplit/>
        </w:trPr>
        <w:tc>
          <w:tcPr>
            <w:tcW w:w="10206" w:type="dxa"/>
            <w:vAlign w:val="center"/>
          </w:tcPr>
          <w:p w14:paraId="46B934A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A25E9F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8DC03D"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AA24786"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assessed as required. External areas are accessible, safe, provide shade and seating, and meet the needs of residents, including tāngata whaikaha.</w:t>
      </w:r>
    </w:p>
    <w:p w14:paraId="4E9EAF54" w14:textId="77777777" w:rsidR="001C77F0" w:rsidRPr="00A4268A" w:rsidRDefault="00000000">
      <w:pPr>
        <w:spacing w:before="240" w:line="276" w:lineRule="auto"/>
        <w:rPr>
          <w:rFonts w:eastAsia="Calibri"/>
        </w:rPr>
      </w:pPr>
      <w:r w:rsidRPr="00A4268A">
        <w:rPr>
          <w:rFonts w:eastAsia="Calibri"/>
        </w:rPr>
        <w:t>There have been no changes to the building or evacuation planning since the previous audit.</w:t>
      </w:r>
    </w:p>
    <w:bookmarkEnd w:id="25"/>
    <w:p w14:paraId="38B90694" w14:textId="77777777" w:rsidR="001C77F0" w:rsidRPr="00A4268A" w:rsidRDefault="001C77F0">
      <w:pPr>
        <w:spacing w:before="240" w:line="276" w:lineRule="auto"/>
        <w:rPr>
          <w:rFonts w:eastAsia="Calibri"/>
        </w:rPr>
      </w:pPr>
    </w:p>
    <w:p w14:paraId="2D3E262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4B22213A" w14:textId="77777777" w:rsidTr="00A4268A">
        <w:trPr>
          <w:cantSplit/>
        </w:trPr>
        <w:tc>
          <w:tcPr>
            <w:tcW w:w="10206" w:type="dxa"/>
            <w:vAlign w:val="center"/>
          </w:tcPr>
          <w:p w14:paraId="444B279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23BDD1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9DD5D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76192C5"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general manager, and the infection control coordinator at Dixon House ensured the safety of residents and staff through a planned infection prevention (IP) and antimicrobial stewardship (AMS) programme that was appropriate to the size and complexity of the service.</w:t>
      </w:r>
    </w:p>
    <w:p w14:paraId="75489490" w14:textId="77777777" w:rsidR="001C77F0" w:rsidRPr="00A4268A" w:rsidRDefault="00000000">
      <w:pPr>
        <w:spacing w:before="240" w:line="276" w:lineRule="auto"/>
        <w:rPr>
          <w:rFonts w:eastAsia="Calibri"/>
        </w:rPr>
      </w:pPr>
      <w:r w:rsidRPr="00A4268A">
        <w:rPr>
          <w:rFonts w:eastAsia="Calibri"/>
        </w:rPr>
        <w:t>The IP and AMS programme was adequately resourced. The experienced infection control coordinator, who is a registered nurse, led the programme and was engaged in procurement processes.</w:t>
      </w:r>
    </w:p>
    <w:p w14:paraId="7C784208" w14:textId="77777777" w:rsidR="001C77F0" w:rsidRPr="00A4268A" w:rsidRDefault="00000000">
      <w:pPr>
        <w:spacing w:before="240" w:line="276" w:lineRule="auto"/>
        <w:rPr>
          <w:rFonts w:eastAsia="Calibri"/>
        </w:rPr>
      </w:pPr>
      <w:r w:rsidRPr="00A4268A">
        <w:rPr>
          <w:rFonts w:eastAsia="Calibri"/>
        </w:rPr>
        <w:lastRenderedPageBreak/>
        <w:t>Aged care-specific infection surveillance was undertaken with follow-up action taken as required. Surveillance of infections was undertaken, and results were monitored and shared with the organisation’s management and staff. Action plans were implemented as and when required.</w:t>
      </w:r>
    </w:p>
    <w:bookmarkEnd w:id="28"/>
    <w:p w14:paraId="2C8A3880" w14:textId="77777777" w:rsidR="001C77F0" w:rsidRPr="00A4268A" w:rsidRDefault="001C77F0">
      <w:pPr>
        <w:spacing w:before="240" w:line="276" w:lineRule="auto"/>
        <w:rPr>
          <w:rFonts w:eastAsia="Calibri"/>
        </w:rPr>
      </w:pPr>
    </w:p>
    <w:p w14:paraId="4DA64943"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7F0" w14:paraId="5ACBB8F2" w14:textId="77777777" w:rsidTr="00A4268A">
        <w:trPr>
          <w:cantSplit/>
        </w:trPr>
        <w:tc>
          <w:tcPr>
            <w:tcW w:w="10206" w:type="dxa"/>
            <w:vAlign w:val="center"/>
          </w:tcPr>
          <w:p w14:paraId="7F55631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9C805D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9596E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482F441"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manages the process.</w:t>
      </w:r>
    </w:p>
    <w:p w14:paraId="3EE1415F" w14:textId="77777777" w:rsidR="001C77F0" w:rsidRPr="00A4268A" w:rsidRDefault="00000000">
      <w:pPr>
        <w:spacing w:before="240" w:line="276" w:lineRule="auto"/>
        <w:rPr>
          <w:rFonts w:eastAsia="Calibri"/>
        </w:rPr>
      </w:pPr>
      <w:r w:rsidRPr="00A4268A">
        <w:rPr>
          <w:rFonts w:eastAsia="Calibri"/>
        </w:rPr>
        <w:t>Policy requires that restraint education/training be included at orientation and then annually. Competencies are assessed. Staff interviewed demonstrated a sound knowledge and understanding of providing the least restrictive practice, de-escalation techniques, alternative interventions to restraint, and restraint monitoring.</w:t>
      </w:r>
    </w:p>
    <w:bookmarkEnd w:id="31"/>
    <w:p w14:paraId="6295B898" w14:textId="77777777" w:rsidR="001C77F0" w:rsidRPr="00A4268A" w:rsidRDefault="001C77F0">
      <w:pPr>
        <w:spacing w:before="240" w:line="276" w:lineRule="auto"/>
        <w:rPr>
          <w:rFonts w:eastAsia="Calibri"/>
        </w:rPr>
      </w:pPr>
    </w:p>
    <w:p w14:paraId="24D78C51" w14:textId="77777777" w:rsidR="00460D43" w:rsidRDefault="00000000" w:rsidP="000E6E02">
      <w:pPr>
        <w:pStyle w:val="Heading2"/>
        <w:spacing w:before="0"/>
        <w:rPr>
          <w:rFonts w:cs="Arial"/>
        </w:rPr>
      </w:pPr>
      <w:r>
        <w:rPr>
          <w:rFonts w:cs="Arial"/>
        </w:rPr>
        <w:lastRenderedPageBreak/>
        <w:t>Summary of attainment</w:t>
      </w:r>
    </w:p>
    <w:p w14:paraId="7C2EC4E2"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C77F0" w14:paraId="1E5D5034" w14:textId="77777777">
        <w:tc>
          <w:tcPr>
            <w:tcW w:w="1384" w:type="dxa"/>
            <w:vAlign w:val="center"/>
          </w:tcPr>
          <w:p w14:paraId="2943FA8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EFD528" w14:textId="77777777" w:rsidR="00460D43" w:rsidRDefault="00000000">
            <w:pPr>
              <w:keepNext/>
              <w:spacing w:before="60" w:after="60"/>
              <w:jc w:val="center"/>
              <w:rPr>
                <w:rFonts w:cs="Arial"/>
                <w:b/>
                <w:sz w:val="20"/>
                <w:szCs w:val="20"/>
              </w:rPr>
            </w:pPr>
            <w:r>
              <w:rPr>
                <w:rFonts w:cs="Arial"/>
                <w:b/>
                <w:sz w:val="20"/>
                <w:szCs w:val="20"/>
              </w:rPr>
              <w:t>Continuous Improvement</w:t>
            </w:r>
          </w:p>
          <w:p w14:paraId="1ED1228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8260AA0" w14:textId="77777777" w:rsidR="00460D43" w:rsidRDefault="00000000">
            <w:pPr>
              <w:keepNext/>
              <w:spacing w:before="60" w:after="60"/>
              <w:jc w:val="center"/>
              <w:rPr>
                <w:rFonts w:cs="Arial"/>
                <w:b/>
                <w:sz w:val="20"/>
                <w:szCs w:val="20"/>
              </w:rPr>
            </w:pPr>
            <w:r>
              <w:rPr>
                <w:rFonts w:cs="Arial"/>
                <w:b/>
                <w:sz w:val="20"/>
                <w:szCs w:val="20"/>
              </w:rPr>
              <w:t>Fully Attained</w:t>
            </w:r>
          </w:p>
          <w:p w14:paraId="467292D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477049D"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4F8C6B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6EC1F7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B80E36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AA12DA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46138D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0CE231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F23F4E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178195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76FFD82" w14:textId="77777777" w:rsidR="00460D43" w:rsidRDefault="00000000">
            <w:pPr>
              <w:keepNext/>
              <w:spacing w:before="60" w:after="60"/>
              <w:jc w:val="center"/>
              <w:rPr>
                <w:rFonts w:cs="Arial"/>
                <w:b/>
                <w:sz w:val="20"/>
                <w:szCs w:val="20"/>
              </w:rPr>
            </w:pPr>
            <w:r>
              <w:rPr>
                <w:rFonts w:cs="Arial"/>
                <w:b/>
                <w:sz w:val="20"/>
                <w:szCs w:val="20"/>
              </w:rPr>
              <w:t>(PA Critical)</w:t>
            </w:r>
          </w:p>
        </w:tc>
      </w:tr>
      <w:tr w:rsidR="001C77F0" w14:paraId="7B2AA8FF" w14:textId="77777777">
        <w:tc>
          <w:tcPr>
            <w:tcW w:w="1384" w:type="dxa"/>
            <w:vAlign w:val="center"/>
          </w:tcPr>
          <w:p w14:paraId="7CDA902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7D97AB7"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D45A83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452B80C"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46B601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651B03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6E101D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11991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C77F0" w14:paraId="6E78ED88" w14:textId="77777777">
        <w:tc>
          <w:tcPr>
            <w:tcW w:w="1384" w:type="dxa"/>
            <w:vAlign w:val="center"/>
          </w:tcPr>
          <w:p w14:paraId="2EA22DD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EC50D2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895B98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72FA4FC5"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D3247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A2AB24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6306782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3D588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03D5BB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C77F0" w14:paraId="58D94D3C" w14:textId="77777777">
        <w:tc>
          <w:tcPr>
            <w:tcW w:w="1384" w:type="dxa"/>
            <w:vAlign w:val="center"/>
          </w:tcPr>
          <w:p w14:paraId="3CF539B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6B3724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D33D6F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8CBE03C" w14:textId="77777777" w:rsidR="00460D43" w:rsidRDefault="00000000">
            <w:pPr>
              <w:keepNext/>
              <w:spacing w:before="60" w:after="60"/>
              <w:jc w:val="center"/>
              <w:rPr>
                <w:rFonts w:cs="Arial"/>
                <w:b/>
                <w:sz w:val="20"/>
                <w:szCs w:val="20"/>
              </w:rPr>
            </w:pPr>
            <w:r>
              <w:rPr>
                <w:rFonts w:cs="Arial"/>
                <w:b/>
                <w:sz w:val="20"/>
                <w:szCs w:val="20"/>
              </w:rPr>
              <w:t>Unattained Low Risk</w:t>
            </w:r>
          </w:p>
          <w:p w14:paraId="2066315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B7FC4C1" w14:textId="77777777" w:rsidR="00460D43" w:rsidRDefault="00000000">
            <w:pPr>
              <w:keepNext/>
              <w:spacing w:before="60" w:after="60"/>
              <w:jc w:val="center"/>
              <w:rPr>
                <w:rFonts w:cs="Arial"/>
                <w:b/>
                <w:sz w:val="20"/>
                <w:szCs w:val="20"/>
              </w:rPr>
            </w:pPr>
            <w:r>
              <w:rPr>
                <w:rFonts w:cs="Arial"/>
                <w:b/>
                <w:sz w:val="20"/>
                <w:szCs w:val="20"/>
              </w:rPr>
              <w:t>Unattained Moderate Risk</w:t>
            </w:r>
          </w:p>
          <w:p w14:paraId="3FABD40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DF258C0" w14:textId="77777777" w:rsidR="00460D43" w:rsidRDefault="00000000">
            <w:pPr>
              <w:keepNext/>
              <w:spacing w:before="60" w:after="60"/>
              <w:jc w:val="center"/>
              <w:rPr>
                <w:rFonts w:cs="Arial"/>
                <w:b/>
                <w:sz w:val="20"/>
                <w:szCs w:val="20"/>
              </w:rPr>
            </w:pPr>
            <w:r>
              <w:rPr>
                <w:rFonts w:cs="Arial"/>
                <w:b/>
                <w:sz w:val="20"/>
                <w:szCs w:val="20"/>
              </w:rPr>
              <w:t>Unattained High Risk</w:t>
            </w:r>
          </w:p>
          <w:p w14:paraId="1543A4C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F1536C4" w14:textId="77777777" w:rsidR="00460D43" w:rsidRDefault="00000000">
            <w:pPr>
              <w:keepNext/>
              <w:spacing w:before="60" w:after="60"/>
              <w:jc w:val="center"/>
              <w:rPr>
                <w:rFonts w:cs="Arial"/>
                <w:b/>
                <w:sz w:val="20"/>
                <w:szCs w:val="20"/>
              </w:rPr>
            </w:pPr>
            <w:r>
              <w:rPr>
                <w:rFonts w:cs="Arial"/>
                <w:b/>
                <w:sz w:val="20"/>
                <w:szCs w:val="20"/>
              </w:rPr>
              <w:t>Unattained Critical Risk</w:t>
            </w:r>
          </w:p>
          <w:p w14:paraId="4BE2DA30" w14:textId="77777777" w:rsidR="00460D43" w:rsidRDefault="00000000">
            <w:pPr>
              <w:keepNext/>
              <w:spacing w:before="60" w:after="60"/>
              <w:jc w:val="center"/>
              <w:rPr>
                <w:rFonts w:cs="Arial"/>
                <w:b/>
                <w:sz w:val="20"/>
                <w:szCs w:val="20"/>
              </w:rPr>
            </w:pPr>
            <w:r>
              <w:rPr>
                <w:rFonts w:cs="Arial"/>
                <w:b/>
                <w:sz w:val="20"/>
                <w:szCs w:val="20"/>
              </w:rPr>
              <w:t>(UA Critical)</w:t>
            </w:r>
          </w:p>
        </w:tc>
      </w:tr>
      <w:tr w:rsidR="001C77F0" w14:paraId="2435FDDA" w14:textId="77777777">
        <w:tc>
          <w:tcPr>
            <w:tcW w:w="1384" w:type="dxa"/>
            <w:vAlign w:val="center"/>
          </w:tcPr>
          <w:p w14:paraId="2374E2E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6322F5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E4EA12D"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8A184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D17EC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FA9514"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C77F0" w14:paraId="041BCCC8" w14:textId="77777777">
        <w:tc>
          <w:tcPr>
            <w:tcW w:w="1384" w:type="dxa"/>
            <w:vAlign w:val="center"/>
          </w:tcPr>
          <w:p w14:paraId="4658690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8C1899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C8E04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506C32"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53655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E62EC9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8BB94C"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0506BA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83DE33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942AC1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364"/>
        <w:gridCol w:w="7130"/>
      </w:tblGrid>
      <w:tr w:rsidR="001C77F0" w14:paraId="2A0A577F" w14:textId="77777777">
        <w:tc>
          <w:tcPr>
            <w:tcW w:w="0" w:type="auto"/>
          </w:tcPr>
          <w:p w14:paraId="7DD1CD6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C1750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B294F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C77F0" w14:paraId="6C8E5E93" w14:textId="77777777">
        <w:tc>
          <w:tcPr>
            <w:tcW w:w="0" w:type="auto"/>
          </w:tcPr>
          <w:p w14:paraId="69CB75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D6F810A"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9B61FC4" w14:textId="77777777" w:rsidR="00EB7645" w:rsidRPr="00BE00C7" w:rsidRDefault="00000000" w:rsidP="00BE00C7">
            <w:pPr>
              <w:pStyle w:val="OutcomeDescription"/>
              <w:spacing w:before="120" w:after="120"/>
              <w:rPr>
                <w:rFonts w:cs="Arial"/>
                <w:lang w:eastAsia="en-NZ"/>
              </w:rPr>
            </w:pPr>
          </w:p>
        </w:tc>
        <w:tc>
          <w:tcPr>
            <w:tcW w:w="0" w:type="auto"/>
          </w:tcPr>
          <w:p w14:paraId="5AED98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0C5214" w14:textId="77777777" w:rsidR="00EB7645" w:rsidRPr="00BE00C7" w:rsidRDefault="00000000" w:rsidP="00BE00C7">
            <w:pPr>
              <w:pStyle w:val="OutcomeDescription"/>
              <w:spacing w:before="120" w:after="120"/>
              <w:rPr>
                <w:rFonts w:cs="Arial"/>
                <w:lang w:eastAsia="en-NZ"/>
              </w:rPr>
            </w:pPr>
            <w:r w:rsidRPr="00BE00C7">
              <w:rPr>
                <w:rFonts w:cs="Arial"/>
                <w:lang w:eastAsia="en-NZ"/>
              </w:rPr>
              <w:t>Dixon House Rest Home (Dixon House) has developed policies, procedures, and processes to embed and enact Te Tiriti o Waitangi in all aspects of its work. Mana motuhake (self-determination) is respected. Partnerships have been established with local iwi and Māori organisations to support service integration, planning, equity approaches and support for Māori. A Māori health plan has been developed, with input from cultural advisors, which can be used for residents who identify as Māori. There were no residents who identified as Māori in the facility during the audit.</w:t>
            </w:r>
          </w:p>
          <w:p w14:paraId="3BB5C66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interviewed reported that staff respected their right to mana motuhake, and they felt safe.</w:t>
            </w:r>
          </w:p>
          <w:p w14:paraId="4788F791" w14:textId="77777777" w:rsidR="00EB7645" w:rsidRPr="00BE00C7" w:rsidRDefault="00000000" w:rsidP="00BE00C7">
            <w:pPr>
              <w:pStyle w:val="OutcomeDescription"/>
              <w:spacing w:before="120" w:after="120"/>
              <w:rPr>
                <w:rFonts w:cs="Arial"/>
                <w:lang w:eastAsia="en-NZ"/>
              </w:rPr>
            </w:pPr>
          </w:p>
        </w:tc>
      </w:tr>
      <w:tr w:rsidR="001C77F0" w14:paraId="19C197FB" w14:textId="77777777">
        <w:tc>
          <w:tcPr>
            <w:tcW w:w="0" w:type="auto"/>
          </w:tcPr>
          <w:p w14:paraId="2CCF12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F0A93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outcomes.</w:t>
            </w:r>
          </w:p>
          <w:p w14:paraId="73CDC1CD" w14:textId="77777777" w:rsidR="00EB7645" w:rsidRPr="00BE00C7" w:rsidRDefault="00000000" w:rsidP="00BE00C7">
            <w:pPr>
              <w:pStyle w:val="OutcomeDescription"/>
              <w:spacing w:before="120" w:after="120"/>
              <w:rPr>
                <w:rFonts w:cs="Arial"/>
                <w:lang w:eastAsia="en-NZ"/>
              </w:rPr>
            </w:pPr>
          </w:p>
        </w:tc>
        <w:tc>
          <w:tcPr>
            <w:tcW w:w="0" w:type="auto"/>
          </w:tcPr>
          <w:p w14:paraId="3790D8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CF5A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identifies and works in partnership with Pacific communities and organisations to provide a Pacific plan that supports culturally safe practices for Pacific peoples using the service, and on achieving equity. Partnerships enable ongoing planning and evaluation of services and outcomes.</w:t>
            </w:r>
          </w:p>
          <w:p w14:paraId="0FD6A2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Pasifika resident in the facility on the day of audit; however, the Fonofale model of care is available for use for any Pasifika residents entering into the service.</w:t>
            </w:r>
          </w:p>
          <w:p w14:paraId="3821E1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Active recruitment, training, and actions to retain a Pacific workforce are supported through Dixon House, resulting in Pasifika staff being employed across roles.</w:t>
            </w:r>
          </w:p>
          <w:p w14:paraId="06D7A42A" w14:textId="77777777" w:rsidR="00EB7645" w:rsidRPr="00BE00C7" w:rsidRDefault="00000000" w:rsidP="00BE00C7">
            <w:pPr>
              <w:pStyle w:val="OutcomeDescription"/>
              <w:spacing w:before="120" w:after="120"/>
              <w:rPr>
                <w:rFonts w:cs="Arial"/>
                <w:lang w:eastAsia="en-NZ"/>
              </w:rPr>
            </w:pPr>
          </w:p>
        </w:tc>
      </w:tr>
      <w:tr w:rsidR="001C77F0" w14:paraId="65598281" w14:textId="77777777">
        <w:tc>
          <w:tcPr>
            <w:tcW w:w="0" w:type="auto"/>
          </w:tcPr>
          <w:p w14:paraId="32F03E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5AA82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969E777" w14:textId="77777777" w:rsidR="00EB7645" w:rsidRPr="00BE00C7" w:rsidRDefault="00000000" w:rsidP="00BE00C7">
            <w:pPr>
              <w:pStyle w:val="OutcomeDescription"/>
              <w:spacing w:before="120" w:after="120"/>
              <w:rPr>
                <w:rFonts w:cs="Arial"/>
                <w:lang w:eastAsia="en-NZ"/>
              </w:rPr>
            </w:pPr>
          </w:p>
        </w:tc>
        <w:tc>
          <w:tcPr>
            <w:tcW w:w="0" w:type="auto"/>
          </w:tcPr>
          <w:p w14:paraId="2EE1A2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11288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There was, however, no evidence that training on the Code had been provided in the past twelve months (refer criterion 2.3.4).</w:t>
            </w:r>
          </w:p>
          <w:p w14:paraId="2A4BA76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A resident function as an independent advocate for residents. An interview with the advocate identified residents come to the advocate to request support. The general manager (GM) is responsive to residents’ concerns and addresses these promptly. The advocate is aware of the Advocacy Service and the ability to access this service if needed. The advocate reported residents are satisfied with the services provided by Dixon House.</w:t>
            </w:r>
          </w:p>
          <w:p w14:paraId="33628372" w14:textId="77777777" w:rsidR="00EB7645" w:rsidRPr="00BE00C7" w:rsidRDefault="00000000" w:rsidP="00BE00C7">
            <w:pPr>
              <w:pStyle w:val="OutcomeDescription"/>
              <w:spacing w:before="120" w:after="120"/>
              <w:rPr>
                <w:rFonts w:cs="Arial"/>
                <w:lang w:eastAsia="en-NZ"/>
              </w:rPr>
            </w:pPr>
          </w:p>
        </w:tc>
      </w:tr>
      <w:tr w:rsidR="001C77F0" w14:paraId="40288AA5" w14:textId="77777777">
        <w:tc>
          <w:tcPr>
            <w:tcW w:w="0" w:type="auto"/>
          </w:tcPr>
          <w:p w14:paraId="35F083C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6FB44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07AF8BB" w14:textId="77777777" w:rsidR="00EB7645" w:rsidRPr="00BE00C7" w:rsidRDefault="00000000" w:rsidP="00BE00C7">
            <w:pPr>
              <w:pStyle w:val="OutcomeDescription"/>
              <w:spacing w:before="120" w:after="120"/>
              <w:rPr>
                <w:rFonts w:cs="Arial"/>
                <w:lang w:eastAsia="en-NZ"/>
              </w:rPr>
            </w:pPr>
          </w:p>
        </w:tc>
        <w:tc>
          <w:tcPr>
            <w:tcW w:w="0" w:type="auto"/>
          </w:tcPr>
          <w:p w14:paraId="18A500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09E9DD"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Dixon House included reference checking and police vetting. Policies and procedures outlined safeguards in place to protect people from discrimination, coercion, harassment, physical, sexual, or other exploitation, abuse, or neglect. Workers followed a code of conduct.</w:t>
            </w:r>
          </w:p>
          <w:p w14:paraId="505D6CD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however, there was no evidence that training on abuse and neglect being had been provided to staff in the past year (refer criterion 2.3.4). Residents reported that their property was respected, and finances protected. Professional boundaries were maintained.</w:t>
            </w:r>
          </w:p>
          <w:p w14:paraId="2B267996" w14:textId="77777777" w:rsidR="00EB7645" w:rsidRPr="00BE00C7" w:rsidRDefault="00000000" w:rsidP="00BE00C7">
            <w:pPr>
              <w:pStyle w:val="OutcomeDescription"/>
              <w:spacing w:before="120" w:after="120"/>
              <w:rPr>
                <w:rFonts w:cs="Arial"/>
                <w:lang w:eastAsia="en-NZ"/>
              </w:rPr>
            </w:pPr>
            <w:r w:rsidRPr="00BE00C7">
              <w:rPr>
                <w:rFonts w:cs="Arial"/>
                <w:lang w:eastAsia="en-NZ"/>
              </w:rPr>
              <w:t>Ten residents and three whānau members interviewed expressed satisfaction with the services provided at Dixon House.</w:t>
            </w:r>
          </w:p>
          <w:p w14:paraId="7E132969" w14:textId="77777777" w:rsidR="00EB7645" w:rsidRPr="00BE00C7" w:rsidRDefault="00000000" w:rsidP="00BE00C7">
            <w:pPr>
              <w:pStyle w:val="OutcomeDescription"/>
              <w:spacing w:before="120" w:after="120"/>
              <w:rPr>
                <w:rFonts w:cs="Arial"/>
                <w:lang w:eastAsia="en-NZ"/>
              </w:rPr>
            </w:pPr>
          </w:p>
        </w:tc>
      </w:tr>
      <w:tr w:rsidR="001C77F0" w14:paraId="2984DE78" w14:textId="77777777">
        <w:tc>
          <w:tcPr>
            <w:tcW w:w="0" w:type="auto"/>
          </w:tcPr>
          <w:p w14:paraId="6E5BAC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DE99B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60DFD0E" w14:textId="77777777" w:rsidR="00EB7645" w:rsidRPr="00BE00C7" w:rsidRDefault="00000000" w:rsidP="00BE00C7">
            <w:pPr>
              <w:pStyle w:val="OutcomeDescription"/>
              <w:spacing w:before="120" w:after="120"/>
              <w:rPr>
                <w:rFonts w:cs="Arial"/>
                <w:lang w:eastAsia="en-NZ"/>
              </w:rPr>
            </w:pPr>
          </w:p>
        </w:tc>
        <w:tc>
          <w:tcPr>
            <w:tcW w:w="0" w:type="auto"/>
          </w:tcPr>
          <w:p w14:paraId="31B1AE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78538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Dixon House and/or their whānau/legal representatives were provided with the information necessary to make informed decisions. They felt empowered to actively participate in decision-making. The nursing and care staff interviewed understood the principles and practice of informed consent.</w:t>
            </w:r>
          </w:p>
          <w:p w14:paraId="0B294B8C"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4A43E3BE" w14:textId="77777777" w:rsidR="00EB7645" w:rsidRPr="00BE00C7" w:rsidRDefault="00000000" w:rsidP="00BE00C7">
            <w:pPr>
              <w:pStyle w:val="OutcomeDescription"/>
              <w:spacing w:before="120" w:after="120"/>
              <w:rPr>
                <w:rFonts w:cs="Arial"/>
                <w:lang w:eastAsia="en-NZ"/>
              </w:rPr>
            </w:pPr>
          </w:p>
        </w:tc>
      </w:tr>
      <w:tr w:rsidR="001C77F0" w14:paraId="1B781487" w14:textId="77777777">
        <w:tc>
          <w:tcPr>
            <w:tcW w:w="0" w:type="auto"/>
          </w:tcPr>
          <w:p w14:paraId="695771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AA5F4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B9AFCAE" w14:textId="77777777" w:rsidR="00EB7645" w:rsidRPr="00BE00C7" w:rsidRDefault="00000000" w:rsidP="00BE00C7">
            <w:pPr>
              <w:pStyle w:val="OutcomeDescription"/>
              <w:spacing w:before="120" w:after="120"/>
              <w:rPr>
                <w:rFonts w:cs="Arial"/>
                <w:lang w:eastAsia="en-NZ"/>
              </w:rPr>
            </w:pPr>
          </w:p>
        </w:tc>
        <w:tc>
          <w:tcPr>
            <w:tcW w:w="0" w:type="auto"/>
          </w:tcPr>
          <w:p w14:paraId="73DC61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9901DF"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50E9B96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eight complaints received in the last 12 months showed that the complaints had been addressed in a timely manner and that the complainants had been informed of the outcome of their complaint. There have been no complaints from Māori in the service but there are processes in place to ensure complaints from Māori are managed in a culturally appropriate way (e.g., using culturally appropriate support, hui, and tikanga practices specific to the resident or the complainant).</w:t>
            </w:r>
          </w:p>
          <w:p w14:paraId="317991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other complaints received from external sources since the previous audit.</w:t>
            </w:r>
          </w:p>
          <w:p w14:paraId="1FC674B5" w14:textId="77777777" w:rsidR="00EB7645" w:rsidRPr="00BE00C7" w:rsidRDefault="00000000" w:rsidP="00BE00C7">
            <w:pPr>
              <w:pStyle w:val="OutcomeDescription"/>
              <w:spacing w:before="120" w:after="120"/>
              <w:rPr>
                <w:rFonts w:cs="Arial"/>
                <w:lang w:eastAsia="en-NZ"/>
              </w:rPr>
            </w:pPr>
          </w:p>
        </w:tc>
      </w:tr>
      <w:tr w:rsidR="001C77F0" w14:paraId="63AF5338" w14:textId="77777777">
        <w:tc>
          <w:tcPr>
            <w:tcW w:w="0" w:type="auto"/>
          </w:tcPr>
          <w:p w14:paraId="68B8518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21CF4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BDAA709" w14:textId="77777777" w:rsidR="00EB7645" w:rsidRPr="00BE00C7" w:rsidRDefault="00000000" w:rsidP="00BE00C7">
            <w:pPr>
              <w:pStyle w:val="OutcomeDescription"/>
              <w:spacing w:before="120" w:after="120"/>
              <w:rPr>
                <w:rFonts w:cs="Arial"/>
                <w:lang w:eastAsia="en-NZ"/>
              </w:rPr>
            </w:pPr>
          </w:p>
        </w:tc>
        <w:tc>
          <w:tcPr>
            <w:tcW w:w="0" w:type="auto"/>
          </w:tcPr>
          <w:p w14:paraId="7E46D4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4572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w:t>
            </w:r>
            <w:r w:rsidRPr="00BE00C7">
              <w:rPr>
                <w:rFonts w:cs="Arial"/>
                <w:lang w:eastAsia="en-NZ"/>
              </w:rPr>
              <w:lastRenderedPageBreak/>
              <w:t>governance groups, honouring Te Tiriti o Waitangi and being focused on improving outcomes for Māori, Pasifika, and tāngata whaikaha. Changes due to legislative and clinical requirements are provided by an external consultant to the service who specialises in aged-care governance and management. Information garnered translates into policy and procedure.</w:t>
            </w:r>
          </w:p>
          <w:p w14:paraId="493511B2" w14:textId="77777777" w:rsidR="00EB7645" w:rsidRPr="00BE00C7" w:rsidRDefault="00000000" w:rsidP="00BE00C7">
            <w:pPr>
              <w:pStyle w:val="OutcomeDescription"/>
              <w:spacing w:before="120" w:after="120"/>
              <w:rPr>
                <w:rFonts w:cs="Arial"/>
                <w:lang w:eastAsia="en-NZ"/>
              </w:rPr>
            </w:pPr>
            <w:r w:rsidRPr="00BE00C7">
              <w:rPr>
                <w:rFonts w:cs="Arial"/>
                <w:lang w:eastAsia="en-NZ"/>
              </w:rPr>
              <w:t>Dixon House has a strategic plan in place which outlines the organisation’s structure, purpose, values, scope, direction, performance, and goals. The plan incorporates the Ngā Paerewa Standard in relation to antimicrobial stewardship (AMS) and restraint elimination across ethnicity. The service’s organisational philosophy and strategic plan reflect a person-centred and whānau-centred approach to service delivery.</w:t>
            </w:r>
          </w:p>
          <w:p w14:paraId="13F4C3B1"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collected to support equitable service delivery. 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Dixon House utilises the skills of staff and senior managers and supports them in making sure barriers to equitable service delivery are surmounted.</w:t>
            </w:r>
          </w:p>
          <w:p w14:paraId="3004119A"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commits to improving quality and managing risk via policy, processes and through feedback mechanisms. This includes the board receiving regular information from the service. Internal data is collected (e.g., adverse events, infections, complaints, internal audit activities) and aggregated and corrective actions implemented where necessary. Changes are made to business and/or the strategic plans as required.</w:t>
            </w:r>
          </w:p>
          <w:p w14:paraId="272412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clinical governance structure in place which has been approved by the board; however, the GM is not a registered nurse (RN), and the clinical manager (CM) is an enrolled nurse (EN) who works four days per week. Dixon House’s contract with Te Whatu Ora West Coast requires that the CM of a service be a RN (D17.4 ba) and work in a full-time capacity. Added to this, the Nursing Council of New Zealand (NCNZ) scope of practice for the CM, who is an EN, requires them to work under the direction and delegation of a RN. This is an area which needs to be addressed (refer criterion 2.1.11).</w:t>
            </w:r>
          </w:p>
          <w:p w14:paraId="2DE830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Te Whatu Ora West Coast age-related residential care (ARRC) at rest home and hospital level. It also holds contracts with Te Whatu Ora West Coast for short-term care (respite), with </w:t>
            </w:r>
            <w:r w:rsidRPr="00BE00C7">
              <w:rPr>
                <w:rFonts w:cs="Arial"/>
                <w:lang w:eastAsia="en-NZ"/>
              </w:rPr>
              <w:lastRenderedPageBreak/>
              <w:t>Whaikaha for the care of younger people with a disability (YPD), and with the Accident Compensation Corporation (ACC). On the day of audit, 22 residents were receiving rest home services (one under a Whaikaha contract) and 15 hospital level services (one on respite). No residents were receiving services under the ACC contract.</w:t>
            </w:r>
          </w:p>
          <w:p w14:paraId="3FA979B8" w14:textId="77777777" w:rsidR="00EB7645" w:rsidRPr="00BE00C7" w:rsidRDefault="00000000" w:rsidP="00BE00C7">
            <w:pPr>
              <w:pStyle w:val="OutcomeDescription"/>
              <w:spacing w:before="120" w:after="120"/>
              <w:rPr>
                <w:rFonts w:cs="Arial"/>
                <w:lang w:eastAsia="en-NZ"/>
              </w:rPr>
            </w:pPr>
          </w:p>
        </w:tc>
      </w:tr>
      <w:tr w:rsidR="001C77F0" w14:paraId="75294430" w14:textId="77777777">
        <w:tc>
          <w:tcPr>
            <w:tcW w:w="0" w:type="auto"/>
          </w:tcPr>
          <w:p w14:paraId="581881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F219D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79F64E3" w14:textId="77777777" w:rsidR="00EB7645" w:rsidRPr="00BE00C7" w:rsidRDefault="00000000" w:rsidP="00BE00C7">
            <w:pPr>
              <w:pStyle w:val="OutcomeDescription"/>
              <w:spacing w:before="120" w:after="120"/>
              <w:rPr>
                <w:rFonts w:cs="Arial"/>
                <w:lang w:eastAsia="en-NZ"/>
              </w:rPr>
            </w:pPr>
          </w:p>
        </w:tc>
        <w:tc>
          <w:tcPr>
            <w:tcW w:w="0" w:type="auto"/>
          </w:tcPr>
          <w:p w14:paraId="08EE195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4F77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 Quality data is communicated and discussed, and this was confirmed by staff at interview. Critical analysis of organisational practices to improve health equity is occurring with appropriate follow-up and reporting. A Māori health plan guides care for Māori.</w:t>
            </w:r>
          </w:p>
          <w:p w14:paraId="5097E4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and CM understood the processes for the identification, documentation, monitoring, review, and reporting of risks, including health and safety risks, and development of mitigation strategies.</w:t>
            </w:r>
          </w:p>
          <w:p w14:paraId="6E26D39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five incident forms reviewed (from a total of 14) showed these were fully completed, incidents were investigated, action plans were developed, and any corrective actions followed up in a timely manner. Actions required to minimise these events were recorded in the residents’ progress notes, and strategies to minimise recurrence were included in the residents’ ongoing plan of care.</w:t>
            </w:r>
          </w:p>
          <w:p w14:paraId="62909C8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staff contribute to quality improvement through the ability to give feedback at meetings. Outcomes from the last resident and whānau satisfaction survey (2023) were primarily favourable.</w:t>
            </w:r>
          </w:p>
          <w:p w14:paraId="60D0C7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and CM understood and have complied with essential notification reporting requirements. There have been two section 31 notifications completed in the last 12 months, one notifying the change of manager and the other notifying of the change of CM.</w:t>
            </w:r>
          </w:p>
          <w:p w14:paraId="44831E2C" w14:textId="77777777" w:rsidR="00EB7645" w:rsidRPr="00BE00C7" w:rsidRDefault="00000000" w:rsidP="00BE00C7">
            <w:pPr>
              <w:pStyle w:val="OutcomeDescription"/>
              <w:spacing w:before="120" w:after="120"/>
              <w:rPr>
                <w:rFonts w:cs="Arial"/>
                <w:lang w:eastAsia="en-NZ"/>
              </w:rPr>
            </w:pPr>
          </w:p>
        </w:tc>
      </w:tr>
      <w:tr w:rsidR="001C77F0" w14:paraId="0669BDEC" w14:textId="77777777">
        <w:tc>
          <w:tcPr>
            <w:tcW w:w="0" w:type="auto"/>
          </w:tcPr>
          <w:p w14:paraId="4B29ED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7DE9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367B598" w14:textId="77777777" w:rsidR="00EB7645" w:rsidRPr="00BE00C7" w:rsidRDefault="00000000" w:rsidP="00BE00C7">
            <w:pPr>
              <w:pStyle w:val="OutcomeDescription"/>
              <w:spacing w:before="120" w:after="120"/>
              <w:rPr>
                <w:rFonts w:cs="Arial"/>
                <w:lang w:eastAsia="en-NZ"/>
              </w:rPr>
            </w:pPr>
          </w:p>
        </w:tc>
        <w:tc>
          <w:tcPr>
            <w:tcW w:w="0" w:type="auto"/>
          </w:tcPr>
          <w:p w14:paraId="4CAE7C4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CE2BD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in the facility.</w:t>
            </w:r>
          </w:p>
          <w:p w14:paraId="019A6363"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additional functions, such as holding a restraint or infection prevention and control (IPC) portfolio. Annual practising certificates for health professionals are checked annually and all were current.</w:t>
            </w:r>
          </w:p>
          <w:p w14:paraId="1AE384DD" w14:textId="77777777" w:rsidR="00EB7645" w:rsidRPr="00BE00C7" w:rsidRDefault="00000000" w:rsidP="00BE00C7">
            <w:pPr>
              <w:pStyle w:val="OutcomeDescription"/>
              <w:spacing w:before="120" w:after="120"/>
              <w:rPr>
                <w:rFonts w:cs="Arial"/>
                <w:lang w:eastAsia="en-NZ"/>
              </w:rPr>
            </w:pPr>
            <w:r w:rsidRPr="00BE00C7">
              <w:rPr>
                <w:rFonts w:cs="Arial"/>
                <w:lang w:eastAsia="en-NZ"/>
              </w:rPr>
              <w:t>Some continuing education has been completed; however, there is no annual plan for education and the education delivered does not meet all the requirements of the service (refer criterion 2.3.4). Care staff have access to a New Zealand Qualification Authority (NZQA) education programme to meet the requirements of the provider’s agreements with Te Whatu Ora West Coast.</w:t>
            </w:r>
          </w:p>
          <w:p w14:paraId="256CD918" w14:textId="77777777" w:rsidR="00EB7645" w:rsidRPr="00BE00C7" w:rsidRDefault="00000000" w:rsidP="00BE00C7">
            <w:pPr>
              <w:pStyle w:val="OutcomeDescription"/>
              <w:spacing w:before="120" w:after="120"/>
              <w:rPr>
                <w:rFonts w:cs="Arial"/>
                <w:lang w:eastAsia="en-NZ"/>
              </w:rPr>
            </w:pPr>
            <w:r w:rsidRPr="00BE00C7">
              <w:rPr>
                <w:rFonts w:cs="Arial"/>
                <w:lang w:eastAsia="en-NZ"/>
              </w:rPr>
              <w:t>Annual competencies are set out in a schedule as outlined in policy but, while some competencies have been completed, there is no accurate method of recording annual competency with the exception of medication competency (refer criterion 2.3.3).</w:t>
            </w:r>
          </w:p>
          <w:p w14:paraId="5BD145A5" w14:textId="77777777" w:rsidR="00EB7645" w:rsidRPr="00BE00C7" w:rsidRDefault="00000000" w:rsidP="00BE00C7">
            <w:pPr>
              <w:pStyle w:val="OutcomeDescription"/>
              <w:spacing w:before="120" w:after="120"/>
              <w:rPr>
                <w:rFonts w:cs="Arial"/>
                <w:lang w:eastAsia="en-NZ"/>
              </w:rPr>
            </w:pPr>
          </w:p>
        </w:tc>
      </w:tr>
      <w:tr w:rsidR="001C77F0" w14:paraId="0D804E1B" w14:textId="77777777">
        <w:tc>
          <w:tcPr>
            <w:tcW w:w="0" w:type="auto"/>
          </w:tcPr>
          <w:p w14:paraId="21A7C2F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BEFCC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respectful, quality care and services.</w:t>
            </w:r>
          </w:p>
          <w:p w14:paraId="7978047A" w14:textId="77777777" w:rsidR="00EB7645" w:rsidRPr="00BE00C7" w:rsidRDefault="00000000" w:rsidP="00BE00C7">
            <w:pPr>
              <w:pStyle w:val="OutcomeDescription"/>
              <w:spacing w:before="120" w:after="120"/>
              <w:rPr>
                <w:rFonts w:cs="Arial"/>
                <w:lang w:eastAsia="en-NZ"/>
              </w:rPr>
            </w:pPr>
          </w:p>
        </w:tc>
        <w:tc>
          <w:tcPr>
            <w:tcW w:w="0" w:type="auto"/>
          </w:tcPr>
          <w:p w14:paraId="0C50B6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717D09"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Staff entering the service do so following interview, reference checking, and police vetting.</w:t>
            </w:r>
          </w:p>
          <w:p w14:paraId="0FD674ED"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enrolled nurses (ENs), and associated health contractors (13 general practitioners (GPs), the nurse practitioner (NP), pharmacists, podiatrist, and dietitian). Physiotherapy services are supplied through Te Whatu Ora West Coast.</w:t>
            </w:r>
          </w:p>
          <w:p w14:paraId="315053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six staff records were reviewed and these evidenced completed induction and orientation. Staff performance is reviewed and discussed at </w:t>
            </w:r>
            <w:r w:rsidRPr="00BE00C7">
              <w:rPr>
                <w:rFonts w:cs="Arial"/>
                <w:lang w:eastAsia="en-NZ"/>
              </w:rPr>
              <w:lastRenderedPageBreak/>
              <w:t>regular intervals; this was confirmed through documentation sighted and interviews with staff. Staff reported that they have input into the performance appraisal process, and that they can set their own goals.</w:t>
            </w:r>
          </w:p>
          <w:p w14:paraId="719F760A" w14:textId="77777777" w:rsidR="00EB7645" w:rsidRPr="00BE00C7" w:rsidRDefault="00000000" w:rsidP="00BE00C7">
            <w:pPr>
              <w:pStyle w:val="OutcomeDescription"/>
              <w:spacing w:before="120" w:after="120"/>
              <w:rPr>
                <w:rFonts w:cs="Arial"/>
                <w:lang w:eastAsia="en-NZ"/>
              </w:rPr>
            </w:pPr>
          </w:p>
        </w:tc>
      </w:tr>
      <w:tr w:rsidR="001C77F0" w14:paraId="42A84593" w14:textId="77777777">
        <w:tc>
          <w:tcPr>
            <w:tcW w:w="0" w:type="auto"/>
          </w:tcPr>
          <w:p w14:paraId="0E4107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FCF3A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C0CE016" w14:textId="77777777" w:rsidR="00EB7645" w:rsidRPr="00BE00C7" w:rsidRDefault="00000000" w:rsidP="00BE00C7">
            <w:pPr>
              <w:pStyle w:val="OutcomeDescription"/>
              <w:spacing w:before="120" w:after="120"/>
              <w:rPr>
                <w:rFonts w:cs="Arial"/>
                <w:lang w:eastAsia="en-NZ"/>
              </w:rPr>
            </w:pPr>
          </w:p>
        </w:tc>
        <w:tc>
          <w:tcPr>
            <w:tcW w:w="0" w:type="auto"/>
          </w:tcPr>
          <w:p w14:paraId="14FDA93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250D1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Dixon House worked in partnership with the resident and their whānau to support the residents’ wellbeing. Seven residents’ files were reviewed: four hospital files, and three rest home files. These files included residents who had had an acute event requiring transfer to an acute facility, residents with a pressure injury, residents with a wound, residents receiving respite care, residents receiving care under a Whaikaha contract, residents self-administering their medication, and residents who had a recent fall.</w:t>
            </w:r>
          </w:p>
          <w:p w14:paraId="5171FE6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seven files reviewed verified that a care plan was developed by the CM (who is an EN) following a comprehensive assessment, including consideration of the person’s lived experience, cultural needs, values, and beliefs, and which considers wider service integration, where required. The care plans and wound care plans were not evidenced to have been overseen by an RN, as per the NCNZ requirements of an EN’s scope of practice, and the requirements of D 16.3 c, and 16.3A of the ARRC contract. This is an area requiring attention (refer criterion 3.2.3).</w:t>
            </w:r>
          </w:p>
          <w:p w14:paraId="1D388A5C"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GP or NP input, initial care plan, long-term care plan, short-term care plans, and review/evaluation timeframes met contractual requirements. This was verified by reviewing documentation, sampling residents’ records, interviews, and from observation. Residents who had falls that were unwitnessed or involved a blow to the head, had RN assessments and neurological observations completed in accordance with best practice guidelines. All aspects of residents’ care were documented comprehensively in the resident’s file. Care was provided in accordance with resident need.</w:t>
            </w:r>
          </w:p>
          <w:p w14:paraId="37E40BDF" w14:textId="2CBFBE72" w:rsidR="00EB7645" w:rsidRPr="00BE00C7" w:rsidRDefault="00000000" w:rsidP="00F05C44">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whānau. </w:t>
            </w:r>
            <w:r w:rsidRPr="00BE00C7">
              <w:rPr>
                <w:rFonts w:cs="Arial"/>
                <w:lang w:eastAsia="en-NZ"/>
              </w:rPr>
              <w:lastRenderedPageBreak/>
              <w:t>Residents and whānau confirmed active involvement in the process, including young residents with a disability.</w:t>
            </w:r>
          </w:p>
        </w:tc>
      </w:tr>
      <w:tr w:rsidR="001C77F0" w14:paraId="386A1724" w14:textId="77777777">
        <w:tc>
          <w:tcPr>
            <w:tcW w:w="0" w:type="auto"/>
          </w:tcPr>
          <w:p w14:paraId="4C81F0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00348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9021386" w14:textId="77777777" w:rsidR="00EB7645" w:rsidRPr="00BE00C7" w:rsidRDefault="00000000" w:rsidP="00BE00C7">
            <w:pPr>
              <w:pStyle w:val="OutcomeDescription"/>
              <w:spacing w:before="120" w:after="120"/>
              <w:rPr>
                <w:rFonts w:cs="Arial"/>
                <w:lang w:eastAsia="en-NZ"/>
              </w:rPr>
            </w:pPr>
          </w:p>
        </w:tc>
        <w:tc>
          <w:tcPr>
            <w:tcW w:w="0" w:type="auto"/>
          </w:tcPr>
          <w:p w14:paraId="2FB3C3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52E0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6C820C16"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 Staff administering medication had completed medication competency.</w:t>
            </w:r>
          </w:p>
          <w:p w14:paraId="54168D8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004005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difficulties identified by younger people interviewed, in accessing their required medicines from the facility (YPD).</w:t>
            </w:r>
          </w:p>
          <w:p w14:paraId="333124ED"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Dixon House.</w:t>
            </w:r>
          </w:p>
          <w:p w14:paraId="7F627648"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and their whānau, were supported to understand their medications.</w:t>
            </w:r>
          </w:p>
          <w:p w14:paraId="7F609CBE" w14:textId="77777777" w:rsidR="00EB7645" w:rsidRPr="00BE00C7" w:rsidRDefault="00000000" w:rsidP="00BE00C7">
            <w:pPr>
              <w:pStyle w:val="OutcomeDescription"/>
              <w:spacing w:before="120" w:after="120"/>
              <w:rPr>
                <w:rFonts w:cs="Arial"/>
                <w:lang w:eastAsia="en-NZ"/>
              </w:rPr>
            </w:pPr>
          </w:p>
        </w:tc>
      </w:tr>
      <w:tr w:rsidR="001C77F0" w14:paraId="2A7A344F" w14:textId="77777777">
        <w:tc>
          <w:tcPr>
            <w:tcW w:w="0" w:type="auto"/>
          </w:tcPr>
          <w:p w14:paraId="59068C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B3AB5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465EC981" w14:textId="77777777" w:rsidR="00EB7645" w:rsidRPr="00BE00C7" w:rsidRDefault="00000000" w:rsidP="00BE00C7">
            <w:pPr>
              <w:pStyle w:val="OutcomeDescription"/>
              <w:spacing w:before="120" w:after="120"/>
              <w:rPr>
                <w:rFonts w:cs="Arial"/>
                <w:lang w:eastAsia="en-NZ"/>
              </w:rPr>
            </w:pPr>
          </w:p>
        </w:tc>
        <w:tc>
          <w:tcPr>
            <w:tcW w:w="0" w:type="auto"/>
          </w:tcPr>
          <w:p w14:paraId="3D652F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ED98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Dixon House was in line with recognised nutritional guidelines for older people. The menu was reviewed by a qualified dietitian on 8 August 2023. Recommendations made at that time had been implemented.</w:t>
            </w:r>
          </w:p>
          <w:p w14:paraId="4F015A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operated with an approved food safety plan and registration. A verification audit of the food control plan was undertaken at Dixon House on 20 September 2022. Four areas requiring corrective action were identified, these were addressed and signed off and the plan was verified for 18 months. </w:t>
            </w:r>
            <w:r w:rsidRPr="00BE00C7">
              <w:rPr>
                <w:rFonts w:cs="Arial"/>
                <w:lang w:eastAsia="en-NZ"/>
              </w:rPr>
              <w:lastRenderedPageBreak/>
              <w:t>The plan is due for re-audit on 11 April 2024 (the day following audit), and this had been arranged.</w:t>
            </w:r>
          </w:p>
          <w:p w14:paraId="0200340E"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5CD9C012"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This was supported on the day of the audit when residents responded favourably regarding the meals provided on the day.</w:t>
            </w:r>
          </w:p>
          <w:p w14:paraId="28AA5B38" w14:textId="77777777" w:rsidR="00EB7645" w:rsidRPr="00BE00C7" w:rsidRDefault="00000000" w:rsidP="00BE00C7">
            <w:pPr>
              <w:pStyle w:val="OutcomeDescription"/>
              <w:spacing w:before="120" w:after="120"/>
              <w:rPr>
                <w:rFonts w:cs="Arial"/>
                <w:lang w:eastAsia="en-NZ"/>
              </w:rPr>
            </w:pPr>
          </w:p>
        </w:tc>
      </w:tr>
      <w:tr w:rsidR="001C77F0" w14:paraId="59F5C0CA" w14:textId="77777777">
        <w:tc>
          <w:tcPr>
            <w:tcW w:w="0" w:type="auto"/>
          </w:tcPr>
          <w:p w14:paraId="2D3580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89686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1A27233" w14:textId="77777777" w:rsidR="00EB7645" w:rsidRPr="00BE00C7" w:rsidRDefault="00000000" w:rsidP="00BE00C7">
            <w:pPr>
              <w:pStyle w:val="OutcomeDescription"/>
              <w:spacing w:before="120" w:after="120"/>
              <w:rPr>
                <w:rFonts w:cs="Arial"/>
                <w:lang w:eastAsia="en-NZ"/>
              </w:rPr>
            </w:pPr>
          </w:p>
        </w:tc>
        <w:tc>
          <w:tcPr>
            <w:tcW w:w="0" w:type="auto"/>
          </w:tcPr>
          <w:p w14:paraId="1003EC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972895"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Dixon House was planned and managed safely to cover current needs and mitigate risk. The plan was developed with coordination between services and in collaboration with the resident and whānau. The friend/whānau of a resident who was recently transferred reported that they were kept well-informed throughout the process.</w:t>
            </w:r>
          </w:p>
          <w:p w14:paraId="1EFC8E8F" w14:textId="77777777" w:rsidR="00EB7645" w:rsidRPr="00BE00C7" w:rsidRDefault="00000000" w:rsidP="00BE00C7">
            <w:pPr>
              <w:pStyle w:val="OutcomeDescription"/>
              <w:spacing w:before="120" w:after="120"/>
              <w:rPr>
                <w:rFonts w:cs="Arial"/>
                <w:lang w:eastAsia="en-NZ"/>
              </w:rPr>
            </w:pPr>
          </w:p>
        </w:tc>
      </w:tr>
      <w:tr w:rsidR="001C77F0" w14:paraId="520184C4" w14:textId="77777777">
        <w:tc>
          <w:tcPr>
            <w:tcW w:w="0" w:type="auto"/>
          </w:tcPr>
          <w:p w14:paraId="43F1FD9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59AFA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w:t>
            </w:r>
            <w:r w:rsidRPr="00BE00C7">
              <w:rPr>
                <w:rFonts w:cs="Arial"/>
                <w:lang w:eastAsia="en-NZ"/>
              </w:rPr>
              <w:lastRenderedPageBreak/>
              <w:t>the people we deliver services to can move independently and freely throughout. The physical environment optimises people’s sense of belonging, independence, interaction, and function.</w:t>
            </w:r>
          </w:p>
          <w:p w14:paraId="159B103B" w14:textId="77777777" w:rsidR="00EB7645" w:rsidRPr="00BE00C7" w:rsidRDefault="00000000" w:rsidP="00BE00C7">
            <w:pPr>
              <w:pStyle w:val="OutcomeDescription"/>
              <w:spacing w:before="120" w:after="120"/>
              <w:rPr>
                <w:rFonts w:cs="Arial"/>
                <w:lang w:eastAsia="en-NZ"/>
              </w:rPr>
            </w:pPr>
          </w:p>
        </w:tc>
        <w:tc>
          <w:tcPr>
            <w:tcW w:w="0" w:type="auto"/>
          </w:tcPr>
          <w:p w14:paraId="78CA5E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A6C777"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culturally appropriate, and that they meet legislative requirements. The building has a warrant of fitness which expires on 1 July 2024. A planned maintenance schedule includes electrical testing and tagging, resident equipment checks, and calibrations of biomedical equipment. Monthly hot water tests are completed for resident areas; these were sighted and were all within acceptable limits.</w:t>
            </w:r>
          </w:p>
          <w:p w14:paraId="473EDF18" w14:textId="77777777" w:rsidR="00EB7645" w:rsidRPr="00BE00C7" w:rsidRDefault="00000000" w:rsidP="00BE00C7">
            <w:pPr>
              <w:pStyle w:val="OutcomeDescription"/>
              <w:spacing w:before="120" w:after="120"/>
              <w:rPr>
                <w:rFonts w:cs="Arial"/>
                <w:lang w:eastAsia="en-NZ"/>
              </w:rPr>
            </w:pPr>
          </w:p>
        </w:tc>
      </w:tr>
      <w:tr w:rsidR="001C77F0" w14:paraId="3B441287" w14:textId="77777777">
        <w:tc>
          <w:tcPr>
            <w:tcW w:w="0" w:type="auto"/>
          </w:tcPr>
          <w:p w14:paraId="1F4F46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F4B64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A6CD88E" w14:textId="77777777" w:rsidR="00EB7645" w:rsidRPr="00BE00C7" w:rsidRDefault="00000000" w:rsidP="00BE00C7">
            <w:pPr>
              <w:pStyle w:val="OutcomeDescription"/>
              <w:spacing w:before="120" w:after="120"/>
              <w:rPr>
                <w:rFonts w:cs="Arial"/>
                <w:lang w:eastAsia="en-NZ"/>
              </w:rPr>
            </w:pPr>
          </w:p>
        </w:tc>
        <w:tc>
          <w:tcPr>
            <w:tcW w:w="0" w:type="auto"/>
          </w:tcPr>
          <w:p w14:paraId="4CBC99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53DC65" w14:textId="77777777" w:rsidR="00EB7645" w:rsidRPr="00BE00C7" w:rsidRDefault="00000000" w:rsidP="00BE00C7">
            <w:pPr>
              <w:pStyle w:val="OutcomeDescription"/>
              <w:spacing w:before="120" w:after="120"/>
              <w:rPr>
                <w:rFonts w:cs="Arial"/>
                <w:lang w:eastAsia="en-NZ"/>
              </w:rPr>
            </w:pPr>
            <w:r w:rsidRPr="00BE00C7">
              <w:rPr>
                <w:rFonts w:cs="Arial"/>
                <w:lang w:eastAsia="en-NZ"/>
              </w:rPr>
              <w:t>A finding from the previous audit related to fire evacuation has been addressed and closed (criterion 4.2.2). The last fire evacuation was conducted on 21 March 2024.</w:t>
            </w:r>
          </w:p>
          <w:p w14:paraId="7E3B1290" w14:textId="77777777" w:rsidR="00EB7645" w:rsidRPr="00BE00C7" w:rsidRDefault="00000000" w:rsidP="00BE00C7">
            <w:pPr>
              <w:pStyle w:val="OutcomeDescription"/>
              <w:spacing w:before="120" w:after="120"/>
              <w:rPr>
                <w:rFonts w:cs="Arial"/>
                <w:lang w:eastAsia="en-NZ"/>
              </w:rPr>
            </w:pPr>
          </w:p>
        </w:tc>
      </w:tr>
      <w:tr w:rsidR="001C77F0" w14:paraId="568562B6" w14:textId="77777777">
        <w:tc>
          <w:tcPr>
            <w:tcW w:w="0" w:type="auto"/>
          </w:tcPr>
          <w:p w14:paraId="3D8794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54A7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BB93DA0" w14:textId="77777777" w:rsidR="00EB7645" w:rsidRPr="00BE00C7" w:rsidRDefault="00000000" w:rsidP="00BE00C7">
            <w:pPr>
              <w:pStyle w:val="OutcomeDescription"/>
              <w:spacing w:before="120" w:after="120"/>
              <w:rPr>
                <w:rFonts w:cs="Arial"/>
                <w:lang w:eastAsia="en-NZ"/>
              </w:rPr>
            </w:pPr>
          </w:p>
        </w:tc>
        <w:tc>
          <w:tcPr>
            <w:tcW w:w="0" w:type="auto"/>
          </w:tcPr>
          <w:p w14:paraId="3C7E09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442B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risk-based reporting of progress, issues and remarkable events to the governing body.</w:t>
            </w:r>
          </w:p>
          <w:p w14:paraId="34476D5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education during orientation and were observed following these correctly. Minimal infection control education has been provided in the past year (refer criterion 2.3.4).</w:t>
            </w:r>
          </w:p>
          <w:p w14:paraId="333A16B1" w14:textId="77777777" w:rsidR="00EB7645" w:rsidRPr="00BE00C7" w:rsidRDefault="00000000" w:rsidP="00BE00C7">
            <w:pPr>
              <w:pStyle w:val="OutcomeDescription"/>
              <w:spacing w:before="120" w:after="120"/>
              <w:rPr>
                <w:rFonts w:cs="Arial"/>
                <w:lang w:eastAsia="en-NZ"/>
              </w:rPr>
            </w:pPr>
          </w:p>
        </w:tc>
      </w:tr>
      <w:tr w:rsidR="001C77F0" w14:paraId="1B74A82A" w14:textId="77777777">
        <w:tc>
          <w:tcPr>
            <w:tcW w:w="0" w:type="auto"/>
          </w:tcPr>
          <w:p w14:paraId="5628B4D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2AF46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92F4EAC" w14:textId="77777777" w:rsidR="00EB7645" w:rsidRPr="00BE00C7" w:rsidRDefault="00000000" w:rsidP="00BE00C7">
            <w:pPr>
              <w:pStyle w:val="OutcomeDescription"/>
              <w:spacing w:before="120" w:after="120"/>
              <w:rPr>
                <w:rFonts w:cs="Arial"/>
                <w:lang w:eastAsia="en-NZ"/>
              </w:rPr>
            </w:pPr>
          </w:p>
        </w:tc>
        <w:tc>
          <w:tcPr>
            <w:tcW w:w="0" w:type="auto"/>
          </w:tcPr>
          <w:p w14:paraId="36E9F7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CF5D7F" w14:textId="77777777" w:rsidR="00EB7645" w:rsidRPr="00BE00C7" w:rsidRDefault="00000000" w:rsidP="00BE00C7">
            <w:pPr>
              <w:pStyle w:val="OutcomeDescription"/>
              <w:spacing w:before="120" w:after="120"/>
              <w:rPr>
                <w:rFonts w:cs="Arial"/>
                <w:lang w:eastAsia="en-NZ"/>
              </w:rPr>
            </w:pPr>
            <w:r w:rsidRPr="00BE00C7">
              <w:rPr>
                <w:rFonts w:cs="Arial"/>
                <w:lang w:eastAsia="en-NZ"/>
              </w:rPr>
              <w:t>Dixon House undertook surveillance of infections appropriate to that recommended for long-term care facilities and this was in line with priorities defined in the infection control programme. The service used standardised surveillance definitions to identify and classify infection events that relate to the type of infection under surveillance.</w:t>
            </w:r>
          </w:p>
          <w:p w14:paraId="5642AD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Monthly surveillance data was collated and analysed to identify any trends, possible causative factors, and required actions. Ethnicity data is collected and analysed to support equity. Results of the surveillance programme were reported to the governing body and shared with staff.</w:t>
            </w:r>
          </w:p>
          <w:p w14:paraId="56F686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three large COVID-19 outbreaks in the past 18 months, the most recent being March 2024. There has been no training on outbreak management or for care for residents in isolation since 2022 (refer criterion 2.3.4).</w:t>
            </w:r>
          </w:p>
          <w:p w14:paraId="4AA0F21A" w14:textId="77777777" w:rsidR="00EB7645" w:rsidRPr="00BE00C7" w:rsidRDefault="00000000" w:rsidP="00BE00C7">
            <w:pPr>
              <w:pStyle w:val="OutcomeDescription"/>
              <w:spacing w:before="120" w:after="120"/>
              <w:rPr>
                <w:rFonts w:cs="Arial"/>
                <w:lang w:eastAsia="en-NZ"/>
              </w:rPr>
            </w:pPr>
          </w:p>
        </w:tc>
      </w:tr>
      <w:tr w:rsidR="001C77F0" w14:paraId="652E5C5D" w14:textId="77777777">
        <w:tc>
          <w:tcPr>
            <w:tcW w:w="0" w:type="auto"/>
          </w:tcPr>
          <w:p w14:paraId="656409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9BF27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567DEFC" w14:textId="77777777" w:rsidR="00EB7645" w:rsidRPr="00BE00C7" w:rsidRDefault="00000000" w:rsidP="00BE00C7">
            <w:pPr>
              <w:pStyle w:val="OutcomeDescription"/>
              <w:spacing w:before="120" w:after="120"/>
              <w:rPr>
                <w:rFonts w:cs="Arial"/>
                <w:lang w:eastAsia="en-NZ"/>
              </w:rPr>
            </w:pPr>
          </w:p>
        </w:tc>
        <w:tc>
          <w:tcPr>
            <w:tcW w:w="0" w:type="auto"/>
          </w:tcPr>
          <w:p w14:paraId="3CE243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4E5DFD" w14:textId="77777777" w:rsidR="00EB7645" w:rsidRPr="00BE00C7" w:rsidRDefault="00000000" w:rsidP="00BE00C7">
            <w:pPr>
              <w:pStyle w:val="OutcomeDescription"/>
              <w:spacing w:before="120" w:after="120"/>
              <w:rPr>
                <w:rFonts w:cs="Arial"/>
                <w:lang w:eastAsia="en-NZ"/>
              </w:rPr>
            </w:pPr>
            <w:r w:rsidRPr="00BE00C7">
              <w:rPr>
                <w:rFonts w:cs="Arial"/>
                <w:lang w:eastAsia="en-NZ"/>
              </w:rPr>
              <w:t>Dixon House is committed to a restraint-free environment, and this is documented in the policy and procedure in place to guide restraint. The service has been restraint-free since early 2024. There are strategies in place to eliminate restraint, including an investment in equipment to support the removal of restraint (e.g., use of low/low beds and sensor mats). Documentation confirmed that aggregated information on restraint is reported to the board.</w:t>
            </w:r>
          </w:p>
          <w:p w14:paraId="0C789E10" w14:textId="77777777" w:rsidR="00EB7645" w:rsidRPr="00BE00C7" w:rsidRDefault="00000000" w:rsidP="00BE00C7">
            <w:pPr>
              <w:pStyle w:val="OutcomeDescription"/>
              <w:spacing w:before="120" w:after="120"/>
              <w:rPr>
                <w:rFonts w:cs="Arial"/>
                <w:lang w:eastAsia="en-NZ"/>
              </w:rPr>
            </w:pPr>
            <w:r w:rsidRPr="00BE00C7">
              <w:rPr>
                <w:rFonts w:cs="Arial"/>
                <w:lang w:eastAsia="en-NZ"/>
              </w:rPr>
              <w:t>Sixteen staff have been trained in least restrictive practice, safe restraint practice, alternative cultural-specific interventions, and restraint monitoring as part of the 2023-2024 education programme. Six staff only have been trained in de-escalation techniques and none in the management of behaviours that challenge (refer criterion 2.3.4). Restraint protocols are covered in the orientation programme of the facility, and these were completed by all new staff entering into the service. Annual restraint competency forms part of the competency schedule for the facility and these were sighted on the relevant staff files examined.</w:t>
            </w:r>
          </w:p>
          <w:p w14:paraId="0A54758D" w14:textId="77777777" w:rsidR="00EB7645" w:rsidRPr="00BE00C7" w:rsidRDefault="00000000" w:rsidP="00BE00C7">
            <w:pPr>
              <w:pStyle w:val="OutcomeDescription"/>
              <w:spacing w:before="120" w:after="120"/>
              <w:rPr>
                <w:rFonts w:cs="Arial"/>
                <w:lang w:eastAsia="en-NZ"/>
              </w:rPr>
            </w:pPr>
          </w:p>
        </w:tc>
      </w:tr>
    </w:tbl>
    <w:p w14:paraId="3E9A5A3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282CDB0" w14:textId="77777777" w:rsidR="00460D43" w:rsidRDefault="00000000">
      <w:pPr>
        <w:pStyle w:val="Heading1"/>
        <w:rPr>
          <w:rFonts w:cs="Arial"/>
        </w:rPr>
      </w:pPr>
      <w:r>
        <w:rPr>
          <w:rFonts w:cs="Arial"/>
        </w:rPr>
        <w:lastRenderedPageBreak/>
        <w:t>Specific results for criterion where corrective actions are required</w:t>
      </w:r>
    </w:p>
    <w:p w14:paraId="2F19A22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56E2AA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E68026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305"/>
        <w:gridCol w:w="3918"/>
        <w:gridCol w:w="3307"/>
        <w:gridCol w:w="2646"/>
      </w:tblGrid>
      <w:tr w:rsidR="001C77F0" w14:paraId="68ED8332" w14:textId="77777777">
        <w:tc>
          <w:tcPr>
            <w:tcW w:w="0" w:type="auto"/>
          </w:tcPr>
          <w:p w14:paraId="2730A479"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022906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0A55C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C885F2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B7EC3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C77F0" w14:paraId="65C619EE" w14:textId="77777777">
        <w:tc>
          <w:tcPr>
            <w:tcW w:w="0" w:type="auto"/>
          </w:tcPr>
          <w:p w14:paraId="7ACEFC1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2.1.11</w:t>
            </w:r>
          </w:p>
          <w:p w14:paraId="71AAD4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 clinical governance structure in place that is appropriate to the size and complexity of the service provision.</w:t>
            </w:r>
          </w:p>
        </w:tc>
        <w:tc>
          <w:tcPr>
            <w:tcW w:w="0" w:type="auto"/>
          </w:tcPr>
          <w:p w14:paraId="41A3549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1F162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has been approved by the Dixon House board; however, the CM for the service is not an RN and neither is the GM. The CM is an enrolled nurse (EN) who works four days per week. Dixon House’s contract with Te Whatu Ora West Coast requires that the CM of a contracted service be an RN (D17.4 ba) who works in a full-time capacity. In addition, the Nursing Council of New Zealand (NCNZ) scope of practice for the CM, who is an EN, requires them to work under the direction and delegation of a RN. There are six RNs employed in the service.</w:t>
            </w:r>
          </w:p>
          <w:p w14:paraId="144B58DA" w14:textId="77777777" w:rsidR="00EB7645" w:rsidRPr="00BE00C7" w:rsidRDefault="00000000" w:rsidP="00BE00C7">
            <w:pPr>
              <w:pStyle w:val="OutcomeDescription"/>
              <w:spacing w:before="120" w:after="120"/>
              <w:rPr>
                <w:rFonts w:cs="Arial"/>
                <w:lang w:eastAsia="en-NZ"/>
              </w:rPr>
            </w:pPr>
          </w:p>
        </w:tc>
        <w:tc>
          <w:tcPr>
            <w:tcW w:w="0" w:type="auto"/>
          </w:tcPr>
          <w:p w14:paraId="299C6B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is not appropriate to service provision. It is in contravention of the service’s contract with Te Whatu Ora West Coast and the CM is working beyond their scope of practice.</w:t>
            </w:r>
          </w:p>
          <w:p w14:paraId="70DAB1F1" w14:textId="77777777" w:rsidR="00EB7645" w:rsidRPr="00BE00C7" w:rsidRDefault="00000000" w:rsidP="00BE00C7">
            <w:pPr>
              <w:pStyle w:val="OutcomeDescription"/>
              <w:spacing w:before="120" w:after="120"/>
              <w:rPr>
                <w:rFonts w:cs="Arial"/>
                <w:lang w:eastAsia="en-NZ"/>
              </w:rPr>
            </w:pPr>
          </w:p>
        </w:tc>
        <w:tc>
          <w:tcPr>
            <w:tcW w:w="0" w:type="auto"/>
          </w:tcPr>
          <w:p w14:paraId="10E9674F"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clinical governance structure complies with the requirements of the service’s contract with Te Whatu Ora West Coast, and that the clinical manager’s scope of practice is appropriate for the position.</w:t>
            </w:r>
          </w:p>
          <w:p w14:paraId="652D05CF" w14:textId="77777777" w:rsidR="00EB7645" w:rsidRPr="00BE00C7" w:rsidRDefault="00000000" w:rsidP="00BE00C7">
            <w:pPr>
              <w:pStyle w:val="OutcomeDescription"/>
              <w:spacing w:before="120" w:after="120"/>
              <w:rPr>
                <w:rFonts w:cs="Arial"/>
                <w:lang w:eastAsia="en-NZ"/>
              </w:rPr>
            </w:pPr>
          </w:p>
          <w:p w14:paraId="0B44B450"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1C77F0" w14:paraId="01FB2DF1" w14:textId="77777777">
        <w:tc>
          <w:tcPr>
            <w:tcW w:w="0" w:type="auto"/>
          </w:tcPr>
          <w:p w14:paraId="7BDDBA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2.3.3</w:t>
            </w:r>
          </w:p>
          <w:p w14:paraId="0448575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664C00F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CCE0BCE" w14:textId="77777777" w:rsidR="00EB7645" w:rsidRPr="00BE00C7" w:rsidRDefault="00000000" w:rsidP="00BE00C7">
            <w:pPr>
              <w:pStyle w:val="OutcomeDescription"/>
              <w:spacing w:before="120" w:after="120"/>
              <w:rPr>
                <w:rFonts w:cs="Arial"/>
                <w:lang w:eastAsia="en-NZ"/>
              </w:rPr>
            </w:pPr>
            <w:r w:rsidRPr="00BE00C7">
              <w:rPr>
                <w:rFonts w:cs="Arial"/>
                <w:lang w:eastAsia="en-NZ"/>
              </w:rPr>
              <w:t>Annual competencies are set out in a schedule as outlined in policy but, while some competencies have been completed, there was no accurate method of recording annual competency with the exception of medication competency (all staff administering medication had evidence of a medication competency on their individual files). Six staff files examined showed sporadic competency requirements, such as fire and emergency management, infection prevention and control, outbreak management, and cultural competency. Restraint competency was sighted on appropriate staff files examined. Whilst competencies were not being completed to the schedule, staff working in the facility were doing so competently and residents and their whānau were satisfied with the services being provided.</w:t>
            </w:r>
          </w:p>
          <w:p w14:paraId="57A78BEA" w14:textId="77777777" w:rsidR="00EB7645" w:rsidRPr="00BE00C7" w:rsidRDefault="00000000" w:rsidP="00BE00C7">
            <w:pPr>
              <w:pStyle w:val="OutcomeDescription"/>
              <w:spacing w:before="120" w:after="120"/>
              <w:rPr>
                <w:rFonts w:cs="Arial"/>
                <w:lang w:eastAsia="en-NZ"/>
              </w:rPr>
            </w:pPr>
          </w:p>
        </w:tc>
        <w:tc>
          <w:tcPr>
            <w:tcW w:w="0" w:type="auto"/>
          </w:tcPr>
          <w:p w14:paraId="51AF850C"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staff had completed annual competencies as required by the schedule.</w:t>
            </w:r>
          </w:p>
          <w:p w14:paraId="558FEC8F" w14:textId="77777777" w:rsidR="00EB7645" w:rsidRPr="00BE00C7" w:rsidRDefault="00000000" w:rsidP="00BE00C7">
            <w:pPr>
              <w:pStyle w:val="OutcomeDescription"/>
              <w:spacing w:before="120" w:after="120"/>
              <w:rPr>
                <w:rFonts w:cs="Arial"/>
                <w:lang w:eastAsia="en-NZ"/>
              </w:rPr>
            </w:pPr>
          </w:p>
        </w:tc>
        <w:tc>
          <w:tcPr>
            <w:tcW w:w="0" w:type="auto"/>
          </w:tcPr>
          <w:p w14:paraId="0D73039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staff have completed annual competencies as required by the schedule.</w:t>
            </w:r>
          </w:p>
          <w:p w14:paraId="105C8E72" w14:textId="77777777" w:rsidR="00EB7645" w:rsidRPr="00BE00C7" w:rsidRDefault="00000000" w:rsidP="00BE00C7">
            <w:pPr>
              <w:pStyle w:val="OutcomeDescription"/>
              <w:spacing w:before="120" w:after="120"/>
              <w:rPr>
                <w:rFonts w:cs="Arial"/>
                <w:lang w:eastAsia="en-NZ"/>
              </w:rPr>
            </w:pPr>
          </w:p>
          <w:p w14:paraId="49D16AC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C77F0" w14:paraId="0109695B" w14:textId="77777777">
        <w:tc>
          <w:tcPr>
            <w:tcW w:w="0" w:type="auto"/>
          </w:tcPr>
          <w:p w14:paraId="1C1E268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4BB8064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6DD65D8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3CE44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Some continuing education has been completed; however, there is no annual plan for education in place and the education delivered does not meet all the requirements of the service. For example, there has been no education delivered in 2023-2024 on the Code of Rights, abuse and neglect, informed consent, caring for tāngata whaikaha, spirituality and sexuality, and infection outbreak management (despite three separate outbreaks of COVID-19 over 18 months). There has been minimal attendance by staff at infection prevention and control education (six attendees), standard </w:t>
            </w:r>
            <w:r w:rsidRPr="00BE00C7">
              <w:rPr>
                <w:rFonts w:cs="Arial"/>
                <w:lang w:eastAsia="en-NZ"/>
              </w:rPr>
              <w:lastRenderedPageBreak/>
              <w:t>precautions (seven attendees), and infection control/antimicrobial stewardship (AMS) sessions (19 attendees). Attendance at education is very low for some of the education provided (some with only four to six attendees). The exception to this is education on cultural safety (33 attendees), oral health (39 attendees), food safety/choking (26 attendees), and restraint (36 attendees). There are 47 staff in the service. Education is recorded on the staff member’s personnel file.</w:t>
            </w:r>
          </w:p>
          <w:p w14:paraId="2B26E181" w14:textId="77777777" w:rsidR="00EB7645" w:rsidRPr="00BE00C7" w:rsidRDefault="00000000" w:rsidP="00BE00C7">
            <w:pPr>
              <w:pStyle w:val="OutcomeDescription"/>
              <w:spacing w:before="120" w:after="120"/>
              <w:rPr>
                <w:rFonts w:cs="Arial"/>
                <w:lang w:eastAsia="en-NZ"/>
              </w:rPr>
            </w:pPr>
          </w:p>
        </w:tc>
        <w:tc>
          <w:tcPr>
            <w:tcW w:w="0" w:type="auto"/>
          </w:tcPr>
          <w:p w14:paraId="0DA5E7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no plan in place to identify, plan and facilitate ongoing learning and development, relevant to the service, so that health care and support workers can provide high-quality, safe services.</w:t>
            </w:r>
          </w:p>
          <w:p w14:paraId="30A0D1F4" w14:textId="77777777" w:rsidR="00EB7645" w:rsidRPr="00BE00C7" w:rsidRDefault="00000000" w:rsidP="00BE00C7">
            <w:pPr>
              <w:pStyle w:val="OutcomeDescription"/>
              <w:spacing w:before="120" w:after="120"/>
              <w:rPr>
                <w:rFonts w:cs="Arial"/>
                <w:lang w:eastAsia="en-NZ"/>
              </w:rPr>
            </w:pPr>
          </w:p>
        </w:tc>
        <w:tc>
          <w:tcPr>
            <w:tcW w:w="0" w:type="auto"/>
          </w:tcPr>
          <w:p w14:paraId="24A345E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 plan to identify, plan and facilitate ongoing learning and development, relevant to the service, so that health care and support workers can provide high-quality, safe services.</w:t>
            </w:r>
          </w:p>
          <w:p w14:paraId="26BC59C0" w14:textId="77777777" w:rsidR="00EB7645" w:rsidRPr="00BE00C7" w:rsidRDefault="00000000" w:rsidP="00BE00C7">
            <w:pPr>
              <w:pStyle w:val="OutcomeDescription"/>
              <w:spacing w:before="120" w:after="120"/>
              <w:rPr>
                <w:rFonts w:cs="Arial"/>
                <w:lang w:eastAsia="en-NZ"/>
              </w:rPr>
            </w:pPr>
          </w:p>
          <w:p w14:paraId="22CBD72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C77F0" w14:paraId="32F40843" w14:textId="77777777">
        <w:tc>
          <w:tcPr>
            <w:tcW w:w="0" w:type="auto"/>
          </w:tcPr>
          <w:p w14:paraId="611B836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78CDADC"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1B52A6C" w14:textId="77777777" w:rsidR="00EB7645" w:rsidRPr="00BE00C7" w:rsidRDefault="00000000" w:rsidP="00BE00C7">
            <w:pPr>
              <w:pStyle w:val="OutcomeDescription"/>
              <w:spacing w:before="120" w:after="120"/>
              <w:rPr>
                <w:rFonts w:cs="Arial"/>
                <w:lang w:eastAsia="en-NZ"/>
              </w:rPr>
            </w:pPr>
          </w:p>
        </w:tc>
        <w:tc>
          <w:tcPr>
            <w:tcW w:w="0" w:type="auto"/>
          </w:tcPr>
          <w:p w14:paraId="4E295E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428C782"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care plans reviewed were implemented by the CM who is an EN, with no oversight from the RN, as required by the ENs scope of practice and the ARRC contract (refer also 2.1.11).</w:t>
            </w:r>
          </w:p>
          <w:p w14:paraId="4B7A98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 who developed a pressure injury six months ago, had a care plan developed by the CM/EN, with no oversight from an RN. The resident’s wound care plan was developed at the time of injury. The documented treatment plan for the pressure injury had remained the same for the past six months. Caregiving staff routinely provided the wound care, with the treatment being conducted once every month by a RN. Frequency of dressing changes was determined by the staff member doing the dressing. Often this was daily or every other day. There was no evidence of a coordinated approach to the wound management or a request for specialist </w:t>
            </w:r>
            <w:r w:rsidRPr="00BE00C7">
              <w:rPr>
                <w:rFonts w:cs="Arial"/>
                <w:lang w:eastAsia="en-NZ"/>
              </w:rPr>
              <w:lastRenderedPageBreak/>
              <w:t>input as the pressure injury remained ongoing. Another resident with a chronic wound has a wound plan in place, developed by the CM/EN. The wound care was also being provided by caregiving staff, with minimal treatment by the RN. A photograph verified the wound was not improving, there was no documentation that stated a palliative approach had been advised. Documentation verified specialist input for the wound’s management was last provided in May 2022.</w:t>
            </w:r>
          </w:p>
          <w:p w14:paraId="3944AA65" w14:textId="77777777" w:rsidR="00EB7645" w:rsidRPr="00BE00C7" w:rsidRDefault="00000000" w:rsidP="00BE00C7">
            <w:pPr>
              <w:pStyle w:val="OutcomeDescription"/>
              <w:spacing w:before="120" w:after="120"/>
              <w:rPr>
                <w:rFonts w:cs="Arial"/>
                <w:lang w:eastAsia="en-NZ"/>
              </w:rPr>
            </w:pPr>
          </w:p>
        </w:tc>
        <w:tc>
          <w:tcPr>
            <w:tcW w:w="0" w:type="auto"/>
          </w:tcPr>
          <w:p w14:paraId="1A49A7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care plans at Dixon House were developed by the CM who is an EN with no evidence of oversight by a RN. Two residents’ wound care plans were not effective in managing the wound and were not developed or evaluated by a RN. Wound care was not being provided by a RN. Timely referrals to seek specialist input was not initiated.</w:t>
            </w:r>
          </w:p>
          <w:p w14:paraId="16B84044" w14:textId="77777777" w:rsidR="00EB7645" w:rsidRPr="00BE00C7" w:rsidRDefault="00000000" w:rsidP="00BE00C7">
            <w:pPr>
              <w:pStyle w:val="OutcomeDescription"/>
              <w:spacing w:before="120" w:after="120"/>
              <w:rPr>
                <w:rFonts w:cs="Arial"/>
                <w:lang w:eastAsia="en-NZ"/>
              </w:rPr>
            </w:pPr>
          </w:p>
        </w:tc>
        <w:tc>
          <w:tcPr>
            <w:tcW w:w="0" w:type="auto"/>
          </w:tcPr>
          <w:p w14:paraId="358638C9"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care plans and wound care plans are implemented and overseen by a RN. Provide evidence wound care plans demonstrate effective management of wounds.</w:t>
            </w:r>
          </w:p>
          <w:p w14:paraId="793D46D1" w14:textId="77777777" w:rsidR="00EB7645" w:rsidRPr="00BE00C7" w:rsidRDefault="00000000" w:rsidP="00BE00C7">
            <w:pPr>
              <w:pStyle w:val="OutcomeDescription"/>
              <w:spacing w:before="120" w:after="120"/>
              <w:rPr>
                <w:rFonts w:cs="Arial"/>
                <w:lang w:eastAsia="en-NZ"/>
              </w:rPr>
            </w:pPr>
          </w:p>
          <w:p w14:paraId="3ED2AAE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56EDB4B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83B1ADC" w14:textId="77777777" w:rsidR="00460D43" w:rsidRDefault="00000000">
      <w:pPr>
        <w:pStyle w:val="Heading1"/>
        <w:rPr>
          <w:rFonts w:cs="Arial"/>
        </w:rPr>
      </w:pPr>
      <w:r>
        <w:rPr>
          <w:rFonts w:cs="Arial"/>
        </w:rPr>
        <w:lastRenderedPageBreak/>
        <w:t>Specific results for criterion where a continuous improvement has been recorded</w:t>
      </w:r>
    </w:p>
    <w:p w14:paraId="0E825B3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9F2190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17B72FC2"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C77F0" w14:paraId="1E786865" w14:textId="77777777">
        <w:tc>
          <w:tcPr>
            <w:tcW w:w="0" w:type="auto"/>
          </w:tcPr>
          <w:p w14:paraId="69AFF5D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C49B24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24806A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EAE7" w14:textId="77777777" w:rsidR="00C46030" w:rsidRDefault="00C46030">
      <w:r>
        <w:separator/>
      </w:r>
    </w:p>
  </w:endnote>
  <w:endnote w:type="continuationSeparator" w:id="0">
    <w:p w14:paraId="69EB4D14" w14:textId="77777777" w:rsidR="00C46030" w:rsidRDefault="00C4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783B" w14:textId="77777777" w:rsidR="000B00BC" w:rsidRDefault="00000000">
    <w:pPr>
      <w:pStyle w:val="Footer"/>
    </w:pPr>
  </w:p>
  <w:p w14:paraId="035E2EC1" w14:textId="77777777" w:rsidR="005A4A55" w:rsidRDefault="00000000"/>
  <w:p w14:paraId="4F3441E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723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Dixon House Trust Board (Inc) - Dixon House Rest Home</w:t>
    </w:r>
    <w:bookmarkEnd w:id="59"/>
    <w:r>
      <w:rPr>
        <w:rFonts w:cs="Arial"/>
        <w:sz w:val="16"/>
        <w:szCs w:val="20"/>
      </w:rPr>
      <w:tab/>
      <w:t xml:space="preserve">Date of Audit: </w:t>
    </w:r>
    <w:bookmarkStart w:id="60" w:name="AuditStartDate1"/>
    <w:r>
      <w:rPr>
        <w:rFonts w:cs="Arial"/>
        <w:sz w:val="16"/>
        <w:szCs w:val="20"/>
      </w:rPr>
      <w:t>10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11F7A3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12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585F" w14:textId="77777777" w:rsidR="00C46030" w:rsidRDefault="00C46030">
      <w:r>
        <w:separator/>
      </w:r>
    </w:p>
  </w:footnote>
  <w:footnote w:type="continuationSeparator" w:id="0">
    <w:p w14:paraId="229AEB27" w14:textId="77777777" w:rsidR="00C46030" w:rsidRDefault="00C4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1E6D" w14:textId="77777777" w:rsidR="000B00BC" w:rsidRDefault="00000000">
    <w:pPr>
      <w:pStyle w:val="Header"/>
    </w:pPr>
  </w:p>
  <w:p w14:paraId="70CC112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7E1F" w14:textId="77777777" w:rsidR="000B00BC" w:rsidRDefault="00000000">
    <w:pPr>
      <w:pStyle w:val="Header"/>
    </w:pPr>
  </w:p>
  <w:p w14:paraId="2A3E2B1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596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A242094">
      <w:start w:val="1"/>
      <w:numFmt w:val="decimal"/>
      <w:lvlText w:val="%1."/>
      <w:lvlJc w:val="left"/>
      <w:pPr>
        <w:ind w:left="360" w:hanging="360"/>
      </w:pPr>
    </w:lvl>
    <w:lvl w:ilvl="1" w:tplc="4636E486" w:tentative="1">
      <w:start w:val="1"/>
      <w:numFmt w:val="lowerLetter"/>
      <w:lvlText w:val="%2."/>
      <w:lvlJc w:val="left"/>
      <w:pPr>
        <w:ind w:left="1080" w:hanging="360"/>
      </w:pPr>
    </w:lvl>
    <w:lvl w:ilvl="2" w:tplc="8B8879B0" w:tentative="1">
      <w:start w:val="1"/>
      <w:numFmt w:val="lowerRoman"/>
      <w:lvlText w:val="%3."/>
      <w:lvlJc w:val="right"/>
      <w:pPr>
        <w:ind w:left="1800" w:hanging="180"/>
      </w:pPr>
    </w:lvl>
    <w:lvl w:ilvl="3" w:tplc="E3723E4C" w:tentative="1">
      <w:start w:val="1"/>
      <w:numFmt w:val="decimal"/>
      <w:lvlText w:val="%4."/>
      <w:lvlJc w:val="left"/>
      <w:pPr>
        <w:ind w:left="2520" w:hanging="360"/>
      </w:pPr>
    </w:lvl>
    <w:lvl w:ilvl="4" w:tplc="4CFE3C7E" w:tentative="1">
      <w:start w:val="1"/>
      <w:numFmt w:val="lowerLetter"/>
      <w:lvlText w:val="%5."/>
      <w:lvlJc w:val="left"/>
      <w:pPr>
        <w:ind w:left="3240" w:hanging="360"/>
      </w:pPr>
    </w:lvl>
    <w:lvl w:ilvl="5" w:tplc="07AE13B6" w:tentative="1">
      <w:start w:val="1"/>
      <w:numFmt w:val="lowerRoman"/>
      <w:lvlText w:val="%6."/>
      <w:lvlJc w:val="right"/>
      <w:pPr>
        <w:ind w:left="3960" w:hanging="180"/>
      </w:pPr>
    </w:lvl>
    <w:lvl w:ilvl="6" w:tplc="85BE73E6" w:tentative="1">
      <w:start w:val="1"/>
      <w:numFmt w:val="decimal"/>
      <w:lvlText w:val="%7."/>
      <w:lvlJc w:val="left"/>
      <w:pPr>
        <w:ind w:left="4680" w:hanging="360"/>
      </w:pPr>
    </w:lvl>
    <w:lvl w:ilvl="7" w:tplc="C7E64C52" w:tentative="1">
      <w:start w:val="1"/>
      <w:numFmt w:val="lowerLetter"/>
      <w:lvlText w:val="%8."/>
      <w:lvlJc w:val="left"/>
      <w:pPr>
        <w:ind w:left="5400" w:hanging="360"/>
      </w:pPr>
    </w:lvl>
    <w:lvl w:ilvl="8" w:tplc="7BD415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9CD7F4">
      <w:start w:val="1"/>
      <w:numFmt w:val="bullet"/>
      <w:lvlText w:val=""/>
      <w:lvlJc w:val="left"/>
      <w:pPr>
        <w:ind w:left="720" w:hanging="360"/>
      </w:pPr>
      <w:rPr>
        <w:rFonts w:ascii="Symbol" w:hAnsi="Symbol" w:hint="default"/>
      </w:rPr>
    </w:lvl>
    <w:lvl w:ilvl="1" w:tplc="35A69A58" w:tentative="1">
      <w:start w:val="1"/>
      <w:numFmt w:val="bullet"/>
      <w:lvlText w:val="o"/>
      <w:lvlJc w:val="left"/>
      <w:pPr>
        <w:ind w:left="1440" w:hanging="360"/>
      </w:pPr>
      <w:rPr>
        <w:rFonts w:ascii="Courier New" w:hAnsi="Courier New" w:cs="Courier New" w:hint="default"/>
      </w:rPr>
    </w:lvl>
    <w:lvl w:ilvl="2" w:tplc="8B48E958" w:tentative="1">
      <w:start w:val="1"/>
      <w:numFmt w:val="bullet"/>
      <w:lvlText w:val=""/>
      <w:lvlJc w:val="left"/>
      <w:pPr>
        <w:ind w:left="2160" w:hanging="360"/>
      </w:pPr>
      <w:rPr>
        <w:rFonts w:ascii="Wingdings" w:hAnsi="Wingdings" w:hint="default"/>
      </w:rPr>
    </w:lvl>
    <w:lvl w:ilvl="3" w:tplc="6748CB00" w:tentative="1">
      <w:start w:val="1"/>
      <w:numFmt w:val="bullet"/>
      <w:lvlText w:val=""/>
      <w:lvlJc w:val="left"/>
      <w:pPr>
        <w:ind w:left="2880" w:hanging="360"/>
      </w:pPr>
      <w:rPr>
        <w:rFonts w:ascii="Symbol" w:hAnsi="Symbol" w:hint="default"/>
      </w:rPr>
    </w:lvl>
    <w:lvl w:ilvl="4" w:tplc="4E3CD94E" w:tentative="1">
      <w:start w:val="1"/>
      <w:numFmt w:val="bullet"/>
      <w:lvlText w:val="o"/>
      <w:lvlJc w:val="left"/>
      <w:pPr>
        <w:ind w:left="3600" w:hanging="360"/>
      </w:pPr>
      <w:rPr>
        <w:rFonts w:ascii="Courier New" w:hAnsi="Courier New" w:cs="Courier New" w:hint="default"/>
      </w:rPr>
    </w:lvl>
    <w:lvl w:ilvl="5" w:tplc="0D9802E8" w:tentative="1">
      <w:start w:val="1"/>
      <w:numFmt w:val="bullet"/>
      <w:lvlText w:val=""/>
      <w:lvlJc w:val="left"/>
      <w:pPr>
        <w:ind w:left="4320" w:hanging="360"/>
      </w:pPr>
      <w:rPr>
        <w:rFonts w:ascii="Wingdings" w:hAnsi="Wingdings" w:hint="default"/>
      </w:rPr>
    </w:lvl>
    <w:lvl w:ilvl="6" w:tplc="C396EE4A" w:tentative="1">
      <w:start w:val="1"/>
      <w:numFmt w:val="bullet"/>
      <w:lvlText w:val=""/>
      <w:lvlJc w:val="left"/>
      <w:pPr>
        <w:ind w:left="5040" w:hanging="360"/>
      </w:pPr>
      <w:rPr>
        <w:rFonts w:ascii="Symbol" w:hAnsi="Symbol" w:hint="default"/>
      </w:rPr>
    </w:lvl>
    <w:lvl w:ilvl="7" w:tplc="1A80E846" w:tentative="1">
      <w:start w:val="1"/>
      <w:numFmt w:val="bullet"/>
      <w:lvlText w:val="o"/>
      <w:lvlJc w:val="left"/>
      <w:pPr>
        <w:ind w:left="5760" w:hanging="360"/>
      </w:pPr>
      <w:rPr>
        <w:rFonts w:ascii="Courier New" w:hAnsi="Courier New" w:cs="Courier New" w:hint="default"/>
      </w:rPr>
    </w:lvl>
    <w:lvl w:ilvl="8" w:tplc="8AAEB384" w:tentative="1">
      <w:start w:val="1"/>
      <w:numFmt w:val="bullet"/>
      <w:lvlText w:val=""/>
      <w:lvlJc w:val="left"/>
      <w:pPr>
        <w:ind w:left="6480" w:hanging="360"/>
      </w:pPr>
      <w:rPr>
        <w:rFonts w:ascii="Wingdings" w:hAnsi="Wingdings" w:hint="default"/>
      </w:rPr>
    </w:lvl>
  </w:abstractNum>
  <w:num w:numId="1" w16cid:durableId="1256522042">
    <w:abstractNumId w:val="1"/>
  </w:num>
  <w:num w:numId="2" w16cid:durableId="106918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F0"/>
    <w:rsid w:val="001C77F0"/>
    <w:rsid w:val="005F73A1"/>
    <w:rsid w:val="00C46030"/>
    <w:rsid w:val="00F05C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5F30"/>
  <w15:docId w15:val="{0191ED09-650D-4E8D-87C5-DC5AE688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7811</Words>
  <Characters>44527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2024-06-25T23:21:00Z</dcterms:created>
  <dcterms:modified xsi:type="dcterms:W3CDTF">2024-06-25T23:22:00Z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