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1A5C" w14:textId="77777777" w:rsidR="00460D43" w:rsidRDefault="00000000">
      <w:pPr>
        <w:pStyle w:val="Heading1"/>
        <w:rPr>
          <w:rFonts w:cs="Arial"/>
        </w:rPr>
      </w:pPr>
      <w:bookmarkStart w:id="0" w:name="PRMS_RIName"/>
      <w:r>
        <w:rPr>
          <w:rFonts w:cs="Arial"/>
        </w:rPr>
        <w:t>FOMHT Health Services Limited - Jack Inglis Aged Care Home</w:t>
      </w:r>
      <w:bookmarkEnd w:id="0"/>
    </w:p>
    <w:p w14:paraId="7D0F418A" w14:textId="77777777" w:rsidR="00460D43" w:rsidRDefault="00000000">
      <w:pPr>
        <w:pStyle w:val="Heading2"/>
        <w:spacing w:after="0"/>
        <w:rPr>
          <w:rFonts w:cs="Arial"/>
        </w:rPr>
      </w:pPr>
      <w:r>
        <w:rPr>
          <w:rFonts w:cs="Arial"/>
        </w:rPr>
        <w:t>Introduction</w:t>
      </w:r>
    </w:p>
    <w:p w14:paraId="4D5250BB"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9EFEAAD"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40AD96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F42DCC6"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31C4CAD" w14:textId="77777777" w:rsidR="00460D43" w:rsidRDefault="00000000">
      <w:pPr>
        <w:spacing w:before="240" w:after="240"/>
        <w:rPr>
          <w:rFonts w:cs="Arial"/>
          <w:lang w:eastAsia="en-NZ"/>
        </w:rPr>
      </w:pPr>
      <w:r>
        <w:rPr>
          <w:rFonts w:cs="Arial"/>
          <w:lang w:eastAsia="en-NZ"/>
        </w:rPr>
        <w:t>The specifics of this audit included:</w:t>
      </w:r>
    </w:p>
    <w:p w14:paraId="4FB6844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7FC91A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FOMHT Health Services Limite</w:t>
      </w:r>
      <w:r>
        <w:rPr>
          <w:rFonts w:cs="Arial"/>
        </w:rPr>
        <w:t>d</w:t>
      </w:r>
      <w:bookmarkEnd w:id="4"/>
    </w:p>
    <w:p w14:paraId="1F6D481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Jack Inglis Aged Care Home</w:t>
      </w:r>
      <w:bookmarkEnd w:id="5"/>
    </w:p>
    <w:p w14:paraId="3E7303E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D6895B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May 2024</w:t>
      </w:r>
      <w:bookmarkEnd w:id="7"/>
      <w:r w:rsidRPr="009418D4">
        <w:rPr>
          <w:rFonts w:cs="Arial"/>
        </w:rPr>
        <w:tab/>
        <w:t xml:space="preserve">End date: </w:t>
      </w:r>
      <w:bookmarkStart w:id="8" w:name="AuditEndDate"/>
      <w:r>
        <w:rPr>
          <w:rFonts w:cs="Arial"/>
        </w:rPr>
        <w:t>10 May 2024</w:t>
      </w:r>
      <w:bookmarkEnd w:id="8"/>
    </w:p>
    <w:p w14:paraId="1043A80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Bed numbers were confirmed as 74. There are 61 dual purpose beds and 13 dementia beds. </w:t>
      </w:r>
    </w:p>
    <w:bookmarkEnd w:id="9"/>
    <w:p w14:paraId="0E91F0A2" w14:textId="77777777" w:rsidR="00C1416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72</w:t>
      </w:r>
      <w:bookmarkEnd w:id="10"/>
    </w:p>
    <w:p w14:paraId="0FC9336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4C57A8A" w14:textId="77777777" w:rsidR="00460D43" w:rsidRDefault="00000000">
      <w:pPr>
        <w:pStyle w:val="Heading1"/>
        <w:rPr>
          <w:rFonts w:cs="Arial"/>
        </w:rPr>
      </w:pPr>
      <w:r>
        <w:rPr>
          <w:rFonts w:cs="Arial"/>
        </w:rPr>
        <w:lastRenderedPageBreak/>
        <w:t>Executive summary of the audit</w:t>
      </w:r>
    </w:p>
    <w:p w14:paraId="16FAD99A" w14:textId="77777777" w:rsidR="00460D43" w:rsidRDefault="00000000">
      <w:pPr>
        <w:pStyle w:val="Heading2"/>
        <w:rPr>
          <w:rFonts w:cs="Arial"/>
        </w:rPr>
      </w:pPr>
      <w:r>
        <w:rPr>
          <w:rFonts w:cs="Arial"/>
        </w:rPr>
        <w:t>Introduction</w:t>
      </w:r>
    </w:p>
    <w:p w14:paraId="307A97C7"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w:t>
      </w:r>
      <w:r w:rsidRPr="00FB778F">
        <w:rPr>
          <w:rFonts w:cs="Arial"/>
          <w:lang w:eastAsia="en-NZ"/>
        </w:rPr>
        <w:t>ndard:</w:t>
      </w:r>
    </w:p>
    <w:p w14:paraId="6A1D74EC"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1B747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4F3D23"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1E94DF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E61E0C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BF98538"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E78751B"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E317CC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1416F" w14:paraId="46EFFE3E" w14:textId="77777777">
        <w:trPr>
          <w:cantSplit/>
          <w:tblHeader/>
        </w:trPr>
        <w:tc>
          <w:tcPr>
            <w:tcW w:w="1260" w:type="dxa"/>
            <w:tcBorders>
              <w:bottom w:val="single" w:sz="4" w:space="0" w:color="000000"/>
            </w:tcBorders>
            <w:vAlign w:val="center"/>
          </w:tcPr>
          <w:p w14:paraId="7B8BB9F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6A78C6"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A80C63" w14:textId="77777777" w:rsidR="00460D43" w:rsidRDefault="00000000">
            <w:pPr>
              <w:spacing w:before="60" w:after="60"/>
              <w:rPr>
                <w:rFonts w:eastAsia="Calibri"/>
                <w:b/>
                <w:szCs w:val="24"/>
              </w:rPr>
            </w:pPr>
            <w:r>
              <w:rPr>
                <w:rFonts w:eastAsia="Calibri"/>
                <w:b/>
                <w:szCs w:val="24"/>
              </w:rPr>
              <w:t>Definition</w:t>
            </w:r>
          </w:p>
        </w:tc>
      </w:tr>
      <w:tr w:rsidR="00C1416F" w14:paraId="20158E17" w14:textId="77777777">
        <w:trPr>
          <w:cantSplit/>
          <w:trHeight w:val="964"/>
        </w:trPr>
        <w:tc>
          <w:tcPr>
            <w:tcW w:w="1260" w:type="dxa"/>
            <w:tcBorders>
              <w:bottom w:val="single" w:sz="4" w:space="0" w:color="000000"/>
            </w:tcBorders>
            <w:shd w:val="clear" w:color="0066FF" w:fill="0000FF"/>
            <w:vAlign w:val="center"/>
          </w:tcPr>
          <w:p w14:paraId="7FF966E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DEE096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FEBB1EC" w14:textId="467AB877"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423A27">
              <w:rPr>
                <w:rFonts w:eastAsia="Calibri"/>
                <w:szCs w:val="24"/>
              </w:rPr>
              <w:t xml:space="preserve">are </w:t>
            </w:r>
            <w:r w:rsidRPr="00FB778F">
              <w:rPr>
                <w:rFonts w:eastAsia="Calibri"/>
                <w:szCs w:val="24"/>
              </w:rPr>
              <w:t>fully attained with some subsections exceeded</w:t>
            </w:r>
          </w:p>
        </w:tc>
      </w:tr>
      <w:tr w:rsidR="00C1416F" w14:paraId="67E78792" w14:textId="77777777">
        <w:trPr>
          <w:cantSplit/>
          <w:trHeight w:val="964"/>
        </w:trPr>
        <w:tc>
          <w:tcPr>
            <w:tcW w:w="1260" w:type="dxa"/>
            <w:shd w:val="clear" w:color="33CC33" w:fill="00FF00"/>
            <w:vAlign w:val="center"/>
          </w:tcPr>
          <w:p w14:paraId="75F8DCA6" w14:textId="77777777" w:rsidR="00460D43" w:rsidRDefault="00000000">
            <w:pPr>
              <w:spacing w:before="60" w:after="60"/>
              <w:rPr>
                <w:rFonts w:eastAsia="Calibri"/>
                <w:szCs w:val="24"/>
              </w:rPr>
            </w:pPr>
          </w:p>
        </w:tc>
        <w:tc>
          <w:tcPr>
            <w:tcW w:w="7095" w:type="dxa"/>
            <w:shd w:val="clear" w:color="auto" w:fill="auto"/>
            <w:vAlign w:val="center"/>
          </w:tcPr>
          <w:p w14:paraId="6735B367"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30743A" w14:textId="6DB46EFD"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423A27">
              <w:rPr>
                <w:rFonts w:eastAsia="Calibri"/>
                <w:szCs w:val="24"/>
              </w:rPr>
              <w:t xml:space="preserve">are </w:t>
            </w:r>
            <w:r w:rsidRPr="00FB778F">
              <w:rPr>
                <w:rFonts w:eastAsia="Calibri"/>
                <w:szCs w:val="24"/>
              </w:rPr>
              <w:t>fully attained</w:t>
            </w:r>
          </w:p>
        </w:tc>
      </w:tr>
      <w:tr w:rsidR="00C1416F" w14:paraId="3DA02D33" w14:textId="77777777">
        <w:trPr>
          <w:cantSplit/>
          <w:trHeight w:val="964"/>
        </w:trPr>
        <w:tc>
          <w:tcPr>
            <w:tcW w:w="1260" w:type="dxa"/>
            <w:tcBorders>
              <w:bottom w:val="single" w:sz="4" w:space="0" w:color="000000"/>
            </w:tcBorders>
            <w:shd w:val="clear" w:color="auto" w:fill="FFFF00"/>
            <w:vAlign w:val="center"/>
          </w:tcPr>
          <w:p w14:paraId="3848D637" w14:textId="77777777" w:rsidR="00460D43" w:rsidRDefault="00000000">
            <w:pPr>
              <w:spacing w:before="60" w:after="60"/>
              <w:rPr>
                <w:rFonts w:eastAsia="Calibri"/>
                <w:szCs w:val="24"/>
              </w:rPr>
            </w:pPr>
          </w:p>
        </w:tc>
        <w:tc>
          <w:tcPr>
            <w:tcW w:w="7095" w:type="dxa"/>
            <w:shd w:val="clear" w:color="auto" w:fill="auto"/>
            <w:vAlign w:val="center"/>
          </w:tcPr>
          <w:p w14:paraId="5D4EBE3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0E433B3" w14:textId="0EDBF3A0"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423A27">
              <w:rPr>
                <w:rFonts w:eastAsia="Calibri"/>
                <w:szCs w:val="24"/>
              </w:rPr>
              <w:t xml:space="preserve">are </w:t>
            </w:r>
            <w:r w:rsidRPr="00FB778F">
              <w:rPr>
                <w:rFonts w:eastAsia="Calibri"/>
                <w:szCs w:val="24"/>
              </w:rPr>
              <w:t>partially attained and of low risk</w:t>
            </w:r>
          </w:p>
        </w:tc>
      </w:tr>
      <w:tr w:rsidR="00C1416F" w14:paraId="51D21919" w14:textId="77777777">
        <w:trPr>
          <w:cantSplit/>
          <w:trHeight w:val="964"/>
        </w:trPr>
        <w:tc>
          <w:tcPr>
            <w:tcW w:w="1260" w:type="dxa"/>
            <w:tcBorders>
              <w:bottom w:val="single" w:sz="4" w:space="0" w:color="000000"/>
            </w:tcBorders>
            <w:shd w:val="clear" w:color="auto" w:fill="FFC800"/>
            <w:vAlign w:val="center"/>
          </w:tcPr>
          <w:p w14:paraId="44F2C8D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10F5BE9"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545CCE4" w14:textId="2DEAFF3D"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423A27">
              <w:rPr>
                <w:rFonts w:eastAsia="Calibri"/>
                <w:szCs w:val="24"/>
              </w:rPr>
              <w:t xml:space="preserve">are </w:t>
            </w:r>
            <w:r>
              <w:rPr>
                <w:rFonts w:eastAsia="Calibri"/>
                <w:szCs w:val="24"/>
              </w:rPr>
              <w:t>partially attained and of medium or high risk and/or unattained and of low risk</w:t>
            </w:r>
          </w:p>
        </w:tc>
      </w:tr>
      <w:tr w:rsidR="00C1416F" w14:paraId="4D70CF09" w14:textId="77777777">
        <w:trPr>
          <w:cantSplit/>
          <w:trHeight w:val="964"/>
        </w:trPr>
        <w:tc>
          <w:tcPr>
            <w:tcW w:w="1260" w:type="dxa"/>
            <w:shd w:val="clear" w:color="auto" w:fill="FF0000"/>
            <w:vAlign w:val="center"/>
          </w:tcPr>
          <w:p w14:paraId="0419BEDC" w14:textId="77777777" w:rsidR="00460D43" w:rsidRDefault="00000000">
            <w:pPr>
              <w:spacing w:before="60" w:after="60"/>
              <w:rPr>
                <w:rFonts w:eastAsia="Calibri"/>
                <w:szCs w:val="24"/>
              </w:rPr>
            </w:pPr>
          </w:p>
        </w:tc>
        <w:tc>
          <w:tcPr>
            <w:tcW w:w="7095" w:type="dxa"/>
            <w:shd w:val="clear" w:color="auto" w:fill="auto"/>
            <w:vAlign w:val="center"/>
          </w:tcPr>
          <w:p w14:paraId="6ABBAB2D"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A2D276" w14:textId="737C0C52"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423A27">
              <w:rPr>
                <w:rFonts w:eastAsia="Calibri"/>
                <w:szCs w:val="24"/>
              </w:rPr>
              <w:t xml:space="preserve">are </w:t>
            </w:r>
            <w:r>
              <w:rPr>
                <w:rFonts w:eastAsia="Calibri"/>
                <w:szCs w:val="24"/>
              </w:rPr>
              <w:t>unattained and of moderate or high risk</w:t>
            </w:r>
          </w:p>
        </w:tc>
      </w:tr>
    </w:tbl>
    <w:p w14:paraId="7BC361C2" w14:textId="77777777" w:rsidR="00460D43" w:rsidRDefault="00000000">
      <w:pPr>
        <w:pStyle w:val="Heading2"/>
        <w:spacing w:after="0"/>
        <w:rPr>
          <w:rFonts w:cs="Arial"/>
        </w:rPr>
      </w:pPr>
      <w:r>
        <w:rPr>
          <w:rFonts w:cs="Arial"/>
        </w:rPr>
        <w:t>General overview of the audit</w:t>
      </w:r>
    </w:p>
    <w:p w14:paraId="118A5959" w14:textId="77777777" w:rsidR="00E536CC" w:rsidRDefault="00000000">
      <w:pPr>
        <w:spacing w:before="240" w:line="276" w:lineRule="auto"/>
        <w:rPr>
          <w:rFonts w:eastAsia="Calibri"/>
        </w:rPr>
      </w:pPr>
      <w:bookmarkStart w:id="13" w:name="GeneralOverview"/>
      <w:r w:rsidRPr="00A4268A">
        <w:rPr>
          <w:rFonts w:eastAsia="Calibri"/>
        </w:rPr>
        <w:t xml:space="preserve">Jack Inglis Friendship Hospital provides rest home, hospital (medical and geriatric), and dementia levels of care for up to 74 residents. There were 72 residents on the days of audit. </w:t>
      </w:r>
    </w:p>
    <w:p w14:paraId="03926734" w14:textId="77777777" w:rsidR="00C1416F" w:rsidRPr="00A4268A" w:rsidRDefault="00000000">
      <w:pPr>
        <w:spacing w:before="240" w:line="276" w:lineRule="auto"/>
        <w:rPr>
          <w:rFonts w:eastAsia="Calibri"/>
        </w:rPr>
      </w:pPr>
      <w:r w:rsidRPr="00A4268A">
        <w:rPr>
          <w:rFonts w:eastAsia="Calibri"/>
        </w:rPr>
        <w:t>This certification audit was conducted against the Nga Paerewa Health and Disability Services Standard 2021 and the contracts with Health New Zealand Te Whatu Ora - Nelson Marlborough. The audit process included the review of policies and procedures, the review of residents and staff files, observations, and interviews with residents, family/whānau, management, staff, and a general practitioner.</w:t>
      </w:r>
    </w:p>
    <w:p w14:paraId="228DEE64" w14:textId="77777777" w:rsidR="00C1416F" w:rsidRPr="00A4268A" w:rsidRDefault="00000000">
      <w:pPr>
        <w:spacing w:before="240" w:line="276" w:lineRule="auto"/>
        <w:rPr>
          <w:rFonts w:eastAsia="Calibri"/>
        </w:rPr>
      </w:pPr>
      <w:r w:rsidRPr="00A4268A">
        <w:rPr>
          <w:rFonts w:eastAsia="Calibri"/>
        </w:rPr>
        <w:t>The chief executive officer is appropriately qualified and experienced and is supported by an acting clinical manager and a quality manager (registered nurse).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39FF2428" w14:textId="77777777" w:rsidR="00C1416F" w:rsidRPr="00A4268A" w:rsidRDefault="00000000">
      <w:pPr>
        <w:spacing w:before="240" w:line="276" w:lineRule="auto"/>
        <w:rPr>
          <w:rFonts w:eastAsia="Calibri"/>
        </w:rPr>
      </w:pPr>
      <w:r w:rsidRPr="00A4268A">
        <w:rPr>
          <w:rFonts w:eastAsia="Calibri"/>
        </w:rPr>
        <w:t xml:space="preserve">This certification audit identified areas of improvement related to implementation of the quality system; staff training; monitoring; and infection control. </w:t>
      </w:r>
    </w:p>
    <w:bookmarkEnd w:id="13"/>
    <w:p w14:paraId="0C1AE45B" w14:textId="77777777" w:rsidR="00C1416F" w:rsidRPr="00A4268A" w:rsidRDefault="00C1416F">
      <w:pPr>
        <w:spacing w:before="240" w:line="276" w:lineRule="auto"/>
        <w:rPr>
          <w:rFonts w:eastAsia="Calibri"/>
        </w:rPr>
      </w:pPr>
    </w:p>
    <w:p w14:paraId="7EB73805"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16F" w14:paraId="50C8A8DD" w14:textId="77777777" w:rsidTr="00A4268A">
        <w:trPr>
          <w:cantSplit/>
        </w:trPr>
        <w:tc>
          <w:tcPr>
            <w:tcW w:w="10206" w:type="dxa"/>
            <w:vAlign w:val="center"/>
          </w:tcPr>
          <w:p w14:paraId="55ED042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0C58BEA"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953C8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93F69BF" w14:textId="383D19A3"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423A27">
              <w:t xml:space="preserve">are </w:t>
            </w:r>
            <w:r>
              <w:t>fully attained.</w:t>
            </w:r>
          </w:p>
        </w:tc>
      </w:tr>
    </w:tbl>
    <w:p w14:paraId="3D031661" w14:textId="77777777" w:rsidR="00460D43" w:rsidRDefault="00000000">
      <w:pPr>
        <w:spacing w:before="240" w:line="276" w:lineRule="auto"/>
        <w:rPr>
          <w:rFonts w:eastAsia="Calibri"/>
        </w:rPr>
      </w:pPr>
      <w:bookmarkStart w:id="16" w:name="ConsumerRights"/>
      <w:r w:rsidRPr="00A4268A">
        <w:rPr>
          <w:rFonts w:eastAsia="Calibri"/>
        </w:rPr>
        <w:t>Jack Inglis Friendship Hospital provides an environment that supports resident rights and safe care. Staff demonstrated an understanding of residents' rights and obligations. There is a Māori and Pacific health plan in place. The service works to provide high-quality and effective services and care for residents.</w:t>
      </w:r>
    </w:p>
    <w:p w14:paraId="3A7E56E3" w14:textId="77777777" w:rsidR="00C1416F"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w:t>
      </w:r>
    </w:p>
    <w:p w14:paraId="1BD81F87" w14:textId="77777777" w:rsidR="00C1416F" w:rsidRPr="00A4268A" w:rsidRDefault="00000000">
      <w:pPr>
        <w:spacing w:before="240" w:line="276" w:lineRule="auto"/>
        <w:rPr>
          <w:rFonts w:eastAsia="Calibri"/>
        </w:rPr>
      </w:pPr>
      <w:r w:rsidRPr="00A4268A">
        <w:rPr>
          <w:rFonts w:eastAsia="Calibri"/>
        </w:rPr>
        <w:t>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4D3E4872" w14:textId="77777777" w:rsidR="00C1416F" w:rsidRPr="00A4268A" w:rsidRDefault="00C1416F">
      <w:pPr>
        <w:spacing w:before="240" w:line="276" w:lineRule="auto"/>
        <w:rPr>
          <w:rFonts w:eastAsia="Calibri"/>
        </w:rPr>
      </w:pPr>
    </w:p>
    <w:p w14:paraId="696E256A"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16F" w14:paraId="03EF7295" w14:textId="77777777" w:rsidTr="00A4268A">
        <w:trPr>
          <w:cantSplit/>
        </w:trPr>
        <w:tc>
          <w:tcPr>
            <w:tcW w:w="10206" w:type="dxa"/>
            <w:vAlign w:val="center"/>
          </w:tcPr>
          <w:p w14:paraId="419E31D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CEAF93E"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68AE32" w14:textId="1F0ABD7B"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423A27">
              <w:t xml:space="preserve">are </w:t>
            </w:r>
            <w:r>
              <w:t>partially attained and of low risk.</w:t>
            </w:r>
          </w:p>
        </w:tc>
      </w:tr>
    </w:tbl>
    <w:p w14:paraId="140B7D5F" w14:textId="77777777" w:rsidR="00460D43" w:rsidRDefault="00000000">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 a risk-based approach, and these systems meet the needs of residents and staff. Quality improvement projects are implemented. Internal audits, and collation of data were all documented as taking place as scheduled, with corrective actions as indicated.</w:t>
      </w:r>
    </w:p>
    <w:p w14:paraId="17D564AE" w14:textId="77777777" w:rsidR="00C1416F"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training programme are in place. The service ensures the collection, storage, and use of personal and health information of residents is secure, accessible, and confidential.</w:t>
      </w:r>
    </w:p>
    <w:bookmarkEnd w:id="19"/>
    <w:p w14:paraId="70841F68" w14:textId="77777777" w:rsidR="00C1416F" w:rsidRPr="00A4268A" w:rsidRDefault="00C1416F">
      <w:pPr>
        <w:spacing w:before="240" w:line="276" w:lineRule="auto"/>
        <w:rPr>
          <w:rFonts w:eastAsia="Calibri"/>
        </w:rPr>
      </w:pPr>
    </w:p>
    <w:p w14:paraId="17B5BB77"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16F" w14:paraId="3358B140" w14:textId="77777777" w:rsidTr="00A4268A">
        <w:trPr>
          <w:cantSplit/>
        </w:trPr>
        <w:tc>
          <w:tcPr>
            <w:tcW w:w="10206" w:type="dxa"/>
            <w:vAlign w:val="center"/>
          </w:tcPr>
          <w:p w14:paraId="31E5804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4C75DDA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0C65285" w14:textId="04D44272"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423A27">
              <w:t xml:space="preserve">are </w:t>
            </w:r>
            <w:r>
              <w:t>partially attained and of low risk.</w:t>
            </w:r>
          </w:p>
        </w:tc>
      </w:tr>
    </w:tbl>
    <w:p w14:paraId="6C94C48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acting clinical manager and the registered nurses efficiently manage the entry process to the service. Admissions are managed by the registered nurses and the general practitioner at admission. The service works in partnership with the residents, and their family/whānau or enduring power of attorneys to assess, plan and evaluate care. The care plans demonstrated individualised care. </w:t>
      </w:r>
    </w:p>
    <w:p w14:paraId="22447EE8" w14:textId="77777777" w:rsidR="00C1416F"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Medication policies reflect legislative requirements and guidelines. Registered nurses and medication competent caregivers are responsible for administration of medicines. They complete annual education and medication competencies. The electronic medicine charts reviewed met prescribing requirements and were reviewed at least three-monthly by the general practitioner. </w:t>
      </w:r>
    </w:p>
    <w:p w14:paraId="38C55A88" w14:textId="77777777" w:rsidR="00C1416F" w:rsidRPr="00A4268A" w:rsidRDefault="00000000"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Nutritional snacks are available 24/7.</w:t>
      </w:r>
    </w:p>
    <w:p w14:paraId="062EDB7E" w14:textId="77777777" w:rsidR="00C1416F" w:rsidRPr="00A4268A" w:rsidRDefault="00000000" w:rsidP="00621629">
      <w:pPr>
        <w:spacing w:before="240" w:line="276" w:lineRule="auto"/>
        <w:rPr>
          <w:rFonts w:eastAsia="Calibri"/>
        </w:rPr>
      </w:pPr>
      <w:r w:rsidRPr="00A4268A">
        <w:rPr>
          <w:rFonts w:eastAsia="Calibri"/>
        </w:rPr>
        <w:t>Residents were reviewed regularly and referred to specialist services and to other health services as required. Discharge and transfers are coordinated and planned.</w:t>
      </w:r>
    </w:p>
    <w:bookmarkEnd w:id="22"/>
    <w:p w14:paraId="4EA71A35" w14:textId="77777777" w:rsidR="00C1416F" w:rsidRPr="00A4268A" w:rsidRDefault="00C1416F" w:rsidP="00621629">
      <w:pPr>
        <w:spacing w:before="240" w:line="276" w:lineRule="auto"/>
        <w:rPr>
          <w:rFonts w:eastAsia="Calibri"/>
        </w:rPr>
      </w:pPr>
    </w:p>
    <w:p w14:paraId="7BA54E40"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16F" w14:paraId="58F6E8AE" w14:textId="77777777" w:rsidTr="00A4268A">
        <w:trPr>
          <w:cantSplit/>
        </w:trPr>
        <w:tc>
          <w:tcPr>
            <w:tcW w:w="10206" w:type="dxa"/>
            <w:vAlign w:val="center"/>
          </w:tcPr>
          <w:p w14:paraId="0FB7D5C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A90F5C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630CB5F" w14:textId="3DC255D0"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423A27">
              <w:t xml:space="preserve">are </w:t>
            </w:r>
            <w:r>
              <w:t>fully attained.</w:t>
            </w:r>
          </w:p>
        </w:tc>
      </w:tr>
    </w:tbl>
    <w:p w14:paraId="13494E01"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There is a mix of rooms with full ensuite and shared facilities. There are communal shower rooms with privacy signs. Resident rooms are personalised. </w:t>
      </w:r>
    </w:p>
    <w:p w14:paraId="7E423A53" w14:textId="77777777" w:rsidR="00C1416F"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 All resident rooms have call bells which are within easy reach of residents. Security checks are performed by staff and security lighting is installed externally.</w:t>
      </w:r>
    </w:p>
    <w:bookmarkEnd w:id="25"/>
    <w:p w14:paraId="4DC48AAC" w14:textId="77777777" w:rsidR="00C1416F" w:rsidRPr="00A4268A" w:rsidRDefault="00C1416F">
      <w:pPr>
        <w:spacing w:before="240" w:line="276" w:lineRule="auto"/>
        <w:rPr>
          <w:rFonts w:eastAsia="Calibri"/>
        </w:rPr>
      </w:pPr>
    </w:p>
    <w:p w14:paraId="0808C087"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16F" w14:paraId="5276289A" w14:textId="77777777" w:rsidTr="00A4268A">
        <w:trPr>
          <w:cantSplit/>
        </w:trPr>
        <w:tc>
          <w:tcPr>
            <w:tcW w:w="10206" w:type="dxa"/>
            <w:vAlign w:val="center"/>
          </w:tcPr>
          <w:p w14:paraId="52CEBEE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607F79A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56B5A5C" w14:textId="4F1AB3A6" w:rsidR="00460D43" w:rsidRPr="00621629" w:rsidRDefault="00000000" w:rsidP="00621629">
            <w:pPr>
              <w:spacing w:before="60" w:after="60" w:line="276" w:lineRule="auto"/>
              <w:rPr>
                <w:rFonts w:eastAsia="Calibri"/>
              </w:rPr>
            </w:pPr>
            <w:bookmarkStart w:id="27" w:name="IndicatorDescription2"/>
            <w:bookmarkEnd w:id="27"/>
            <w:r>
              <w:t xml:space="preserve">Some subsections applicable to this service </w:t>
            </w:r>
            <w:r w:rsidR="00423A27">
              <w:t xml:space="preserve">are </w:t>
            </w:r>
            <w:r>
              <w:t>partially attained and of low risk.</w:t>
            </w:r>
          </w:p>
        </w:tc>
      </w:tr>
    </w:tbl>
    <w:p w14:paraId="1A008A18"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prevention and control education is provided to staff as part of their orientation and as part of the ongoing in-service education programme. Antimicrobial usage is monitored. </w:t>
      </w:r>
    </w:p>
    <w:p w14:paraId="21BE6EA5" w14:textId="77777777" w:rsidR="00C1416F" w:rsidRPr="00A4268A" w:rsidRDefault="00000000">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has been one outbreak since the previous audit. </w:t>
      </w:r>
    </w:p>
    <w:p w14:paraId="21A78510" w14:textId="77777777" w:rsidR="00C1416F" w:rsidRPr="00A4268A" w:rsidRDefault="0000000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32A8777A" w14:textId="77777777" w:rsidR="00C1416F" w:rsidRPr="00A4268A" w:rsidRDefault="00C1416F">
      <w:pPr>
        <w:spacing w:before="240" w:line="276" w:lineRule="auto"/>
        <w:rPr>
          <w:rFonts w:eastAsia="Calibri"/>
        </w:rPr>
      </w:pPr>
    </w:p>
    <w:p w14:paraId="03FC53CC"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16F" w14:paraId="3FEECA0D" w14:textId="77777777" w:rsidTr="00A4268A">
        <w:trPr>
          <w:cantSplit/>
        </w:trPr>
        <w:tc>
          <w:tcPr>
            <w:tcW w:w="10206" w:type="dxa"/>
            <w:vAlign w:val="center"/>
          </w:tcPr>
          <w:p w14:paraId="02276FB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DF642BC"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B6AEC0F" w14:textId="0C5396C9"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423A27">
              <w:t xml:space="preserve">are </w:t>
            </w:r>
            <w:r>
              <w:t>fully attained.</w:t>
            </w:r>
          </w:p>
        </w:tc>
      </w:tr>
    </w:tbl>
    <w:p w14:paraId="46CA1CF4"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a resident currently using restraints. Use of restraints is considered as a last resort, only after all other options were explored. Education is provided to staff around restraint minimisation. A restraint register is maintained, and restraints are reviewed on a regular basis.</w:t>
      </w:r>
    </w:p>
    <w:bookmarkEnd w:id="31"/>
    <w:p w14:paraId="52C59A60" w14:textId="77777777" w:rsidR="00C1416F" w:rsidRPr="00A4268A" w:rsidRDefault="00C1416F">
      <w:pPr>
        <w:spacing w:before="240" w:line="276" w:lineRule="auto"/>
        <w:rPr>
          <w:rFonts w:eastAsia="Calibri"/>
        </w:rPr>
      </w:pPr>
    </w:p>
    <w:p w14:paraId="01C037A2" w14:textId="77777777" w:rsidR="00460D43" w:rsidRDefault="00000000" w:rsidP="000E6E02">
      <w:pPr>
        <w:pStyle w:val="Heading2"/>
        <w:spacing w:before="0"/>
        <w:rPr>
          <w:rFonts w:cs="Arial"/>
        </w:rPr>
      </w:pPr>
      <w:r>
        <w:rPr>
          <w:rFonts w:cs="Arial"/>
        </w:rPr>
        <w:t>Summary of attainment</w:t>
      </w:r>
    </w:p>
    <w:p w14:paraId="462304C3"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1416F" w14:paraId="69032AB4" w14:textId="77777777">
        <w:tc>
          <w:tcPr>
            <w:tcW w:w="1384" w:type="dxa"/>
            <w:vAlign w:val="center"/>
          </w:tcPr>
          <w:p w14:paraId="487A8E8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0BB7C4F" w14:textId="77777777" w:rsidR="00460D43" w:rsidRDefault="00000000">
            <w:pPr>
              <w:keepNext/>
              <w:spacing w:before="60" w:after="60"/>
              <w:jc w:val="center"/>
              <w:rPr>
                <w:rFonts w:cs="Arial"/>
                <w:b/>
                <w:sz w:val="20"/>
                <w:szCs w:val="20"/>
              </w:rPr>
            </w:pPr>
            <w:r>
              <w:rPr>
                <w:rFonts w:cs="Arial"/>
                <w:b/>
                <w:sz w:val="20"/>
                <w:szCs w:val="20"/>
              </w:rPr>
              <w:t>Continuous Improvement</w:t>
            </w:r>
          </w:p>
          <w:p w14:paraId="539CA84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BF1AEB9" w14:textId="77777777" w:rsidR="00460D43" w:rsidRDefault="00000000">
            <w:pPr>
              <w:keepNext/>
              <w:spacing w:before="60" w:after="60"/>
              <w:jc w:val="center"/>
              <w:rPr>
                <w:rFonts w:cs="Arial"/>
                <w:b/>
                <w:sz w:val="20"/>
                <w:szCs w:val="20"/>
              </w:rPr>
            </w:pPr>
            <w:r>
              <w:rPr>
                <w:rFonts w:cs="Arial"/>
                <w:b/>
                <w:sz w:val="20"/>
                <w:szCs w:val="20"/>
              </w:rPr>
              <w:t>Fully Attained</w:t>
            </w:r>
          </w:p>
          <w:p w14:paraId="41C8C8B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ECA238C"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BC29BBC"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3DD480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B20E80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871D97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2B169C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B34ABB2"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EABBDC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D9C6DB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529A09B" w14:textId="77777777" w:rsidR="00460D43" w:rsidRDefault="00000000">
            <w:pPr>
              <w:keepNext/>
              <w:spacing w:before="60" w:after="60"/>
              <w:jc w:val="center"/>
              <w:rPr>
                <w:rFonts w:cs="Arial"/>
                <w:b/>
                <w:sz w:val="20"/>
                <w:szCs w:val="20"/>
              </w:rPr>
            </w:pPr>
            <w:r>
              <w:rPr>
                <w:rFonts w:cs="Arial"/>
                <w:b/>
                <w:sz w:val="20"/>
                <w:szCs w:val="20"/>
              </w:rPr>
              <w:t>(PA Critical)</w:t>
            </w:r>
          </w:p>
        </w:tc>
      </w:tr>
      <w:tr w:rsidR="00C1416F" w14:paraId="0598B755" w14:textId="77777777">
        <w:tc>
          <w:tcPr>
            <w:tcW w:w="1384" w:type="dxa"/>
            <w:vAlign w:val="center"/>
          </w:tcPr>
          <w:p w14:paraId="398A37C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68A6E7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7BD76CC"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A832B3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51E35F9"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53096C7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B94123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8B85CB"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1416F" w14:paraId="082EF7AD" w14:textId="77777777">
        <w:tc>
          <w:tcPr>
            <w:tcW w:w="1384" w:type="dxa"/>
            <w:vAlign w:val="center"/>
          </w:tcPr>
          <w:p w14:paraId="4EBDF1A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7EC48DD"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B44523"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14CD3D6A"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B9BBFD"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106DA065"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8AF011B"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CCA4E69"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CE0600C"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1416F" w14:paraId="6F9EC5F0" w14:textId="77777777">
        <w:tc>
          <w:tcPr>
            <w:tcW w:w="1384" w:type="dxa"/>
            <w:vAlign w:val="center"/>
          </w:tcPr>
          <w:p w14:paraId="16D168A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AA9972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71898F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5B242C7" w14:textId="77777777" w:rsidR="00460D43" w:rsidRDefault="00000000">
            <w:pPr>
              <w:keepNext/>
              <w:spacing w:before="60" w:after="60"/>
              <w:jc w:val="center"/>
              <w:rPr>
                <w:rFonts w:cs="Arial"/>
                <w:b/>
                <w:sz w:val="20"/>
                <w:szCs w:val="20"/>
              </w:rPr>
            </w:pPr>
            <w:r>
              <w:rPr>
                <w:rFonts w:cs="Arial"/>
                <w:b/>
                <w:sz w:val="20"/>
                <w:szCs w:val="20"/>
              </w:rPr>
              <w:t>Unattained Low Risk</w:t>
            </w:r>
          </w:p>
          <w:p w14:paraId="02B8CBD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67016FA" w14:textId="77777777" w:rsidR="00460D43" w:rsidRDefault="00000000">
            <w:pPr>
              <w:keepNext/>
              <w:spacing w:before="60" w:after="60"/>
              <w:jc w:val="center"/>
              <w:rPr>
                <w:rFonts w:cs="Arial"/>
                <w:b/>
                <w:sz w:val="20"/>
                <w:szCs w:val="20"/>
              </w:rPr>
            </w:pPr>
            <w:r>
              <w:rPr>
                <w:rFonts w:cs="Arial"/>
                <w:b/>
                <w:sz w:val="20"/>
                <w:szCs w:val="20"/>
              </w:rPr>
              <w:t>Unattained Moderate Risk</w:t>
            </w:r>
          </w:p>
          <w:p w14:paraId="152E269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68AB740" w14:textId="77777777" w:rsidR="00460D43" w:rsidRDefault="00000000">
            <w:pPr>
              <w:keepNext/>
              <w:spacing w:before="60" w:after="60"/>
              <w:jc w:val="center"/>
              <w:rPr>
                <w:rFonts w:cs="Arial"/>
                <w:b/>
                <w:sz w:val="20"/>
                <w:szCs w:val="20"/>
              </w:rPr>
            </w:pPr>
            <w:r>
              <w:rPr>
                <w:rFonts w:cs="Arial"/>
                <w:b/>
                <w:sz w:val="20"/>
                <w:szCs w:val="20"/>
              </w:rPr>
              <w:t>Unattained High Risk</w:t>
            </w:r>
          </w:p>
          <w:p w14:paraId="32A4E562"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B00BB99" w14:textId="77777777" w:rsidR="00460D43" w:rsidRDefault="00000000">
            <w:pPr>
              <w:keepNext/>
              <w:spacing w:before="60" w:after="60"/>
              <w:jc w:val="center"/>
              <w:rPr>
                <w:rFonts w:cs="Arial"/>
                <w:b/>
                <w:sz w:val="20"/>
                <w:szCs w:val="20"/>
              </w:rPr>
            </w:pPr>
            <w:r>
              <w:rPr>
                <w:rFonts w:cs="Arial"/>
                <w:b/>
                <w:sz w:val="20"/>
                <w:szCs w:val="20"/>
              </w:rPr>
              <w:t>Unattained Critical Risk</w:t>
            </w:r>
          </w:p>
          <w:p w14:paraId="6629E0B7" w14:textId="77777777" w:rsidR="00460D43" w:rsidRDefault="00000000">
            <w:pPr>
              <w:keepNext/>
              <w:spacing w:before="60" w:after="60"/>
              <w:jc w:val="center"/>
              <w:rPr>
                <w:rFonts w:cs="Arial"/>
                <w:b/>
                <w:sz w:val="20"/>
                <w:szCs w:val="20"/>
              </w:rPr>
            </w:pPr>
            <w:r>
              <w:rPr>
                <w:rFonts w:cs="Arial"/>
                <w:b/>
                <w:sz w:val="20"/>
                <w:szCs w:val="20"/>
              </w:rPr>
              <w:t>(UA Critical)</w:t>
            </w:r>
          </w:p>
        </w:tc>
      </w:tr>
      <w:tr w:rsidR="00C1416F" w14:paraId="7E1E2DC1" w14:textId="77777777">
        <w:tc>
          <w:tcPr>
            <w:tcW w:w="1384" w:type="dxa"/>
            <w:vAlign w:val="center"/>
          </w:tcPr>
          <w:p w14:paraId="391C72E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3703B1F"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398C0C5"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281B5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BAE716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E42A77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1416F" w14:paraId="2DAF50F9" w14:textId="77777777">
        <w:tc>
          <w:tcPr>
            <w:tcW w:w="1384" w:type="dxa"/>
            <w:vAlign w:val="center"/>
          </w:tcPr>
          <w:p w14:paraId="66CE3C8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0F5B562"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D3C210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CB0A3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654AF0F"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9CCB7AE"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C2343A"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A5A71C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ACAED6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6025EA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C1416F" w14:paraId="18E6B2DF" w14:textId="77777777">
        <w:tc>
          <w:tcPr>
            <w:tcW w:w="0" w:type="auto"/>
          </w:tcPr>
          <w:p w14:paraId="63F655D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C4891F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13AD2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1416F" w14:paraId="56265CD8" w14:textId="77777777">
        <w:tc>
          <w:tcPr>
            <w:tcW w:w="0" w:type="auto"/>
          </w:tcPr>
          <w:p w14:paraId="6568D89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24A3948"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4842E82" w14:textId="77777777" w:rsidR="00EB7645" w:rsidRPr="00BE00C7" w:rsidRDefault="00000000" w:rsidP="00BE00C7">
            <w:pPr>
              <w:pStyle w:val="OutcomeDescription"/>
              <w:spacing w:before="120" w:after="120"/>
              <w:rPr>
                <w:rFonts w:cs="Arial"/>
                <w:lang w:eastAsia="en-NZ"/>
              </w:rPr>
            </w:pPr>
          </w:p>
        </w:tc>
        <w:tc>
          <w:tcPr>
            <w:tcW w:w="0" w:type="auto"/>
          </w:tcPr>
          <w:p w14:paraId="0DF929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BF3F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and acknowledges Te Tiriti o Waitangi as a founding document for New Zealand. The service does currently have residents who identify as Māori. </w:t>
            </w:r>
          </w:p>
          <w:p w14:paraId="05E405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part of staff training, Jack Inglis Friendship Hospital (Jack Inglis) incorporates the Māori health strategy (He Korowai Oranga) and Te Whare Tapa Wha Māori model of health and wellbeing into practice.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17C38A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strong linkage with Te Awhina Marae and Te Piki Ora Health services attached to the local marae. Staff within the management team worked for Te Awhina Marae and have strong connections still. Other staff in the management are tāngata whenua to Motueka and they provide cultural assistance, guidance and support to staff and management, as well as link to local kaumātua. </w:t>
            </w:r>
          </w:p>
          <w:p w14:paraId="43959B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At the time of the audit there were Māori staff </w:t>
            </w:r>
            <w:r w:rsidRPr="00BE00C7">
              <w:rPr>
                <w:rFonts w:cs="Arial"/>
                <w:lang w:eastAsia="en-NZ"/>
              </w:rPr>
              <w:lastRenderedPageBreak/>
              <w:t xml:space="preserve">members. Staff members interviewed stated that they are supported in a culturally safe way and staff are encouraged to use both te reo Māori and relevant tikanga in their work with the residents, as detailed in the Māori health plan and tikanga guidelines. </w:t>
            </w:r>
          </w:p>
          <w:p w14:paraId="5D7697D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Twenty staff members interviewed (ten caregivers, four registered nurse (RN), one enrolled nurse, one maintenance, one laundry, one cleaner, one head cook, and one diversional therapist) described how care is based on the resident’s individual values, beliefs, and preferences. Care plans included the physical, spiritual, family/whānau, and psychological health of the residents.</w:t>
            </w:r>
          </w:p>
          <w:p w14:paraId="29AC6834" w14:textId="77777777" w:rsidR="00EB7645" w:rsidRPr="00BE00C7" w:rsidRDefault="00000000" w:rsidP="00BE00C7">
            <w:pPr>
              <w:pStyle w:val="OutcomeDescription"/>
              <w:spacing w:before="120" w:after="120"/>
              <w:rPr>
                <w:rFonts w:cs="Arial"/>
                <w:lang w:eastAsia="en-NZ"/>
              </w:rPr>
            </w:pPr>
          </w:p>
        </w:tc>
      </w:tr>
      <w:tr w:rsidR="00C1416F" w14:paraId="7E623DD7" w14:textId="77777777">
        <w:tc>
          <w:tcPr>
            <w:tcW w:w="0" w:type="auto"/>
          </w:tcPr>
          <w:p w14:paraId="18C4AF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C7B49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0CE0844" w14:textId="77777777" w:rsidR="00EB7645" w:rsidRPr="00BE00C7" w:rsidRDefault="00000000" w:rsidP="00BE00C7">
            <w:pPr>
              <w:pStyle w:val="OutcomeDescription"/>
              <w:spacing w:before="120" w:after="120"/>
              <w:rPr>
                <w:rFonts w:cs="Arial"/>
                <w:lang w:eastAsia="en-NZ"/>
              </w:rPr>
            </w:pPr>
          </w:p>
        </w:tc>
        <w:tc>
          <w:tcPr>
            <w:tcW w:w="0" w:type="auto"/>
          </w:tcPr>
          <w:p w14:paraId="6B1FF6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3289F6" w14:textId="77777777" w:rsidR="00EB7645" w:rsidRPr="00BE00C7" w:rsidRDefault="00000000" w:rsidP="00BE00C7">
            <w:pPr>
              <w:pStyle w:val="OutcomeDescription"/>
              <w:spacing w:before="120" w:after="120"/>
              <w:rPr>
                <w:rFonts w:cs="Arial"/>
                <w:lang w:eastAsia="en-NZ"/>
              </w:rPr>
            </w:pPr>
            <w:r w:rsidRPr="00BE00C7">
              <w:rPr>
                <w:rFonts w:cs="Arial"/>
                <w:lang w:eastAsia="en-NZ"/>
              </w:rPr>
              <w:t>Jack Inglis recognises the uniqueness of Pacific cultures and the importance of recognising that dignity and the sacredness of life are integral in the service delivery of health and disability services for Pacific people. There is a comprehensive Pacific health plan documented, with policy based on the Ministry of Health Ola Manuia: Pacific Health and Wellbeing Action Plan 2020-2025. The Health and Disability Commissioner (HDC) Code of Health and Disability Services Consumers’ Rights (the Code) is available in a number of different languages according to resident need.</w:t>
            </w:r>
          </w:p>
          <w:p w14:paraId="61E375E9"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there were Pacific residents living at Jack Inglis. Ethnicity information and Pacific people’s cultural beliefs and practices are identified during the admission process and entered into the residents’ files. Family/whānau are encouraged to be present during the admission process and the service welcomes input from the resident and family/whānau when documenting the initial care plan. Individual cultural beliefs are documented in the activities profile, activities plan and care plan.</w:t>
            </w:r>
          </w:p>
          <w:p w14:paraId="6E2F59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actively recruiting new staff. The chief executive officer (CEO) confirmed how they encourage and support any staff that identifies as Pasifika, beginning at the employment process. This was confirmed in interviews with staff who identified as Pasifika.</w:t>
            </w:r>
          </w:p>
          <w:p w14:paraId="299474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with staff members, six residents (five rest home residents, one hospital resident), and four relatives (two rest home, two dementia) identified that the service puts people using the services, family/whānau, and the Jack Inglis community at the heart of their services. The service can consult with Pacific Island staff, and industry advisors who identify as Pasifika to support access to community links and who continue to provide equitable employment opportunities for the Pacific community.</w:t>
            </w:r>
          </w:p>
          <w:p w14:paraId="3F4CBFAE" w14:textId="77777777" w:rsidR="00EB7645" w:rsidRPr="00BE00C7" w:rsidRDefault="00000000" w:rsidP="00BE00C7">
            <w:pPr>
              <w:pStyle w:val="OutcomeDescription"/>
              <w:spacing w:before="120" w:after="120"/>
              <w:rPr>
                <w:rFonts w:cs="Arial"/>
                <w:lang w:eastAsia="en-NZ"/>
              </w:rPr>
            </w:pPr>
          </w:p>
        </w:tc>
      </w:tr>
      <w:tr w:rsidR="00C1416F" w14:paraId="5554C287" w14:textId="77777777">
        <w:tc>
          <w:tcPr>
            <w:tcW w:w="0" w:type="auto"/>
          </w:tcPr>
          <w:p w14:paraId="19EB53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3FB7C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1ECB275" w14:textId="77777777" w:rsidR="00EB7645" w:rsidRPr="00BE00C7" w:rsidRDefault="00000000" w:rsidP="00BE00C7">
            <w:pPr>
              <w:pStyle w:val="OutcomeDescription"/>
              <w:spacing w:before="120" w:after="120"/>
              <w:rPr>
                <w:rFonts w:cs="Arial"/>
                <w:lang w:eastAsia="en-NZ"/>
              </w:rPr>
            </w:pPr>
          </w:p>
        </w:tc>
        <w:tc>
          <w:tcPr>
            <w:tcW w:w="0" w:type="auto"/>
          </w:tcPr>
          <w:p w14:paraId="4086DF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402A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is displayed in multiple locations. Details relating to the Code are included in the information that is provided to new residents and their family/whānau. The chief executive officer or acting clinical manager discusses aspects of the Code with residents and their family/whānau on admission. </w:t>
            </w:r>
          </w:p>
          <w:p w14:paraId="65B3AF2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and family/whānau interviewed reported that the residents’ rights are being upheld by the service. Interactions observed between staff and residents during the audit were respectful.</w:t>
            </w:r>
          </w:p>
          <w:p w14:paraId="395280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resident advocacy is available at the entrance to the facility and in the entry pack of information provided to residents and their family/whānau. There are links to spiritual support through local churches. Church services are held regularly. </w:t>
            </w:r>
          </w:p>
          <w:p w14:paraId="2D17629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as part of the two-yearly education programme (link 2.3.4), which includes (but is not limited to) understanding the role of advocacy services. Advocacy services are linked to the complaints process.</w:t>
            </w:r>
          </w:p>
          <w:p w14:paraId="752F3E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307360C9" w14:textId="77777777" w:rsidR="00EB7645" w:rsidRPr="00BE00C7" w:rsidRDefault="00000000" w:rsidP="00BE00C7">
            <w:pPr>
              <w:pStyle w:val="OutcomeDescription"/>
              <w:spacing w:before="120" w:after="120"/>
              <w:rPr>
                <w:rFonts w:cs="Arial"/>
                <w:lang w:eastAsia="en-NZ"/>
              </w:rPr>
            </w:pPr>
          </w:p>
        </w:tc>
      </w:tr>
      <w:tr w:rsidR="00C1416F" w14:paraId="41442CB3" w14:textId="77777777">
        <w:tc>
          <w:tcPr>
            <w:tcW w:w="0" w:type="auto"/>
          </w:tcPr>
          <w:p w14:paraId="2FB7A82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33B9FA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0BFFB7A" w14:textId="77777777" w:rsidR="00EB7645" w:rsidRPr="00BE00C7" w:rsidRDefault="00000000" w:rsidP="00BE00C7">
            <w:pPr>
              <w:pStyle w:val="OutcomeDescription"/>
              <w:spacing w:before="120" w:after="120"/>
              <w:rPr>
                <w:rFonts w:cs="Arial"/>
                <w:lang w:eastAsia="en-NZ"/>
              </w:rPr>
            </w:pPr>
          </w:p>
        </w:tc>
        <w:tc>
          <w:tcPr>
            <w:tcW w:w="0" w:type="auto"/>
          </w:tcPr>
          <w:p w14:paraId="601F2A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A866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w:t>
            </w:r>
            <w:r w:rsidRPr="00BE00C7">
              <w:rPr>
                <w:rFonts w:cs="Arial"/>
                <w:lang w:eastAsia="en-NZ"/>
              </w:rPr>
              <w:lastRenderedPageBreak/>
              <w:t xml:space="preserve">examples were provided. Residents are supported to make decisions about whether they would like family/whānau members to be involved in their care or other forms of support. </w:t>
            </w:r>
          </w:p>
          <w:p w14:paraId="257353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service’s annual training plan demonstrates that training is responsive to the diverse needs of people across the service. It was observed that residents are treated with dignity and respect. Interviews with residents and family/whānau confirmed that residents and family/whānau are treated with respect. </w:t>
            </w:r>
          </w:p>
          <w:p w14:paraId="544A5C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43CE904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complete a cultural competency that covers Te Tiriti o Waitangi, tikanga Māori and health equity from a Māori perspective, in order to build knowledge and awareness about the importance of addressing accessibility barriers. The service works alongside tāngata whaikaha and supports them to participate in individual activities of their choice, including supporting them with te ao Māori.</w:t>
            </w:r>
          </w:p>
          <w:p w14:paraId="6682C172" w14:textId="77777777" w:rsidR="00EB7645" w:rsidRPr="00BE00C7" w:rsidRDefault="00000000" w:rsidP="00BE00C7">
            <w:pPr>
              <w:pStyle w:val="OutcomeDescription"/>
              <w:spacing w:before="120" w:after="120"/>
              <w:rPr>
                <w:rFonts w:cs="Arial"/>
                <w:lang w:eastAsia="en-NZ"/>
              </w:rPr>
            </w:pPr>
          </w:p>
        </w:tc>
      </w:tr>
      <w:tr w:rsidR="00C1416F" w14:paraId="6B8B6FD0" w14:textId="77777777">
        <w:tc>
          <w:tcPr>
            <w:tcW w:w="0" w:type="auto"/>
          </w:tcPr>
          <w:p w14:paraId="6F7393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FE643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7FBAE8D0" w14:textId="77777777" w:rsidR="00EB7645" w:rsidRPr="00BE00C7" w:rsidRDefault="00000000" w:rsidP="00BE00C7">
            <w:pPr>
              <w:pStyle w:val="OutcomeDescription"/>
              <w:spacing w:before="120" w:after="120"/>
              <w:rPr>
                <w:rFonts w:cs="Arial"/>
                <w:lang w:eastAsia="en-NZ"/>
              </w:rPr>
            </w:pPr>
          </w:p>
        </w:tc>
        <w:tc>
          <w:tcPr>
            <w:tcW w:w="0" w:type="auto"/>
          </w:tcPr>
          <w:p w14:paraId="40827D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0D07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and house rules policy. This code of conduct policy addresses the elimination of discrimination, harassment, and bullying. All staff are held responsible for creating a positive, </w:t>
            </w:r>
            <w:r w:rsidRPr="00BE00C7">
              <w:rPr>
                <w:rFonts w:cs="Arial"/>
                <w:lang w:eastAsia="en-NZ"/>
              </w:rPr>
              <w:lastRenderedPageBreak/>
              <w:t xml:space="preserve">inclusive and a safe working environment. Staff are encouraged to address issues of racism and to recognise their own bias. </w:t>
            </w:r>
          </w:p>
          <w:p w14:paraId="33E96D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promotes a strengths-based and 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w:t>
            </w:r>
          </w:p>
          <w:p w14:paraId="1D1F3B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scheduled for the two-yearly training plan on how to identify abuse and neglect. Staff are aware of how to value the older person, showing them respect and dignity. All residents and family/whānau interviewed confirmed that staff are very caring, supportive, and respectful. </w:t>
            </w:r>
          </w:p>
          <w:p w14:paraId="524C25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4E59F150" w14:textId="77777777" w:rsidR="00EB7645" w:rsidRPr="00BE00C7" w:rsidRDefault="00000000" w:rsidP="00BE00C7">
            <w:pPr>
              <w:pStyle w:val="OutcomeDescription"/>
              <w:spacing w:before="120" w:after="120"/>
              <w:rPr>
                <w:rFonts w:cs="Arial"/>
                <w:lang w:eastAsia="en-NZ"/>
              </w:rPr>
            </w:pPr>
          </w:p>
        </w:tc>
      </w:tr>
      <w:tr w:rsidR="00C1416F" w14:paraId="2C0CB782" w14:textId="77777777">
        <w:tc>
          <w:tcPr>
            <w:tcW w:w="0" w:type="auto"/>
          </w:tcPr>
          <w:p w14:paraId="5F4D72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91C4C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DC0573A" w14:textId="77777777" w:rsidR="00EB7645" w:rsidRPr="00BE00C7" w:rsidRDefault="00000000" w:rsidP="00BE00C7">
            <w:pPr>
              <w:pStyle w:val="OutcomeDescription"/>
              <w:spacing w:before="120" w:after="120"/>
              <w:rPr>
                <w:rFonts w:cs="Arial"/>
                <w:lang w:eastAsia="en-NZ"/>
              </w:rPr>
            </w:pPr>
          </w:p>
        </w:tc>
        <w:tc>
          <w:tcPr>
            <w:tcW w:w="0" w:type="auto"/>
          </w:tcPr>
          <w:p w14:paraId="26DEFC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96F4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Policies and procedures relating to accident/incidents, complaints, and open disclosure policy alert staff to their responsibility to notify family/whānau/next of kin of any accident/incident that occurs. Electronic accident/incident forms have a section to indicate if next of kin have been informed (or not) of an accident/incident. This is also documented in the progress notes. Twelve accident/incident forms reviewed identified family/whānau/next of kin are kept informed, and this was confirmed through the interviews with family/whānau. </w:t>
            </w:r>
          </w:p>
          <w:p w14:paraId="6122A9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could speak and understand English. Caregivers, registered nurses and enrolled nurses interviewed described how </w:t>
            </w:r>
            <w:r w:rsidRPr="00BE00C7">
              <w:rPr>
                <w:rFonts w:cs="Arial"/>
                <w:lang w:eastAsia="en-NZ"/>
              </w:rPr>
              <w:lastRenderedPageBreak/>
              <w:t xml:space="preserve">they are able to assist residents who do not speak English, with interpreters or resources to communicate as the need arises. </w:t>
            </w:r>
          </w:p>
          <w:p w14:paraId="09D6520A"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7E15FA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(eg, physiotherapist, clinical nurse specialist for wound care, older adult mental health service, hospice nurse, speech language therapist and dietitian). The delivery of care includes a multidisciplinary team, and residents and/or family/whānau provide consent and are communicated with regarding services involved. The acting clinical manager described an implemented process around providing residents with time for discussion around care, time to consider decisions, and opportunity for further discussion, if required. </w:t>
            </w:r>
          </w:p>
          <w:p w14:paraId="2C3FF0FC" w14:textId="77777777" w:rsidR="00EB7645" w:rsidRPr="00BE00C7" w:rsidRDefault="00000000" w:rsidP="00BE00C7">
            <w:pPr>
              <w:pStyle w:val="OutcomeDescription"/>
              <w:spacing w:before="120" w:after="120"/>
              <w:rPr>
                <w:rFonts w:cs="Arial"/>
                <w:lang w:eastAsia="en-NZ"/>
              </w:rPr>
            </w:pPr>
          </w:p>
        </w:tc>
      </w:tr>
      <w:tr w:rsidR="00C1416F" w14:paraId="523E9DA0" w14:textId="77777777">
        <w:tc>
          <w:tcPr>
            <w:tcW w:w="0" w:type="auto"/>
          </w:tcPr>
          <w:p w14:paraId="7EE8C66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3101E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C701B66" w14:textId="77777777" w:rsidR="00EB7645" w:rsidRPr="00BE00C7" w:rsidRDefault="00000000" w:rsidP="00BE00C7">
            <w:pPr>
              <w:pStyle w:val="OutcomeDescription"/>
              <w:spacing w:before="120" w:after="120"/>
              <w:rPr>
                <w:rFonts w:cs="Arial"/>
                <w:lang w:eastAsia="en-NZ"/>
              </w:rPr>
            </w:pPr>
          </w:p>
        </w:tc>
        <w:tc>
          <w:tcPr>
            <w:tcW w:w="0" w:type="auto"/>
          </w:tcPr>
          <w:p w14:paraId="53D809A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F6E6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Nine resident files reviewed included informed consent forms signed by either the resident or powers of attorney/welfare guardians. Consent forms for vaccinations were also on file where appropriate. Residents and family/whānau interviewed could describe what informed consent was and their rights around choice. There is an advance directive policy. </w:t>
            </w:r>
          </w:p>
          <w:p w14:paraId="1803AA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family/whānau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welfare guardianship were </w:t>
            </w:r>
            <w:r w:rsidRPr="00BE00C7">
              <w:rPr>
                <w:rFonts w:cs="Arial"/>
                <w:lang w:eastAsia="en-NZ"/>
              </w:rPr>
              <w:lastRenderedPageBreak/>
              <w:t xml:space="preserve">in resident files where available. Certificates of mental incapacity and activation of the EPOA documents were on file for residents where required. </w:t>
            </w:r>
          </w:p>
          <w:p w14:paraId="5F9E2D59" w14:textId="77777777" w:rsidR="00EB7645" w:rsidRPr="00BE00C7" w:rsidRDefault="00000000" w:rsidP="00BE00C7">
            <w:pPr>
              <w:pStyle w:val="OutcomeDescription"/>
              <w:spacing w:before="120" w:after="120"/>
              <w:rPr>
                <w:rFonts w:cs="Arial"/>
                <w:lang w:eastAsia="en-NZ"/>
              </w:rPr>
            </w:pPr>
          </w:p>
        </w:tc>
      </w:tr>
      <w:tr w:rsidR="00C1416F" w14:paraId="0F002254" w14:textId="77777777">
        <w:tc>
          <w:tcPr>
            <w:tcW w:w="0" w:type="auto"/>
          </w:tcPr>
          <w:p w14:paraId="4731EB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11EA8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035D0D0" w14:textId="77777777" w:rsidR="00EB7645" w:rsidRPr="00BE00C7" w:rsidRDefault="00000000" w:rsidP="00BE00C7">
            <w:pPr>
              <w:pStyle w:val="OutcomeDescription"/>
              <w:spacing w:before="120" w:after="120"/>
              <w:rPr>
                <w:rFonts w:cs="Arial"/>
                <w:lang w:eastAsia="en-NZ"/>
              </w:rPr>
            </w:pPr>
          </w:p>
        </w:tc>
        <w:tc>
          <w:tcPr>
            <w:tcW w:w="0" w:type="auto"/>
          </w:tcPr>
          <w:p w14:paraId="5B98AB5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F29C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service maintains a record of all complaints, both verbal and written, on a complaints’ register. There have been ten complaints in 2023, and nine in 2024 year to date since the previous audit in December 2022. There have been no external complaints received since last audit. </w:t>
            </w:r>
          </w:p>
          <w:p w14:paraId="185F17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131D6A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during handovers. Complaints are a standard agenda item in clinical quality improvement meeting (meeting minutes sighted) and the report to the Board. </w:t>
            </w:r>
          </w:p>
          <w:p w14:paraId="6A7937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throughout the facility. Residents have a variety of avenues they can choose from to make a complaint or express a concern. Communication is maintained with individual residents, with updates at activities and mealtimes and one on one reviews. Residents and family/whānau making a complaint can involve an independent support person in the process if they choose. On interview, residents and family/whānau stated they felt comfortable to raise issues of concern with management at any time. </w:t>
            </w:r>
          </w:p>
          <w:p w14:paraId="47627C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management team are aware of the preference of face-to-face interactions for some Māori.</w:t>
            </w:r>
          </w:p>
          <w:p w14:paraId="28603C90" w14:textId="77777777" w:rsidR="00EB7645" w:rsidRPr="00BE00C7" w:rsidRDefault="00000000" w:rsidP="00BE00C7">
            <w:pPr>
              <w:pStyle w:val="OutcomeDescription"/>
              <w:spacing w:before="120" w:after="120"/>
              <w:rPr>
                <w:rFonts w:cs="Arial"/>
                <w:lang w:eastAsia="en-NZ"/>
              </w:rPr>
            </w:pPr>
          </w:p>
        </w:tc>
      </w:tr>
      <w:tr w:rsidR="00C1416F" w14:paraId="7877B501" w14:textId="77777777">
        <w:tc>
          <w:tcPr>
            <w:tcW w:w="0" w:type="auto"/>
          </w:tcPr>
          <w:p w14:paraId="1331A4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29277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7F635E1" w14:textId="77777777" w:rsidR="00EB7645" w:rsidRPr="00BE00C7" w:rsidRDefault="00000000" w:rsidP="00BE00C7">
            <w:pPr>
              <w:pStyle w:val="OutcomeDescription"/>
              <w:spacing w:before="120" w:after="120"/>
              <w:rPr>
                <w:rFonts w:cs="Arial"/>
                <w:lang w:eastAsia="en-NZ"/>
              </w:rPr>
            </w:pPr>
          </w:p>
        </w:tc>
        <w:tc>
          <w:tcPr>
            <w:tcW w:w="0" w:type="auto"/>
          </w:tcPr>
          <w:p w14:paraId="3B7DF2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C712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Jack Inglis Friendship Hospital (Jack Inglis) is located in Motueka, Nelson Marlborough. The facility is a purpose-built facility across one level. Jack Inglis provides care for up to 74 residents at rest home, hospital (medical and geriatric), and dementia levels of care. There are a total of 61 dual purpose beds and 13 beds in the dementia unit. There are no double rooms. </w:t>
            </w:r>
          </w:p>
          <w:p w14:paraId="152468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72 residents: 38 rest home level residents, including two on respite care; 13 dementia level; and 21 hospital residents, including one on Accident Compensation Corporation (ACC) funding. All the remaining residents were under the aged related residential care (ARRC) agreement. </w:t>
            </w:r>
          </w:p>
          <w:p w14:paraId="30CD38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Jack Inglis has a current strategic plan in place with clear goals to support their documented vision, mission, and values. These include (but not limited to) development of Māori Hauora Mahere, organisation structure review, community engagement, equipment review, and growing of services including implementation of environmental sustainability. The model of care sits within the strategic framework and incorporates the Māori concept of wellbeing – Te Whare Tapa Wha. The current business plan includes a mission statement and operational objectives with site specific goals. The management team report to the chief executive officer (CEO), who liaises with, and acts as a conduit to the Board of directors. </w:t>
            </w:r>
          </w:p>
          <w:p w14:paraId="4BF7CA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 with the Board chairperson confirmed that Jack Inglis is governed by a Board of directors, which consists of the Board chair, two Māori representatives, one whānau representative, one doctor (consultant from local hospital), accountant, two businesspersons, and one manger from local tertiary institute. The directors are experienced, long standing and strive to support the organisation to meet its goals to support the vision, mission, and values. The Board of directors’ meetings are held regularly with attendance from Jack Inglis CEO, who provides a report that includes (but not limited to) complaints; ethnicity data; restraint / pressure injuries /falls / infection control data; staff training; health and safety; audit findings; survey results; budget markings; adverse events; Māori Hauora; and staff retention. The acting clinical manager and quality coordinator have oversight with clinical governance, and this is supported through the health professionals on the Board. The chairperson is in </w:t>
            </w:r>
            <w:r w:rsidRPr="00BE00C7">
              <w:rPr>
                <w:rFonts w:cs="Arial"/>
                <w:lang w:eastAsia="en-NZ"/>
              </w:rPr>
              <w:lastRenderedPageBreak/>
              <w:t xml:space="preserve">regular contact with the CEO, with at least weekly visits to the facility. </w:t>
            </w:r>
          </w:p>
          <w:p w14:paraId="7C143F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chief executive officer confirmed the strategic plan, its reflection of collaboration with Māori that aligns with the Ministry of Health strategies, and how it addresses barriers to equitable service delivery. There are community links who provide advice to the directors in order to further explore and implement solutions on ways to achieve equity and improve outcomes for tāngata whaikaha. The working practices at Jack Inglis are holistic in nature, inclusive of cultural identity, spirituality and respect the connection to family, whānau and the wider community as an intrinsic aspect of wellbeing and improved health outcomes for Māori and tāngata whaikaha. </w:t>
            </w:r>
          </w:p>
          <w:p w14:paraId="2FDD5D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and directors have completed cultural training to ensure they are able to demonstrate expertise in Te Tiriti, health equity and cultural safety. </w:t>
            </w:r>
          </w:p>
          <w:p w14:paraId="5A4947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quality goals that are reviewed monthly in meetings with milestones and progress documented. </w:t>
            </w:r>
          </w:p>
          <w:p w14:paraId="483F1A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an experienced CEO (registered nurse) who has been in the current role since February 2024. The CEO has previously worked at the facility and has a wealth of experience in aged care and management. The CEO is supported by an acting clinical manager recently appointed (April 2024) from the role of clinical nurse leader for 5 years in the rest home and dementia areas at the facility. They are both supported by an experienced quality manager (registered nurse), clinical nurse leaders and an experienced care team. </w:t>
            </w:r>
          </w:p>
          <w:p w14:paraId="37E66A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chief executive officer and acting clinical manager continue to be supported in their orientation and induction and have both maintained at least eight hours annually of professional development activities from their previous roles. This includes cultural training specific to Te Whare Tapa Wha and te ao Māori. </w:t>
            </w:r>
          </w:p>
          <w:p w14:paraId="1D80FD07" w14:textId="77777777" w:rsidR="00EB7645" w:rsidRPr="00BE00C7" w:rsidRDefault="00000000" w:rsidP="00BE00C7">
            <w:pPr>
              <w:pStyle w:val="OutcomeDescription"/>
              <w:spacing w:before="120" w:after="120"/>
              <w:rPr>
                <w:rFonts w:cs="Arial"/>
                <w:lang w:eastAsia="en-NZ"/>
              </w:rPr>
            </w:pPr>
          </w:p>
        </w:tc>
      </w:tr>
      <w:tr w:rsidR="00C1416F" w14:paraId="1B19D80E" w14:textId="77777777">
        <w:tc>
          <w:tcPr>
            <w:tcW w:w="0" w:type="auto"/>
          </w:tcPr>
          <w:p w14:paraId="2367E1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34E21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76650E2" w14:textId="77777777" w:rsidR="00EB7645" w:rsidRPr="00BE00C7" w:rsidRDefault="00000000" w:rsidP="00BE00C7">
            <w:pPr>
              <w:pStyle w:val="OutcomeDescription"/>
              <w:spacing w:before="120" w:after="120"/>
              <w:rPr>
                <w:rFonts w:cs="Arial"/>
                <w:lang w:eastAsia="en-NZ"/>
              </w:rPr>
            </w:pPr>
          </w:p>
        </w:tc>
        <w:tc>
          <w:tcPr>
            <w:tcW w:w="0" w:type="auto"/>
          </w:tcPr>
          <w:p w14:paraId="3B39BD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12B8C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Jack Inglis has an established quality and risk management programmes. These systems include performance monitoring and </w:t>
            </w:r>
            <w:r w:rsidRPr="00BE00C7">
              <w:rPr>
                <w:rFonts w:cs="Arial"/>
                <w:lang w:eastAsia="en-NZ"/>
              </w:rPr>
              <w:lastRenderedPageBreak/>
              <w:t xml:space="preserve">benchmarking through internal audits, through the collection, collation, and internal benchmarking of clinical indicator data. Ethnicities are documented as part of the resident’s entry profile; however, is not yet linked to infection control data collated (link 5.4.3). </w:t>
            </w:r>
          </w:p>
          <w:p w14:paraId="6EA9612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any new policies or changes to policy are communicated to staff.</w:t>
            </w:r>
          </w:p>
          <w:p w14:paraId="73022F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Regular management meetings, clinical quality improvement meetings and staff meetings provide an avenue for discussions in relation to (but not limited to) quality data; health and safety; infection control/pandemic strategies; complaints received (if any); staffing; education; internal audits; meetings; and collation of data. However, staff meetings have not occurred as scheduled. Corrective actions were documented as indicated to address service improvements, with evidence of progress and sign off when achieved. Quality data and trends in data are posted, and accessible to staff in their staffroom and nurses’ stations. Corrective actions are discussed at clinical quality improvement meetings to ensure any outstanding matters are addressed with sign-off when completed. </w:t>
            </w:r>
          </w:p>
          <w:p w14:paraId="35DE68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satisfaction surveys have not been evidenced as being completed since last audit. Family/whānau interviewed confirm they know what is happening with the resident through emails, face to face contact and phone calls and felt informed regarding events or other information. Regular resident and family/whānau meetings have not always occurred as planned since the last audit. Staff satisfaction surveys were completed in September 2023, with collation of results and quality improvements with timeframes completed in relation to the outcome. </w:t>
            </w:r>
          </w:p>
          <w:p w14:paraId="3062B9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meetings have been completed as scheduled with one of the clinical nurse leads undertaking the role of health and safety officer. Manufacturer safety datasheets are up to date. Hazard identification forms and an up-to-date hazard register </w:t>
            </w:r>
            <w:r w:rsidRPr="00BE00C7">
              <w:rPr>
                <w:rFonts w:cs="Arial"/>
                <w:lang w:eastAsia="en-NZ"/>
              </w:rPr>
              <w:lastRenderedPageBreak/>
              <w:t xml:space="preserve">had been reviewed in November 2022 (sighted and next due November 2024). Health and safety policies are implemented and monitored by the health and safety officer. </w:t>
            </w:r>
          </w:p>
          <w:p w14:paraId="56807D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the employee assistance programme. Staff have completed cultural competency to ensure a high-quality service is provided for Māori. </w:t>
            </w:r>
          </w:p>
          <w:p w14:paraId="1A4CC6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Hard copy reports are completed for each incident/accident, with immediate action noted and any follow-up action(s) required, evidenced in twelve accident/incident forms reviewed (witnessed and unwitnessed falls, an abrasion, and skin tears). Incident and accident data is collated monthly and analysed. Benchmarking occurs internally. Opportunities to minimise future risks are identified by the acting clinical manager and clinical nurse leaders who review every adverse event. </w:t>
            </w:r>
          </w:p>
          <w:p w14:paraId="0E57F9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historical registered nurse shortages, changes in management (clinical manager and facility manager) and three pressure injuries stage III and above. There has been one outbreak (Norovirus, July 2023) since the previous audit, which was appropriately managed, notified and staff debriefed. </w:t>
            </w:r>
          </w:p>
          <w:p w14:paraId="601830ED" w14:textId="77777777" w:rsidR="00EB7645" w:rsidRPr="00BE00C7" w:rsidRDefault="00000000" w:rsidP="00BE00C7">
            <w:pPr>
              <w:pStyle w:val="OutcomeDescription"/>
              <w:spacing w:before="120" w:after="120"/>
              <w:rPr>
                <w:rFonts w:cs="Arial"/>
                <w:lang w:eastAsia="en-NZ"/>
              </w:rPr>
            </w:pPr>
          </w:p>
        </w:tc>
      </w:tr>
      <w:tr w:rsidR="00C1416F" w14:paraId="099CF3AA" w14:textId="77777777">
        <w:tc>
          <w:tcPr>
            <w:tcW w:w="0" w:type="auto"/>
          </w:tcPr>
          <w:p w14:paraId="498250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5345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40A00CA9" w14:textId="77777777" w:rsidR="00EB7645" w:rsidRPr="00BE00C7" w:rsidRDefault="00000000" w:rsidP="00BE00C7">
            <w:pPr>
              <w:pStyle w:val="OutcomeDescription"/>
              <w:spacing w:before="120" w:after="120"/>
              <w:rPr>
                <w:rFonts w:cs="Arial"/>
                <w:lang w:eastAsia="en-NZ"/>
              </w:rPr>
            </w:pPr>
          </w:p>
        </w:tc>
        <w:tc>
          <w:tcPr>
            <w:tcW w:w="0" w:type="auto"/>
          </w:tcPr>
          <w:p w14:paraId="571292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8924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and the service provides 24/7 registered nurse cover. The registered nurses, activity coordinators and a selection of caregivers hold current first aid certificates. There is a first aid trained staff member on duty 24/7. The management team are available Monday to Friday. The acting clinical nurse manager is on call for any clinically </w:t>
            </w:r>
            <w:r w:rsidRPr="00BE00C7">
              <w:rPr>
                <w:rFonts w:cs="Arial"/>
                <w:lang w:eastAsia="en-NZ"/>
              </w:rPr>
              <w:lastRenderedPageBreak/>
              <w:t>related concerns and there is escalation to the CEO for any operationally related concerns.</w:t>
            </w:r>
          </w:p>
          <w:p w14:paraId="6E4C79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caregivers, RN and the management team confirmed that their workload is manageable. Staff and residents are informed when there are changes to staffing levels, evidenced in staff, resident, and family/whānau interviews. </w:t>
            </w:r>
          </w:p>
          <w:p w14:paraId="06DF52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programme being implemented. The education and training schedule lists compulsory training which includes cultural awareness training. However, attendance rates of the required training have been very low. Competencies are completed by staff, which are linked to the education and training programme. All caregivers are required to complete annual competencies including (but not limited to) restraint; handwashing; correct use of personal protective equipment (PPE); cultural safety; and moving and handling. A record of completion is maintained. </w:t>
            </w:r>
          </w:p>
          <w:p w14:paraId="4074F7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Out of a total of 47 staff, 29 have achieved a level 3 NZQA qualification or higher. Of those, eight work in the dementia unit, and all have attained their dementia unit standards. </w:t>
            </w:r>
          </w:p>
          <w:p w14:paraId="623A16EA" w14:textId="77777777" w:rsidR="00EB7645"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Nine RNs (including the acting clinical manager) are interRAI trained. Staff participate in learning opportunities that provide them with up-to-date information on Māori health outcomes and disparities, and health equity. Staff confirmed that they were provided with resources during their cultural training. Staff meetings provide a forum to encourage collecting and sharing of high-quality Māori health information; however, these have not always been completed as scheduled (link 2.2.2).</w:t>
            </w:r>
          </w:p>
          <w:p w14:paraId="698DEB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04A35913" w14:textId="77777777" w:rsidR="00EB7645" w:rsidRPr="00BE00C7" w:rsidRDefault="00000000" w:rsidP="00BE00C7">
            <w:pPr>
              <w:pStyle w:val="OutcomeDescription"/>
              <w:spacing w:before="120" w:after="120"/>
              <w:rPr>
                <w:rFonts w:cs="Arial"/>
                <w:lang w:eastAsia="en-NZ"/>
              </w:rPr>
            </w:pPr>
          </w:p>
        </w:tc>
      </w:tr>
      <w:tr w:rsidR="00C1416F" w14:paraId="3EA7D46D" w14:textId="77777777">
        <w:tc>
          <w:tcPr>
            <w:tcW w:w="0" w:type="auto"/>
          </w:tcPr>
          <w:p w14:paraId="653C78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E20C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A00DBF9" w14:textId="77777777" w:rsidR="00EB7645" w:rsidRPr="00BE00C7" w:rsidRDefault="00000000" w:rsidP="00BE00C7">
            <w:pPr>
              <w:pStyle w:val="OutcomeDescription"/>
              <w:spacing w:before="120" w:after="120"/>
              <w:rPr>
                <w:rFonts w:cs="Arial"/>
                <w:lang w:eastAsia="en-NZ"/>
              </w:rPr>
            </w:pPr>
          </w:p>
        </w:tc>
        <w:tc>
          <w:tcPr>
            <w:tcW w:w="0" w:type="auto"/>
          </w:tcPr>
          <w:p w14:paraId="5E039B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819C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Ten staff files reviewed (one RN, one clinical nurse lead, acting clinical manager, three caregivers, one activity coordinator, one laundry, one cook and one cleaner) evidenced implementation of the recruitment process, employment contracts, police checking, and completed orientation. </w:t>
            </w:r>
          </w:p>
          <w:p w14:paraId="467000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51CC6A99"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 appraisal policy is implemented, and all staff who had been employed for over one year have an annual appraisal completed.</w:t>
            </w:r>
          </w:p>
          <w:p w14:paraId="2A2261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03F3DD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Volunteers are used (particularly with activities and inhouse shop) and an orientation programme and policy for volunteers is in place. </w:t>
            </w:r>
          </w:p>
          <w:p w14:paraId="3D73A41F"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186C0A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03E68C7A" w14:textId="77777777" w:rsidR="00EB7645" w:rsidRPr="00BE00C7" w:rsidRDefault="00000000" w:rsidP="00BE00C7">
            <w:pPr>
              <w:pStyle w:val="OutcomeDescription"/>
              <w:spacing w:before="120" w:after="120"/>
              <w:rPr>
                <w:rFonts w:cs="Arial"/>
                <w:lang w:eastAsia="en-NZ"/>
              </w:rPr>
            </w:pPr>
          </w:p>
        </w:tc>
      </w:tr>
      <w:tr w:rsidR="00C1416F" w14:paraId="2B54E1E5" w14:textId="77777777">
        <w:tc>
          <w:tcPr>
            <w:tcW w:w="0" w:type="auto"/>
          </w:tcPr>
          <w:p w14:paraId="478D24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CC1FA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8C5B977" w14:textId="77777777" w:rsidR="00EB7645" w:rsidRPr="00BE00C7" w:rsidRDefault="00000000" w:rsidP="00BE00C7">
            <w:pPr>
              <w:pStyle w:val="OutcomeDescription"/>
              <w:spacing w:before="120" w:after="120"/>
              <w:rPr>
                <w:rFonts w:cs="Arial"/>
                <w:lang w:eastAsia="en-NZ"/>
              </w:rPr>
            </w:pPr>
          </w:p>
        </w:tc>
        <w:tc>
          <w:tcPr>
            <w:tcW w:w="0" w:type="auto"/>
          </w:tcPr>
          <w:p w14:paraId="2468B4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E6CA1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backed-up using cloud-based technology and password protected. There is a documented business continuity plan in case of information systems failure.</w:t>
            </w:r>
          </w:p>
          <w:p w14:paraId="33E314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documented in a timely manner. Signatures that are documented include the name and designation of the service provider. Residents archived files are securely stored in a locked room and are easily retrievable when required.</w:t>
            </w:r>
          </w:p>
          <w:p w14:paraId="298B6F9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654536D1" w14:textId="77777777" w:rsidR="00EB7645" w:rsidRPr="00BE00C7" w:rsidRDefault="00000000" w:rsidP="00BE00C7">
            <w:pPr>
              <w:pStyle w:val="OutcomeDescription"/>
              <w:spacing w:before="120" w:after="120"/>
              <w:rPr>
                <w:rFonts w:cs="Arial"/>
                <w:lang w:eastAsia="en-NZ"/>
              </w:rPr>
            </w:pPr>
          </w:p>
        </w:tc>
      </w:tr>
      <w:tr w:rsidR="00C1416F" w14:paraId="7544C063" w14:textId="77777777">
        <w:tc>
          <w:tcPr>
            <w:tcW w:w="0" w:type="auto"/>
          </w:tcPr>
          <w:p w14:paraId="726ACC3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629DC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EFF2DCC" w14:textId="77777777" w:rsidR="00EB7645" w:rsidRPr="00BE00C7" w:rsidRDefault="00000000" w:rsidP="00BE00C7">
            <w:pPr>
              <w:pStyle w:val="OutcomeDescription"/>
              <w:spacing w:before="120" w:after="120"/>
              <w:rPr>
                <w:rFonts w:cs="Arial"/>
                <w:lang w:eastAsia="en-NZ"/>
              </w:rPr>
            </w:pPr>
          </w:p>
        </w:tc>
        <w:tc>
          <w:tcPr>
            <w:tcW w:w="0" w:type="auto"/>
          </w:tcPr>
          <w:p w14:paraId="6E8CA8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2541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documented to guide management around entry and decline processes. Residents’ entry into the service is facilitated in a competent, equitable, timely and respectful manner. Information packs are provided for families/whānau and residents prior to admission or on entry to the service. Review of residents’ files confirmed that entry to service complied with entry criteria. Nine admission agreements reviewed align with all service requirements. Exclusions from the service are included in the admission agreement. Family/whānau and residents interviewed stated that they have received the information pack and sufficient information prior to and on entry to the service. Admission criteria is based on the assessed need of the resident and the contracts under which the service operates. The CEO and acting clinical manager are available to answer any questions regarding the admission process.</w:t>
            </w:r>
          </w:p>
          <w:p w14:paraId="2143FE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t>
            </w:r>
            <w:r w:rsidRPr="00BE00C7">
              <w:rPr>
                <w:rFonts w:cs="Arial"/>
                <w:lang w:eastAsia="en-NZ"/>
              </w:rPr>
              <w:lastRenderedPageBreak/>
              <w:t>would be if the service had no beds available or if the residents’ complexities were outside of the resources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The facility has established links with the local marae and Te Piki Ora Health services who are available to support Māori and whānau through the admission process. The service has information available for Māori, in English and in te reo Māori. Jack Inglis is committed to recognising and celebrating tāngata whenua (iwi) in a meaningful way through partnership, educational programmes, employment opportunities, and different projects and programmes.</w:t>
            </w:r>
          </w:p>
          <w:p w14:paraId="48836EF6" w14:textId="77777777" w:rsidR="00EB7645" w:rsidRPr="00BE00C7" w:rsidRDefault="00000000" w:rsidP="00BE00C7">
            <w:pPr>
              <w:pStyle w:val="OutcomeDescription"/>
              <w:spacing w:before="120" w:after="120"/>
              <w:rPr>
                <w:rFonts w:cs="Arial"/>
                <w:lang w:eastAsia="en-NZ"/>
              </w:rPr>
            </w:pPr>
          </w:p>
        </w:tc>
      </w:tr>
      <w:tr w:rsidR="00C1416F" w14:paraId="3BA5DA9C" w14:textId="77777777">
        <w:tc>
          <w:tcPr>
            <w:tcW w:w="0" w:type="auto"/>
          </w:tcPr>
          <w:p w14:paraId="69957A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69590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2DAF949" w14:textId="77777777" w:rsidR="00EB7645" w:rsidRPr="00BE00C7" w:rsidRDefault="00000000" w:rsidP="00BE00C7">
            <w:pPr>
              <w:pStyle w:val="OutcomeDescription"/>
              <w:spacing w:before="120" w:after="120"/>
              <w:rPr>
                <w:rFonts w:cs="Arial"/>
                <w:lang w:eastAsia="en-NZ"/>
              </w:rPr>
            </w:pPr>
          </w:p>
        </w:tc>
        <w:tc>
          <w:tcPr>
            <w:tcW w:w="0" w:type="auto"/>
          </w:tcPr>
          <w:p w14:paraId="359A3C3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904C386" w14:textId="77777777" w:rsidR="00EB7645" w:rsidRPr="00BE00C7" w:rsidRDefault="00000000" w:rsidP="00BE00C7">
            <w:pPr>
              <w:pStyle w:val="OutcomeDescription"/>
              <w:spacing w:before="120" w:after="120"/>
              <w:rPr>
                <w:rFonts w:cs="Arial"/>
                <w:lang w:eastAsia="en-NZ"/>
              </w:rPr>
            </w:pPr>
            <w:r w:rsidRPr="00BE00C7">
              <w:rPr>
                <w:rFonts w:cs="Arial"/>
                <w:lang w:eastAsia="en-NZ"/>
              </w:rPr>
              <w:t>Nine files were reviewed for this audit: three hospital residents (including one resident under ACC), three rest home residents (including one respite), and three dementia level care residents. Jack Inglis has embedded primary nursing across their clinical care delivery. The clinical nurse leader or RN for each group are responsible for conducting all assessments and for the development of care plans. There is evidence of resident and family/whānau involvement in the initial assessments, interRAI assessments, and family/whānau meetings where the long-term care plans are reviewed. This is documented in the progress notes and resident records.</w:t>
            </w:r>
          </w:p>
          <w:p w14:paraId="46CDD8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in the resident’s care plan. A Māori health plan and cultural awareness policy is in place to ensure the service supports Māori and family/whānau to identify their own pae ora outcomes in their care or support plan. </w:t>
            </w:r>
          </w:p>
          <w:p w14:paraId="61FF2F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All reviewed files had interRAI assessments completed. The long-term care plan </w:t>
            </w:r>
            <w:r w:rsidRPr="00BE00C7">
              <w:rPr>
                <w:rFonts w:cs="Arial"/>
                <w:lang w:eastAsia="en-NZ"/>
              </w:rPr>
              <w:lastRenderedPageBreak/>
              <w:t>includes interventions to guide care delivery which corresponded to assessed needs. The care plans are holistic and align with the service’s model of person-centred care. Care plans reviewed for the residents in the memory care unit outlined known early warning signs/triggers and risks, with interventions to guide staff to respond in a consistent and effective manner and prevent further escalation. Care plan evaluations were completed with evidence of updates as needs changed. Evaluations reviewed documented progress against the set goals. Short-term care plans for infections, weight loss, behaviours, bruises, and wounds were well utilised, with information transferred to the long-term care plan in a timely manner.</w:t>
            </w:r>
          </w:p>
          <w:p w14:paraId="15DF97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General practitioners (GPs) from two practices ensure residents are assessed within five working days of admission. The GP reviews each resident at least three-monthly and is involved in the six-monthly resident, family/whānau reviews (multi-disciplinary meetings). Residents can retain their own GP if they choose to. The GPs provide on-call service for after hours and on the weekend. The CEO and/or acting clinical manager are always available 24/7 for clinical advice and decision making as required. When interviewed, the GP was very complimentary regarding the standard of care and quality of nursing proficiency at Jack Inglis. The GP was complimentary of the clinical assessment skills, as well as quality of referrals received from the RNs after hours. Specialist referrals are initiated as needed. Allied health interventions were documented and integrated into care plans. The service has contracted a physiotherapist for four hours a week. A podiatrist visits six to eight-weekly and a dietitian, speech language therapist, occupational health therapist, continence advisor, hospice specialists and wound care specialist nurse are available as required. </w:t>
            </w:r>
          </w:p>
          <w:p w14:paraId="3DB79C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a verbal handover at the beginning of each duty that maintains a continuity of service delivery; this was sighted on the day of audit and found to be comprehensive in nature. Progress notes are written daily by caregivers and RNs. The RN further adds to the progress notes if there are any incidents, GP visits or changes in health status. </w:t>
            </w:r>
          </w:p>
          <w:p w14:paraId="480EC1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and family members confirmed the same regarding their </w:t>
            </w:r>
            <w:r w:rsidRPr="00BE00C7">
              <w:rPr>
                <w:rFonts w:cs="Arial"/>
                <w:lang w:eastAsia="en-NZ"/>
              </w:rPr>
              <w:lastRenderedPageBreak/>
              <w:t>family/whānau. When a resident’s condition alters, the staff alert the RN who then initiates a review with a GP. Family/whānau stated they were notified of all changes to health, including infections, accident/incidents, GP visit, medication changes and any changes to health status, and this was consistently documented in the resident’s progress notes.</w:t>
            </w:r>
          </w:p>
          <w:p w14:paraId="79333C8C" w14:textId="77777777" w:rsidR="00EB7645" w:rsidRPr="00BE00C7" w:rsidRDefault="00000000" w:rsidP="00BE00C7">
            <w:pPr>
              <w:pStyle w:val="OutcomeDescription"/>
              <w:spacing w:before="120" w:after="120"/>
              <w:rPr>
                <w:rFonts w:cs="Arial"/>
                <w:lang w:eastAsia="en-NZ"/>
              </w:rPr>
            </w:pPr>
            <w:r w:rsidRPr="00BE00C7">
              <w:rPr>
                <w:rFonts w:cs="Arial"/>
                <w:lang w:eastAsia="en-NZ"/>
              </w:rPr>
              <w:t>A wound register is maintained. Review of the register evidenced that 19 residents had unresolved wounds. None of which included a pressure injury. All wounds were reviewed and had comprehensive wound assessments, wound management plans and documented evaluations, including photographs to show healing progression. The wound care specialist had input to chronic wounds and the pressure injuries when required. The caregivers and RNs interviewed confirmed there are adequate clinical supplies and equipment provided, including continence, wound care supplies and pressure injury prevention resources.</w:t>
            </w:r>
          </w:p>
          <w:p w14:paraId="3DA6CC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and RNs complete monitoring charts, including bowel chart; blood pressure; weight; food and fluid chart; pain; behaviour; blood glucose levels; repositioning and restraint monitoring. However, not all monitoring was implemented as scheduled following residents having an unwitnessed fall. </w:t>
            </w:r>
          </w:p>
          <w:p w14:paraId="016FDE0A" w14:textId="77777777" w:rsidR="00EB7645" w:rsidRPr="00BE00C7" w:rsidRDefault="00000000" w:rsidP="00726154">
            <w:pPr>
              <w:pStyle w:val="OutcomeDescription"/>
              <w:spacing w:before="120" w:after="120"/>
              <w:rPr>
                <w:rFonts w:cs="Arial"/>
                <w:lang w:eastAsia="en-NZ"/>
              </w:rPr>
            </w:pPr>
          </w:p>
        </w:tc>
      </w:tr>
      <w:tr w:rsidR="00C1416F" w14:paraId="606F67AF" w14:textId="77777777">
        <w:tc>
          <w:tcPr>
            <w:tcW w:w="0" w:type="auto"/>
          </w:tcPr>
          <w:p w14:paraId="64C056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1BA01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7CA696B" w14:textId="77777777" w:rsidR="00EB7645" w:rsidRPr="00BE00C7" w:rsidRDefault="00000000" w:rsidP="00BE00C7">
            <w:pPr>
              <w:pStyle w:val="OutcomeDescription"/>
              <w:spacing w:before="120" w:after="120"/>
              <w:rPr>
                <w:rFonts w:cs="Arial"/>
                <w:lang w:eastAsia="en-NZ"/>
              </w:rPr>
            </w:pPr>
          </w:p>
        </w:tc>
        <w:tc>
          <w:tcPr>
            <w:tcW w:w="0" w:type="auto"/>
          </w:tcPr>
          <w:p w14:paraId="4B3AEF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F7AD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diversional therapists and three activities coordinators who provide activities across six days. They have current first aid certificates. The programme is supported by the caregivers, and various church groups and community groups. </w:t>
            </w:r>
          </w:p>
          <w:p w14:paraId="6EB7B6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monthly and includes themed cultural events, including those associated with residents and staff. The monthly activities programme and menu is available on all noticeboards throughout the facility and resident bedrooms. The activity team facilitate opportunities to participate in te reo Māori incorporating Māori language in entertainment and singing, craft, participation in Māori language week, and Matariki. </w:t>
            </w:r>
          </w:p>
          <w:p w14:paraId="18E21F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Activities are delivered to meet the cognitive, physical, intellectual, and emotional needs of the residents. Those residents who prefer to stay in their room or cannot participate in group activities have one-on-one visits and activities such as manicures, hand massage and technology-based activities are offered. There are several lounges where residents and families/whānau can watch television and access newspapers, games, puzzles, and specific resources. </w:t>
            </w:r>
          </w:p>
          <w:p w14:paraId="35ECBA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activities, entertainment, and outings. Activities include (but are not limited to) exercises; music and movement; crafts; games; quizzes; entertainers; pet therapy; board gaming; hand pampering; and bingo. The activities programme has a strong focus on maintaining community connections. Regular van outings ensure residents go out for scenic drives, visits to cafes, and support community events, such as music festivals, markets and sporting fixtures. The facility arranges for a third van to be available at times to ensure as many residents as possible attend popular events. The local bus company has recently engaged with the facility to provide additional bus services for residents to further enhance their transport options for outings. Interdenominational church services are scheduled each month. </w:t>
            </w:r>
          </w:p>
          <w:p w14:paraId="55C329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resident meetings planned two-monthly and are led by the residents; however, these have not occurred as scheduled (link 2.2.2). Family/whānau are welcome to attend these. Residents reported they provide verbal feedback on activities. Documentation reviewed and residents and family/whānau interviewed confirmed the activity programme is meaningful and enabled them to maintain community connections.</w:t>
            </w:r>
          </w:p>
          <w:p w14:paraId="3B2DA067" w14:textId="77777777" w:rsidR="00EB7645" w:rsidRPr="00BE00C7" w:rsidRDefault="00000000" w:rsidP="00BE00C7">
            <w:pPr>
              <w:pStyle w:val="OutcomeDescription"/>
              <w:spacing w:before="120" w:after="120"/>
              <w:rPr>
                <w:rFonts w:cs="Arial"/>
                <w:lang w:eastAsia="en-NZ"/>
              </w:rPr>
            </w:pPr>
          </w:p>
        </w:tc>
      </w:tr>
      <w:tr w:rsidR="00C1416F" w14:paraId="1B87E43B" w14:textId="77777777">
        <w:tc>
          <w:tcPr>
            <w:tcW w:w="0" w:type="auto"/>
          </w:tcPr>
          <w:p w14:paraId="2CE97D5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47B3B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6B945A1" w14:textId="77777777" w:rsidR="00EB7645" w:rsidRPr="00BE00C7" w:rsidRDefault="00000000" w:rsidP="00BE00C7">
            <w:pPr>
              <w:pStyle w:val="OutcomeDescription"/>
              <w:spacing w:before="120" w:after="120"/>
              <w:rPr>
                <w:rFonts w:cs="Arial"/>
                <w:lang w:eastAsia="en-NZ"/>
              </w:rPr>
            </w:pPr>
          </w:p>
        </w:tc>
        <w:tc>
          <w:tcPr>
            <w:tcW w:w="0" w:type="auto"/>
          </w:tcPr>
          <w:p w14:paraId="1CB120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4562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is available for safe medicine management that meets legislative requirements. All staff who administer </w:t>
            </w:r>
            <w:r w:rsidRPr="00BE00C7">
              <w:rPr>
                <w:rFonts w:cs="Arial"/>
                <w:lang w:eastAsia="en-NZ"/>
              </w:rPr>
              <w:lastRenderedPageBreak/>
              <w:t xml:space="preserve">medications are assessed for competency on an annual basis. Education around safe medication administration has been provided. Registered nurses complete syringe driver training. </w:t>
            </w:r>
          </w:p>
          <w:p w14:paraId="4AD02C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caregivers interviewed could describe their role regarding medication administration. Jack Inglis uses blister packs for regular use and ‘as required’ medications. All medications are checked on delivery against the medication chart and any discrepancies are fed back to the supplying pharmacy. </w:t>
            </w:r>
          </w:p>
          <w:p w14:paraId="2F45FE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stored securely. Medication trolleys were always locked when not in use. The medication fridge and medication room temperatures are monitored daily. The medication fridge temperature records reviewed showed that the temperatures were within acceptable ranges. All medications, including stock medications, are checked monthly. All eyedrops have been dated on opening and discarded as per manufacturer’s instructions. All over the counter vitamins, supplements or alternative therapies residents choose to use, are prescribed by the GP and charted on the electronic medication chart. Controlled drugs are stored appropriately, and weekly stock checks have occurred as scheduled. The six-monthly controlled drug physical check and reconciliation have been completed as per schedule. </w:t>
            </w:r>
          </w:p>
          <w:p w14:paraId="2B3ECD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Eighteen electronic medication charts were reviewed. The medication charts reviewed confirmed the GP reviews all resident medication charts three-monthly and each chart has photo identification and allergy status identified. There was one resident self-medicating on the days of audit. The facility was following documented policies and procedures to ensure the resident was safely administering their medications. As required medications are administered as prescribed, with effectiveness documented on the electronic medication system. Medication competent caregivers or RNs sign when the medication has been administered. There are no vaccines kept on site, and no standing orders are in use. Residents and family/whānau are updated around medication changes, including the reason for changing medications and side effects. This is documented in the progress notes. </w:t>
            </w:r>
          </w:p>
          <w:p w14:paraId="235223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RNs and acting clinical manager described the process to work in partnership with residents and family/whānau to ensure the appropriate support is in place, advice is timely, easily accessed, and treatment is prioritised to achieve better health outcomes. Residents and their family/whānau are supported to understand their medications when required. The acting clinical manager described how they work in partnership with residents to understand and access medications when required.</w:t>
            </w:r>
          </w:p>
          <w:p w14:paraId="2138CFC8" w14:textId="77777777" w:rsidR="00EB7645" w:rsidRPr="00BE00C7" w:rsidRDefault="00000000" w:rsidP="00BE00C7">
            <w:pPr>
              <w:pStyle w:val="OutcomeDescription"/>
              <w:spacing w:before="120" w:after="120"/>
              <w:rPr>
                <w:rFonts w:cs="Arial"/>
                <w:lang w:eastAsia="en-NZ"/>
              </w:rPr>
            </w:pPr>
          </w:p>
        </w:tc>
      </w:tr>
      <w:tr w:rsidR="00C1416F" w14:paraId="5C807CBA" w14:textId="77777777">
        <w:tc>
          <w:tcPr>
            <w:tcW w:w="0" w:type="auto"/>
          </w:tcPr>
          <w:p w14:paraId="474B64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250F9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772750D" w14:textId="77777777" w:rsidR="00EB7645" w:rsidRPr="00BE00C7" w:rsidRDefault="00000000" w:rsidP="00BE00C7">
            <w:pPr>
              <w:pStyle w:val="OutcomeDescription"/>
              <w:spacing w:before="120" w:after="120"/>
              <w:rPr>
                <w:rFonts w:cs="Arial"/>
                <w:lang w:eastAsia="en-NZ"/>
              </w:rPr>
            </w:pPr>
          </w:p>
        </w:tc>
        <w:tc>
          <w:tcPr>
            <w:tcW w:w="0" w:type="auto"/>
          </w:tcPr>
          <w:p w14:paraId="2D015C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4845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Dry ingredients were decanted into containers for ease of access. Decanted food was observed to have a decanting and/or expiry date. The four-weekly seasonal menu has been reviewed by a dietitian. The cook/head of department is supported by a part-time cook and kitchen hands. All kitchen staff have completed safe food handling training. </w:t>
            </w:r>
          </w:p>
          <w:p w14:paraId="77907D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food services manual available in the kitchen. The cook receives resident dietary information from the RNs and is notified of any changes to dietary requirements (vegetarian, dairy free, pureed foods) or residents with weight loss. The cook/head of department (interviewed) is aware of resident likes, dislikes, and special dietary requirements. There is a process in place that ensures the resident profiles are reviewed and updated where required. Alternative meals are offered for those residents with dislikes or religious and cultural preferences. Residents are provided with the menu in advance to select their preferences and submit to the kitchen. Residents have access to nutritious snacks 24/7. On the day of audit, meals were observed to be well presented. Caregivers interviewed understand tikanga guidelines in terms of everyday practice. Tikanga guidelines are available to staff.</w:t>
            </w:r>
          </w:p>
          <w:p w14:paraId="7D1AE7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completes a daily diary which includes fridge and freezer temperatures recordings. Food temperatures are checked at different stages of the preparation process. These are all within safe </w:t>
            </w:r>
            <w:r w:rsidRPr="00BE00C7">
              <w:rPr>
                <w:rFonts w:cs="Arial"/>
                <w:lang w:eastAsia="en-NZ"/>
              </w:rPr>
              <w:lastRenderedPageBreak/>
              <w:t xml:space="preserve">limits. Staff were observed wearing correct personal protective clothing in the kitchen. Cleaning schedules are maintained. </w:t>
            </w:r>
          </w:p>
          <w:p w14:paraId="0C41D3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are directly served to residents in the dining room and lounges or transported on trays to their rooms. Residents were observed enjoying their meals. Staff were observed assisting residents with meals in the dining areas and modified utensils are available for residents to maintain independence with eating as required. Food services staff have all completed food safety and hygiene courses. </w:t>
            </w:r>
          </w:p>
          <w:p w14:paraId="544AC8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Residents reported they have the opportunity to provide verbal feedback around food services. </w:t>
            </w:r>
          </w:p>
          <w:p w14:paraId="54019A12" w14:textId="77777777" w:rsidR="00EB7645" w:rsidRPr="00BE00C7" w:rsidRDefault="00000000" w:rsidP="00BE00C7">
            <w:pPr>
              <w:pStyle w:val="OutcomeDescription"/>
              <w:spacing w:before="120" w:after="120"/>
              <w:rPr>
                <w:rFonts w:cs="Arial"/>
                <w:lang w:eastAsia="en-NZ"/>
              </w:rPr>
            </w:pPr>
          </w:p>
        </w:tc>
      </w:tr>
      <w:tr w:rsidR="00C1416F" w14:paraId="1F85A828" w14:textId="77777777">
        <w:tc>
          <w:tcPr>
            <w:tcW w:w="0" w:type="auto"/>
          </w:tcPr>
          <w:p w14:paraId="483DE3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9574A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4CF9708" w14:textId="77777777" w:rsidR="00EB7645" w:rsidRPr="00BE00C7" w:rsidRDefault="00000000" w:rsidP="00BE00C7">
            <w:pPr>
              <w:pStyle w:val="OutcomeDescription"/>
              <w:spacing w:before="120" w:after="120"/>
              <w:rPr>
                <w:rFonts w:cs="Arial"/>
                <w:lang w:eastAsia="en-NZ"/>
              </w:rPr>
            </w:pPr>
          </w:p>
        </w:tc>
        <w:tc>
          <w:tcPr>
            <w:tcW w:w="0" w:type="auto"/>
          </w:tcPr>
          <w:p w14:paraId="5AE200C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4470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policies and procedures documented to ensure discharge or transfer of residents is undertaken in a timely and safe manner. </w:t>
            </w:r>
          </w:p>
          <w:p w14:paraId="7BAD8C30"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are involved for all transfers to and from the service, including being given options to access other health and disability services and social support or kaupapa Māori agencies, where indicated or requested. The acting clinical manger and RNs explained the transfer between services includes a comprehensive verbal handover and completion of specific transfer documentation.</w:t>
            </w:r>
          </w:p>
          <w:p w14:paraId="4BE807F2" w14:textId="77777777" w:rsidR="00EB7645" w:rsidRPr="00BE00C7" w:rsidRDefault="00000000" w:rsidP="00BE00C7">
            <w:pPr>
              <w:pStyle w:val="OutcomeDescription"/>
              <w:spacing w:before="120" w:after="120"/>
              <w:rPr>
                <w:rFonts w:cs="Arial"/>
                <w:lang w:eastAsia="en-NZ"/>
              </w:rPr>
            </w:pPr>
          </w:p>
        </w:tc>
      </w:tr>
      <w:tr w:rsidR="00C1416F" w14:paraId="0C62FBF1" w14:textId="77777777">
        <w:tc>
          <w:tcPr>
            <w:tcW w:w="0" w:type="auto"/>
          </w:tcPr>
          <w:p w14:paraId="6590C6D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E283A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p w14:paraId="6850CDBF" w14:textId="77777777" w:rsidR="00EB7645" w:rsidRPr="00BE00C7" w:rsidRDefault="00000000" w:rsidP="00BE00C7">
            <w:pPr>
              <w:pStyle w:val="OutcomeDescription"/>
              <w:spacing w:before="120" w:after="120"/>
              <w:rPr>
                <w:rFonts w:cs="Arial"/>
                <w:lang w:eastAsia="en-NZ"/>
              </w:rPr>
            </w:pPr>
          </w:p>
        </w:tc>
        <w:tc>
          <w:tcPr>
            <w:tcW w:w="0" w:type="auto"/>
          </w:tcPr>
          <w:p w14:paraId="7EF200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02D4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29/09/2024. A maintenance person (interviewed) addresses day to day repairs and completes planned maintenance. There is a maintenance request book for repairs and maintenance requests. This is checked daily and signed off when repairs have been completed. There is an annual maintenance plan that includes electrical testing and tagging (last completed in February 2024). Resident equipment checks, call bell checks, and monthly testing of </w:t>
            </w:r>
            <w:r w:rsidRPr="00BE00C7">
              <w:rPr>
                <w:rFonts w:cs="Arial"/>
                <w:lang w:eastAsia="en-NZ"/>
              </w:rPr>
              <w:lastRenderedPageBreak/>
              <w:t>hot water temperatures occurs. Hot water temperature records reviewed evidenced acceptable temperatures. Essential contractors/ tradespeople are available 24 hours a day as required, and calibration of medical equipment has occurred as per schedule.</w:t>
            </w:r>
          </w:p>
          <w:p w14:paraId="789C52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a single level building with easy access to the garden. A part-time gardener is employed to maintain gardens and grounds. There are outdoor ramps with handrails, outdoor seating, shaded areas, and raised garden beds. Communal areas are spacious and comfortable for the residents. The facility has sufficiently wide corridors with handrails for residents to safely mobilise using mobility aids, including power chairs. Residents were observed moving freely around the areas with mobility aids where required. The caregivers interviewed stated there was sufficient equipment to safely carry out the resident cares as documented in care plans. Ceiling hoists have been installed in several rooms.</w:t>
            </w:r>
          </w:p>
          <w:p w14:paraId="2002EC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memory care unit is secure with a key card required to gain access. There is a centrally located lounge/dining room with kitchenette that has restricted access via a locked gate. The communal area is spacious and allows for groups or individual activities. Corridors are wide and promote safe mobility with the use of mobility aids. There is increased lighting in hallways and communal areas. There are three doors that open out into the gardens and provide safe access to pathways and outdoor seating areas. There is a continuous circuit without encountering any dead ends. An arrangement with the neighbouring property enables the residents to watch chickens roam throughout a fenced pathway. There is a high secure fence with shrubbery to deter climbing. Landscaping is well maintained. </w:t>
            </w:r>
          </w:p>
          <w:p w14:paraId="2B3B63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 of toilet and showering facilities. All 13 bedrooms in the memory care unit are of the same size and include a full ensuite. The rest home and hospital wings have a mixture of full ensuites, and some have hand basins and shared shower and toilet facilities. Privacy locks are in place. Vacant/in-use signage is on the toilet/shower rooms. All resident rooms are spacious enough to allow residents to move about with mobility aids and wheelchairs and allows for the use of hoists. Residents and families/whānau are encouraged to personalise resident rooms, as viewed at the time of </w:t>
            </w:r>
            <w:r w:rsidRPr="00BE00C7">
              <w:rPr>
                <w:rFonts w:cs="Arial"/>
                <w:lang w:eastAsia="en-NZ"/>
              </w:rPr>
              <w:lastRenderedPageBreak/>
              <w:t xml:space="preserve">the audit. All residents interviewed confirmed their privacy was maintained while attending to personal hygiene cares. Sufficient toilets are available for visitors throughout the facility, including some that are designated for disabled people. </w:t>
            </w:r>
          </w:p>
          <w:p w14:paraId="205F4F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visual verification at the time of this audit to confirm that the 61-rest home and hospital level swing beds are suitable for hospital level of care, including sufficient room for the use of hospital equipment, including hoists, hospital beds and wheelchairs. </w:t>
            </w:r>
          </w:p>
          <w:p w14:paraId="03706F79" w14:textId="77777777" w:rsidR="00EB7645" w:rsidRPr="00BE00C7" w:rsidRDefault="00000000" w:rsidP="00BE00C7">
            <w:pPr>
              <w:pStyle w:val="OutcomeDescription"/>
              <w:spacing w:before="120" w:after="120"/>
              <w:rPr>
                <w:rFonts w:cs="Arial"/>
                <w:lang w:eastAsia="en-NZ"/>
              </w:rPr>
            </w:pPr>
            <w:r w:rsidRPr="00BE00C7">
              <w:rPr>
                <w:rFonts w:cs="Arial"/>
                <w:lang w:eastAsia="en-NZ"/>
              </w:rPr>
              <w:t>Group activities occur in the main lounge and residents interviewed stated they were able to use alternative communal areas if they did not wish to participate in the group activities being held in the main lounge. General living areas are heated by large heat pumps and there is underfloor heating throughout the facility. All resident rooms have individual heating thermostats, external windows and are well ventilated. The facility has plenty of natural light. All residents interviewed stated they were happy with the temperature of the facility. It was reported that when there is a planned development for the building, Māori would be involved in the consultation and co-design of the environment, utilising the involvement of current Māori staff, the Board members and community links, to ensure that they reflect the aspirations and identity of Māori.</w:t>
            </w:r>
          </w:p>
          <w:p w14:paraId="0B7115EE" w14:textId="77777777" w:rsidR="00EB7645" w:rsidRPr="00BE00C7" w:rsidRDefault="00000000" w:rsidP="00BE00C7">
            <w:pPr>
              <w:pStyle w:val="OutcomeDescription"/>
              <w:spacing w:before="120" w:after="120"/>
              <w:rPr>
                <w:rFonts w:cs="Arial"/>
                <w:lang w:eastAsia="en-NZ"/>
              </w:rPr>
            </w:pPr>
          </w:p>
        </w:tc>
      </w:tr>
      <w:tr w:rsidR="00C1416F" w14:paraId="22569152" w14:textId="77777777">
        <w:tc>
          <w:tcPr>
            <w:tcW w:w="0" w:type="auto"/>
          </w:tcPr>
          <w:p w14:paraId="4C6814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FD55B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2B2E2D" w14:textId="77777777" w:rsidR="00EB7645" w:rsidRPr="00BE00C7" w:rsidRDefault="00000000" w:rsidP="00BE00C7">
            <w:pPr>
              <w:pStyle w:val="OutcomeDescription"/>
              <w:spacing w:before="120" w:after="120"/>
              <w:rPr>
                <w:rFonts w:cs="Arial"/>
                <w:lang w:eastAsia="en-NZ"/>
              </w:rPr>
            </w:pPr>
          </w:p>
        </w:tc>
        <w:tc>
          <w:tcPr>
            <w:tcW w:w="0" w:type="auto"/>
          </w:tcPr>
          <w:p w14:paraId="5E9759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5FC4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A fire evacuation plan is in place that has been approved by Fire and Emergency New Zealand dated 17 June 2009. Fire evacuation drills are held six-monthly and was last completed on 13 March 2024. Civil defence supplies are stored in an identified cupboard and are checked monthly. In the event of a power outage, there is a back-up generator available and gas cooking (BBQ and portable gas cookers). There is adequate food supply available for each resident for minimum of five days. </w:t>
            </w:r>
          </w:p>
          <w:p w14:paraId="4812E78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adequate supplies in the event of a civil defence emergency, including water supplies (header tanks and bottled water) to provide residents and staff with three litres per day for a minimum of three days. Emergency management is included in staff orientation and is included in the ongoing education plan. A minimum of one person trained in first aid is always available. There are call bells in the residents’ rooms, communal toilets, and lounge/dining room areas. Indicator lights are displayed above panels in hallways to alert staff to the area/resident requires assistance. Call bells are tested monthly, and the last call bell audit showed full compliance as a part of maintenance audit. The residents were observed to have their call bells in proximity. Residents and families/whānau interviewed confirmed that call bells are answered in a timely manner. The facility is secured at night and there are security cameras located at reception/entrance and throughout the facility. An external security firm provide nightly patrols and report any anomalies to staff. Additional security measures in place include staff wear the organisations uniform and name badges, and all visitors sign in and out of the facility. Family/whānau interviewed outlined they were advised of what action to take in the event of an emergency on site, as part of their relative’s admission process. Posters throughout the facility outline fire zones and steps to take as a reminder to all entering the facility. The audit team were advised of what measures to take in the event of an emergency whilst on site.</w:t>
            </w:r>
          </w:p>
          <w:p w14:paraId="1848223F" w14:textId="77777777" w:rsidR="00EB7645" w:rsidRPr="00BE00C7" w:rsidRDefault="00000000" w:rsidP="00BE00C7">
            <w:pPr>
              <w:pStyle w:val="OutcomeDescription"/>
              <w:spacing w:before="120" w:after="120"/>
              <w:rPr>
                <w:rFonts w:cs="Arial"/>
                <w:lang w:eastAsia="en-NZ"/>
              </w:rPr>
            </w:pPr>
          </w:p>
        </w:tc>
      </w:tr>
      <w:tr w:rsidR="00C1416F" w14:paraId="1C82D4AD" w14:textId="77777777">
        <w:tc>
          <w:tcPr>
            <w:tcW w:w="0" w:type="auto"/>
          </w:tcPr>
          <w:p w14:paraId="6E11C6B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B0213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9A89EDD" w14:textId="77777777" w:rsidR="00EB7645" w:rsidRPr="00BE00C7" w:rsidRDefault="00000000" w:rsidP="00BE00C7">
            <w:pPr>
              <w:pStyle w:val="OutcomeDescription"/>
              <w:spacing w:before="120" w:after="120"/>
              <w:rPr>
                <w:rFonts w:cs="Arial"/>
                <w:lang w:eastAsia="en-NZ"/>
              </w:rPr>
            </w:pPr>
          </w:p>
        </w:tc>
        <w:tc>
          <w:tcPr>
            <w:tcW w:w="0" w:type="auto"/>
          </w:tcPr>
          <w:p w14:paraId="34E37B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0E30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acting clinical manager (registered nurse) oversees infection prevention and control across the service. The job description outlines the responsibility of the role. The infection prevention and control programme, its content and detail, is appropriate for the size, complexity and degree of risk associated with the service. Infection prevention and control is linked into the quality risk and incident reporting system. The infection prevention and control programme is reviewed annually by the management team, and infection control audits are conducted. Infection rates are presented and discussed at clinical quality improvement meeting. Data around infections is also reviewed by the management team and benchmarked internally. </w:t>
            </w:r>
            <w:r w:rsidRPr="00BE00C7">
              <w:rPr>
                <w:rFonts w:cs="Arial"/>
                <w:lang w:eastAsia="en-NZ"/>
              </w:rPr>
              <w:lastRenderedPageBreak/>
              <w:t>Infection prevention and control is part of the strategic and quality plans. The directors receive reports on progress of quality and strategic plans relating to infection prevention; surveillance data; outbreak data and outbreak management; infection prevention related audits; resources and costs associated with infection prevention and control; and anti-microbial stewardship (AMS), including any significant infection events.</w:t>
            </w:r>
          </w:p>
          <w:p w14:paraId="395C76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 Nelson Marlborough, and the general practitioner. </w:t>
            </w:r>
          </w:p>
          <w:p w14:paraId="2B46D2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Residents and staff are offered influenza vaccinations. </w:t>
            </w:r>
          </w:p>
          <w:p w14:paraId="56FF5593" w14:textId="77777777" w:rsidR="00EB7645" w:rsidRPr="00BE00C7" w:rsidRDefault="00000000" w:rsidP="00BE00C7">
            <w:pPr>
              <w:pStyle w:val="OutcomeDescription"/>
              <w:spacing w:before="120" w:after="120"/>
              <w:rPr>
                <w:rFonts w:cs="Arial"/>
                <w:lang w:eastAsia="en-NZ"/>
              </w:rPr>
            </w:pPr>
          </w:p>
        </w:tc>
      </w:tr>
      <w:tr w:rsidR="00C1416F" w14:paraId="602459F5" w14:textId="77777777">
        <w:tc>
          <w:tcPr>
            <w:tcW w:w="0" w:type="auto"/>
          </w:tcPr>
          <w:p w14:paraId="6225B6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BD296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8EA88B1" w14:textId="77777777" w:rsidR="00EB7645" w:rsidRPr="00BE00C7" w:rsidRDefault="00000000" w:rsidP="00BE00C7">
            <w:pPr>
              <w:pStyle w:val="OutcomeDescription"/>
              <w:spacing w:before="120" w:after="120"/>
              <w:rPr>
                <w:rFonts w:cs="Arial"/>
                <w:lang w:eastAsia="en-NZ"/>
              </w:rPr>
            </w:pPr>
          </w:p>
        </w:tc>
        <w:tc>
          <w:tcPr>
            <w:tcW w:w="0" w:type="auto"/>
          </w:tcPr>
          <w:p w14:paraId="188ACA1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779B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4A9106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general practitioners, laboratory, and Health New Zealand – Nelson Marlborough infection control nurse specialist. There are sufficient quantities of PPE available as required. </w:t>
            </w:r>
          </w:p>
          <w:p w14:paraId="38AB69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and all policies are available to staff. </w:t>
            </w:r>
          </w:p>
          <w:p w14:paraId="22FE0F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for Māori residents and works in partnership with </w:t>
            </w:r>
            <w:r w:rsidRPr="00BE00C7">
              <w:rPr>
                <w:rFonts w:cs="Arial"/>
                <w:lang w:eastAsia="en-NZ"/>
              </w:rPr>
              <w:lastRenderedPageBreak/>
              <w:t xml:space="preserve">Māori for the protection of culturally safe practices in infection prevention, that acknowledge the spirit of Te Tiriti. </w:t>
            </w:r>
          </w:p>
          <w:p w14:paraId="07AC79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policy states that the facility is committed to the ongoing education of staff and residents. Infection prevention and control is part of staff orientation and included in the two-yearly training plan; however, not all staff are evidenced as having received training (link 2.3.4). Staff have completed handwashing and personal protective equipment competencies. Resident education occurs as part of the daily cares. Residents and families/whānau were kept informed and updated on outbreaks through phone calls and emails. Posters regarding good infection control practice were displayed in English and te reo Māori, and are available in other languages.</w:t>
            </w:r>
          </w:p>
          <w:p w14:paraId="7ECD57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CEO. The management team and infection control coordinator would liaise with their community iwi links should the design of any new building or significant change be proposed to the existing facility.</w:t>
            </w:r>
          </w:p>
          <w:p w14:paraId="26AD445D" w14:textId="77777777" w:rsidR="00EB7645" w:rsidRPr="00BE00C7" w:rsidRDefault="00000000" w:rsidP="00BE00C7">
            <w:pPr>
              <w:pStyle w:val="OutcomeDescription"/>
              <w:spacing w:before="120" w:after="120"/>
              <w:rPr>
                <w:rFonts w:cs="Arial"/>
                <w:lang w:eastAsia="en-NZ"/>
              </w:rPr>
            </w:pPr>
          </w:p>
        </w:tc>
      </w:tr>
      <w:tr w:rsidR="00C1416F" w14:paraId="65310B72" w14:textId="77777777">
        <w:tc>
          <w:tcPr>
            <w:tcW w:w="0" w:type="auto"/>
          </w:tcPr>
          <w:p w14:paraId="6D9BF2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2AD6B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2038F49" w14:textId="77777777" w:rsidR="00EB7645" w:rsidRPr="00BE00C7" w:rsidRDefault="00000000" w:rsidP="00BE00C7">
            <w:pPr>
              <w:pStyle w:val="OutcomeDescription"/>
              <w:spacing w:before="120" w:after="120"/>
              <w:rPr>
                <w:rFonts w:cs="Arial"/>
                <w:lang w:eastAsia="en-NZ"/>
              </w:rPr>
            </w:pPr>
          </w:p>
        </w:tc>
        <w:tc>
          <w:tcPr>
            <w:tcW w:w="0" w:type="auto"/>
          </w:tcPr>
          <w:p w14:paraId="7D9CAA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47C4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The infection control coordinator (acting clinical manager)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clinical quality improvement meeting and management team. Prophylactic use of antibiotics is not considered to be appropriate and is discouraged.</w:t>
            </w:r>
          </w:p>
          <w:p w14:paraId="224C53A1" w14:textId="77777777" w:rsidR="00EB7645" w:rsidRPr="00BE00C7" w:rsidRDefault="00000000" w:rsidP="00BE00C7">
            <w:pPr>
              <w:pStyle w:val="OutcomeDescription"/>
              <w:spacing w:before="120" w:after="120"/>
              <w:rPr>
                <w:rFonts w:cs="Arial"/>
                <w:lang w:eastAsia="en-NZ"/>
              </w:rPr>
            </w:pPr>
          </w:p>
        </w:tc>
      </w:tr>
      <w:tr w:rsidR="00C1416F" w14:paraId="7DCC3FDE" w14:textId="77777777">
        <w:tc>
          <w:tcPr>
            <w:tcW w:w="0" w:type="auto"/>
          </w:tcPr>
          <w:p w14:paraId="25910A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85DF3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75D0708" w14:textId="77777777" w:rsidR="00EB7645" w:rsidRPr="00BE00C7" w:rsidRDefault="00000000" w:rsidP="00BE00C7">
            <w:pPr>
              <w:pStyle w:val="OutcomeDescription"/>
              <w:spacing w:before="120" w:after="120"/>
              <w:rPr>
                <w:rFonts w:cs="Arial"/>
                <w:lang w:eastAsia="en-NZ"/>
              </w:rPr>
            </w:pPr>
          </w:p>
        </w:tc>
        <w:tc>
          <w:tcPr>
            <w:tcW w:w="0" w:type="auto"/>
          </w:tcPr>
          <w:p w14:paraId="26E3A88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6C52F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Jack Inglis infection prevention and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w:t>
            </w:r>
          </w:p>
          <w:p w14:paraId="55AC5C59"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control surveillance is discussed at the clinical quality improvement meeting. The service has not yet incorporated ethnicity data into surveillance methods. Internal benchmarking is completed by the infection control coordinator, and graphs are displayed for staff. Action plans are required for any infection rates of concern. Internal infection control audits are completed, with corrective actions for areas of improvement. The service receives information from Health New Zealand - Nelson Marlborough for any community concerns.</w:t>
            </w:r>
          </w:p>
          <w:p w14:paraId="505F97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been one norovirus outbreak (July 2023) since the last audit. The facility followed their outbreak plan. There were clear communication pathways with responsibilities that included outbreak meetings and communication with residents, family/whānau, and staff. Staff wore personal protective equipment, and family/whānau were kept informed by phone or email. Visiting to the area affected was restricted.</w:t>
            </w:r>
          </w:p>
          <w:p w14:paraId="7E4D7D48" w14:textId="77777777" w:rsidR="00EB7645" w:rsidRPr="00BE00C7" w:rsidRDefault="00000000" w:rsidP="00BE00C7">
            <w:pPr>
              <w:pStyle w:val="OutcomeDescription"/>
              <w:spacing w:before="120" w:after="120"/>
              <w:rPr>
                <w:rFonts w:cs="Arial"/>
                <w:lang w:eastAsia="en-NZ"/>
              </w:rPr>
            </w:pPr>
          </w:p>
        </w:tc>
      </w:tr>
      <w:tr w:rsidR="00C1416F" w14:paraId="3D296D9E" w14:textId="77777777">
        <w:tc>
          <w:tcPr>
            <w:tcW w:w="0" w:type="auto"/>
          </w:tcPr>
          <w:p w14:paraId="1FBB2CA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6AAC9F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7B7621E8" w14:textId="77777777" w:rsidR="00EB7645" w:rsidRPr="00BE00C7" w:rsidRDefault="00000000" w:rsidP="00BE00C7">
            <w:pPr>
              <w:pStyle w:val="OutcomeDescription"/>
              <w:spacing w:before="120" w:after="120"/>
              <w:rPr>
                <w:rFonts w:cs="Arial"/>
                <w:lang w:eastAsia="en-NZ"/>
              </w:rPr>
            </w:pPr>
          </w:p>
        </w:tc>
        <w:tc>
          <w:tcPr>
            <w:tcW w:w="0" w:type="auto"/>
          </w:tcPr>
          <w:p w14:paraId="7DFFC9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EAB5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and accessible.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3F4463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All laundry is managed on site by dedicated laundry staff. The laundry area was seen to have a defined clean-dirty workflow, safe chemical storage, and the linen cupboards were well stocked. Cleaning and laundry services are monitored through the internal auditing system. There is appropriate sluice and sanitiser equipment available in the four sluice rooms sighted. The cleaner interviewed was knowledgeable around systems and processes related to hygiene, and infection prevention and control.</w:t>
            </w:r>
          </w:p>
          <w:p w14:paraId="3D9CA317" w14:textId="77777777" w:rsidR="00EB7645" w:rsidRPr="00BE00C7" w:rsidRDefault="00000000" w:rsidP="00BE00C7">
            <w:pPr>
              <w:pStyle w:val="OutcomeDescription"/>
              <w:spacing w:before="120" w:after="120"/>
              <w:rPr>
                <w:rFonts w:cs="Arial"/>
                <w:lang w:eastAsia="en-NZ"/>
              </w:rPr>
            </w:pPr>
          </w:p>
        </w:tc>
      </w:tr>
      <w:tr w:rsidR="00C1416F" w14:paraId="030FDB46" w14:textId="77777777">
        <w:tc>
          <w:tcPr>
            <w:tcW w:w="0" w:type="auto"/>
          </w:tcPr>
          <w:p w14:paraId="795F0C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E5F58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AD7A141" w14:textId="77777777" w:rsidR="00EB7645" w:rsidRPr="00BE00C7" w:rsidRDefault="00000000" w:rsidP="00BE00C7">
            <w:pPr>
              <w:pStyle w:val="OutcomeDescription"/>
              <w:spacing w:before="120" w:after="120"/>
              <w:rPr>
                <w:rFonts w:cs="Arial"/>
                <w:lang w:eastAsia="en-NZ"/>
              </w:rPr>
            </w:pPr>
          </w:p>
        </w:tc>
        <w:tc>
          <w:tcPr>
            <w:tcW w:w="0" w:type="auto"/>
          </w:tcPr>
          <w:p w14:paraId="7D521E1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5A47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families/whānau, and the choice of device must be the least restrictive possible. When restraint is considered, the facility works in partnership with the resident and family/whānau to ensure services are mana enhancing. </w:t>
            </w:r>
          </w:p>
          <w:p w14:paraId="6C679B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an RN. There was one hospital level care resident listed on the restraint register as using a restraint. The resident uses a bed rail to provide security that they won’t fall out of bed and can sleep reassured they are safe. </w:t>
            </w:r>
          </w:p>
          <w:p w14:paraId="5DD58B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use of restraint is reviewed monthly by the restraint coordinator and reported at the three-monthly clinical, staff and quality meetings; however, not all staff meetings have occurred as per schedule (see 2.2.2). The resident and/or family/whānau are consulted on the restraint procedures, as part of the restraint review processes, as required. The restraint coordinator interviewed described the focus on minimising restraint wherever possible and working towards a restraint-free environment. Restraint minimisation is included as part of the mandatory training plan and orientation programme. Seclusion is not used at Jack Inglis.</w:t>
            </w:r>
          </w:p>
          <w:p w14:paraId="64649E0A" w14:textId="77777777" w:rsidR="00EB7645" w:rsidRPr="00BE00C7" w:rsidRDefault="00000000" w:rsidP="00BE00C7">
            <w:pPr>
              <w:pStyle w:val="OutcomeDescription"/>
              <w:spacing w:before="120" w:after="120"/>
              <w:rPr>
                <w:rFonts w:cs="Arial"/>
                <w:lang w:eastAsia="en-NZ"/>
              </w:rPr>
            </w:pPr>
          </w:p>
        </w:tc>
      </w:tr>
      <w:tr w:rsidR="00C1416F" w14:paraId="648125CB" w14:textId="77777777">
        <w:tc>
          <w:tcPr>
            <w:tcW w:w="0" w:type="auto"/>
          </w:tcPr>
          <w:p w14:paraId="125BC6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65E0AD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needs change, and I trust that the </w:t>
            </w:r>
            <w:r w:rsidRPr="00BE00C7">
              <w:rPr>
                <w:rFonts w:cs="Arial"/>
                <w:lang w:eastAsia="en-NZ"/>
              </w:rPr>
              <w:lastRenderedPageBreak/>
              <w:t>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765D331" w14:textId="77777777" w:rsidR="00EB7645" w:rsidRPr="00BE00C7" w:rsidRDefault="00000000" w:rsidP="00BE00C7">
            <w:pPr>
              <w:pStyle w:val="OutcomeDescription"/>
              <w:spacing w:before="120" w:after="120"/>
              <w:rPr>
                <w:rFonts w:cs="Arial"/>
                <w:lang w:eastAsia="en-NZ"/>
              </w:rPr>
            </w:pPr>
          </w:p>
        </w:tc>
        <w:tc>
          <w:tcPr>
            <w:tcW w:w="0" w:type="auto"/>
          </w:tcPr>
          <w:p w14:paraId="1863E5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6F06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The file of the resident listed as using restraint was reviewed. The resident had requested the bed rail for security purposes. The documentation </w:t>
            </w:r>
            <w:r w:rsidRPr="00BE00C7">
              <w:rPr>
                <w:rFonts w:cs="Arial"/>
                <w:lang w:eastAsia="en-NZ"/>
              </w:rPr>
              <w:lastRenderedPageBreak/>
              <w:t>outlined the rationale for the bed rail, involvement with family/whānau and the GP. Written consent was documented from the resident. The use of restraint is approved by the GP and reviewed annually. No emergency restraints have been required; however, the use of emergency restraint is included in the restraint policy.</w:t>
            </w:r>
          </w:p>
          <w:p w14:paraId="7D65927B" w14:textId="77777777" w:rsidR="00EB7645" w:rsidRPr="00BE00C7" w:rsidRDefault="00000000" w:rsidP="00BE00C7">
            <w:pPr>
              <w:pStyle w:val="OutcomeDescription"/>
              <w:spacing w:before="120" w:after="120"/>
              <w:rPr>
                <w:rFonts w:cs="Arial"/>
                <w:lang w:eastAsia="en-NZ"/>
              </w:rPr>
            </w:pPr>
            <w:r w:rsidRPr="00BE00C7">
              <w:rPr>
                <w:rFonts w:cs="Arial"/>
                <w:lang w:eastAsia="en-NZ"/>
              </w:rPr>
              <w:t>Monitoring forms are completed for the bed rail use. Restraints are scheduled to be monitored two-hourly. Monitoring includes resident’s cultural, physical, psychological, and psychosocial needs, and addresses wairuatanga. No accidents or incidents have occurred because of restraint use. Restraints are regularly reviewed and discussed in the staff meetings and daily hub meeting if required; however, not all staff meetings have occurred as scheduled (see 2.2.2). The formal and documented review of restraint use takes place six-monthly.</w:t>
            </w:r>
          </w:p>
          <w:p w14:paraId="3CB183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can support staff to engage in an appropriate debrief process should an episode of emergency restraint occur.</w:t>
            </w:r>
          </w:p>
          <w:p w14:paraId="0120DB13" w14:textId="77777777" w:rsidR="00EB7645" w:rsidRPr="00BE00C7" w:rsidRDefault="00000000" w:rsidP="00BE00C7">
            <w:pPr>
              <w:pStyle w:val="OutcomeDescription"/>
              <w:spacing w:before="120" w:after="120"/>
              <w:rPr>
                <w:rFonts w:cs="Arial"/>
                <w:lang w:eastAsia="en-NZ"/>
              </w:rPr>
            </w:pPr>
          </w:p>
        </w:tc>
      </w:tr>
      <w:tr w:rsidR="00C1416F" w14:paraId="301B3C5C" w14:textId="77777777">
        <w:tc>
          <w:tcPr>
            <w:tcW w:w="0" w:type="auto"/>
          </w:tcPr>
          <w:p w14:paraId="4993B7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430433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330E4E5" w14:textId="77777777" w:rsidR="00EB7645" w:rsidRPr="00BE00C7" w:rsidRDefault="00000000" w:rsidP="00BE00C7">
            <w:pPr>
              <w:pStyle w:val="OutcomeDescription"/>
              <w:spacing w:before="120" w:after="120"/>
              <w:rPr>
                <w:rFonts w:cs="Arial"/>
                <w:lang w:eastAsia="en-NZ"/>
              </w:rPr>
            </w:pPr>
          </w:p>
        </w:tc>
        <w:tc>
          <w:tcPr>
            <w:tcW w:w="0" w:type="auto"/>
          </w:tcPr>
          <w:p w14:paraId="55C9E97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0DCC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monitoring, and reviewing data and implementing improvement activities. The service includes the use of restraint in their annual internal audit programme. The outcome of the internal audit is discussed at clinical quality improvement meetings and is reported to the Board. The restraint coordinator meets RNs monthly and includes a review of restraint use, restraint incidents (should they occur) and education needs; however, not all staff meetings are currently occurring as per schedule (link 2.2.2). Any resident using a restraint and/or their EPOA has input into the review process. Restraint data, including any incidents, are reported as part of the restraint coordinator reporting to the quality coordinator. The restraint coordinator described how learnings and changes to care plans culminated from the analysis of the restraint data.</w:t>
            </w:r>
          </w:p>
          <w:p w14:paraId="327791A5" w14:textId="77777777" w:rsidR="00EB7645" w:rsidRPr="00BE00C7" w:rsidRDefault="00000000" w:rsidP="00BE00C7">
            <w:pPr>
              <w:pStyle w:val="OutcomeDescription"/>
              <w:spacing w:before="120" w:after="120"/>
              <w:rPr>
                <w:rFonts w:cs="Arial"/>
                <w:lang w:eastAsia="en-NZ"/>
              </w:rPr>
            </w:pPr>
          </w:p>
        </w:tc>
      </w:tr>
    </w:tbl>
    <w:p w14:paraId="1FE771F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D0BAA5C" w14:textId="77777777" w:rsidR="00460D43" w:rsidRDefault="00000000">
      <w:pPr>
        <w:pStyle w:val="Heading1"/>
        <w:rPr>
          <w:rFonts w:cs="Arial"/>
        </w:rPr>
      </w:pPr>
      <w:r>
        <w:rPr>
          <w:rFonts w:cs="Arial"/>
        </w:rPr>
        <w:lastRenderedPageBreak/>
        <w:t>Specific results for criterion where corrective actions are required</w:t>
      </w:r>
    </w:p>
    <w:p w14:paraId="1393438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3930736"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0A8862A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311"/>
        <w:gridCol w:w="3938"/>
        <w:gridCol w:w="3082"/>
        <w:gridCol w:w="2129"/>
      </w:tblGrid>
      <w:tr w:rsidR="00C1416F" w14:paraId="192D0AB1" w14:textId="77777777">
        <w:tc>
          <w:tcPr>
            <w:tcW w:w="0" w:type="auto"/>
          </w:tcPr>
          <w:p w14:paraId="2D3E92AA"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48D5B5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F64C2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CD3964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C39318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1416F" w14:paraId="3603D0B5" w14:textId="77777777">
        <w:tc>
          <w:tcPr>
            <w:tcW w:w="0" w:type="auto"/>
          </w:tcPr>
          <w:p w14:paraId="6FFFE03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4648CB5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1AD6EB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57E5A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 performance monitoring through internal audits, through the collection, collation, and internal benchmarking of clinical indicator data. Regular management meetings, clinical quality improvement meetings and staff meetings provide an avenue for discussions in relation to (but not limited to) quality data; health and safety; infection control/pandemic strategies; complaints received (if any); staffing; and education. However, staff meetings have not always occurred as scheduled in 2023. There is a meeting scheduled for May 2024. </w:t>
            </w:r>
          </w:p>
          <w:p w14:paraId="7B5BD9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Although the service had recently completed resident and family/whānau </w:t>
            </w:r>
            <w:r w:rsidRPr="00BE00C7">
              <w:rPr>
                <w:rFonts w:cs="Arial"/>
                <w:lang w:eastAsia="en-NZ"/>
              </w:rPr>
              <w:lastRenderedPageBreak/>
              <w:t xml:space="preserve">satisfaction surveys (April 2024), there was no evidence of one being completed in April 2023 as per schedule. Regular resident and family/whānau meetings were not evidenced as occurring as planned since the last audit. Records sighted evidence that there was only one meeting in May 2023 and one in February 2024 completed. </w:t>
            </w:r>
          </w:p>
          <w:p w14:paraId="0DC04B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interviewed confirm they know what is happening with the resident through emails, face to face contact and phone calls and felt informed regarding events or other information. </w:t>
            </w:r>
          </w:p>
          <w:p w14:paraId="252D4F50" w14:textId="77777777" w:rsidR="00EB7645" w:rsidRPr="00BE00C7" w:rsidRDefault="00000000" w:rsidP="00BE00C7">
            <w:pPr>
              <w:pStyle w:val="OutcomeDescription"/>
              <w:spacing w:before="120" w:after="120"/>
              <w:rPr>
                <w:rFonts w:cs="Arial"/>
                <w:lang w:eastAsia="en-NZ"/>
              </w:rPr>
            </w:pPr>
          </w:p>
        </w:tc>
        <w:tc>
          <w:tcPr>
            <w:tcW w:w="0" w:type="auto"/>
          </w:tcPr>
          <w:p w14:paraId="56487A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Annual resident satisfaction surveys scheduled for April 2023 was not completed. </w:t>
            </w:r>
          </w:p>
          <w:p w14:paraId="359D6E96" w14:textId="77777777" w:rsidR="00EB7645" w:rsidRPr="00BE00C7" w:rsidRDefault="00000000" w:rsidP="00BE00C7">
            <w:pPr>
              <w:pStyle w:val="OutcomeDescription"/>
              <w:spacing w:before="120" w:after="120"/>
              <w:rPr>
                <w:rFonts w:cs="Arial"/>
                <w:lang w:eastAsia="en-NZ"/>
              </w:rPr>
            </w:pPr>
            <w:r w:rsidRPr="00BE00C7">
              <w:rPr>
                <w:rFonts w:cs="Arial"/>
                <w:lang w:eastAsia="en-NZ"/>
              </w:rPr>
              <w:t>(ii). Resident and family/whānau meetings have not been completed as scheduled since last audit.</w:t>
            </w:r>
          </w:p>
          <w:p w14:paraId="73A83A38" w14:textId="77777777" w:rsidR="00EB7645" w:rsidRPr="00BE00C7" w:rsidRDefault="00000000" w:rsidP="00BE00C7">
            <w:pPr>
              <w:pStyle w:val="OutcomeDescription"/>
              <w:spacing w:before="120" w:after="120"/>
              <w:rPr>
                <w:rFonts w:cs="Arial"/>
                <w:lang w:eastAsia="en-NZ"/>
              </w:rPr>
            </w:pPr>
            <w:r w:rsidRPr="00BE00C7">
              <w:rPr>
                <w:rFonts w:cs="Arial"/>
                <w:lang w:eastAsia="en-NZ"/>
              </w:rPr>
              <w:t>(iii). Staff meetings have not been completed as scheduled since last audit.</w:t>
            </w:r>
          </w:p>
          <w:p w14:paraId="17CE6C5C" w14:textId="77777777" w:rsidR="00EB7645" w:rsidRPr="00BE00C7" w:rsidRDefault="00000000" w:rsidP="00BE00C7">
            <w:pPr>
              <w:pStyle w:val="OutcomeDescription"/>
              <w:spacing w:before="120" w:after="120"/>
              <w:rPr>
                <w:rFonts w:cs="Arial"/>
                <w:lang w:eastAsia="en-NZ"/>
              </w:rPr>
            </w:pPr>
          </w:p>
        </w:tc>
        <w:tc>
          <w:tcPr>
            <w:tcW w:w="0" w:type="auto"/>
          </w:tcPr>
          <w:p w14:paraId="651FBC31"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resident and family/whānau satisfaction surveys are completed as scheduled.</w:t>
            </w:r>
          </w:p>
          <w:p w14:paraId="0D839B8A" w14:textId="77777777" w:rsidR="00EB7645" w:rsidRPr="00BE00C7" w:rsidRDefault="00000000" w:rsidP="00BE00C7">
            <w:pPr>
              <w:pStyle w:val="OutcomeDescription"/>
              <w:spacing w:before="120" w:after="120"/>
              <w:rPr>
                <w:rFonts w:cs="Arial"/>
                <w:lang w:eastAsia="en-NZ"/>
              </w:rPr>
            </w:pPr>
            <w:r w:rsidRPr="00BE00C7">
              <w:rPr>
                <w:rFonts w:cs="Arial"/>
                <w:lang w:eastAsia="en-NZ"/>
              </w:rPr>
              <w:t>(ii).&amp; (iii). Ensure staff, resident and family/whānau meetings are completed as scheduled.</w:t>
            </w:r>
          </w:p>
          <w:p w14:paraId="0CF2BAA7" w14:textId="77777777" w:rsidR="00EB7645" w:rsidRPr="00BE00C7" w:rsidRDefault="00000000" w:rsidP="00BE00C7">
            <w:pPr>
              <w:pStyle w:val="OutcomeDescription"/>
              <w:spacing w:before="120" w:after="120"/>
              <w:rPr>
                <w:rFonts w:cs="Arial"/>
                <w:lang w:eastAsia="en-NZ"/>
              </w:rPr>
            </w:pPr>
          </w:p>
          <w:p w14:paraId="56EF510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1416F" w14:paraId="5453060D" w14:textId="77777777">
        <w:tc>
          <w:tcPr>
            <w:tcW w:w="0" w:type="auto"/>
          </w:tcPr>
          <w:p w14:paraId="4B6A89D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5135FD8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1F4B0AE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CED9C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two-yearly education and training programme for Jack Inglis that includes clinical and non-clinical staff training which covers mandatory topics. The 2024 staff training plan was displayed for staff in the staffroom (sighted). </w:t>
            </w:r>
          </w:p>
          <w:p w14:paraId="628D51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CEO and educator acknowledge the importance of a well-trained workforce in terms of outcomes for the residents. Policy expectation is for education and training to be provided in line with the training plan and include guest speakers. However, evidence sighted during the audit confirms that although the training plan has been implemented, the attendance rates of the required training has been very low. Completion rates sighted range from 5 to 20 staff completing the required training topics. </w:t>
            </w:r>
          </w:p>
          <w:p w14:paraId="628BBF71" w14:textId="77777777" w:rsidR="00EB7645" w:rsidRPr="00BE00C7" w:rsidRDefault="00000000" w:rsidP="00BE00C7">
            <w:pPr>
              <w:pStyle w:val="OutcomeDescription"/>
              <w:spacing w:before="120" w:after="120"/>
              <w:rPr>
                <w:rFonts w:cs="Arial"/>
                <w:lang w:eastAsia="en-NZ"/>
              </w:rPr>
            </w:pPr>
          </w:p>
        </w:tc>
        <w:tc>
          <w:tcPr>
            <w:tcW w:w="0" w:type="auto"/>
          </w:tcPr>
          <w:p w14:paraId="263C38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Training has occurred as scheduled; however, the attendance rate has been very low, ranging from 5 to 20 completions with the topics covered. There is no evidence to demonstrate compliance with training for staff who may have missed the training sessions.</w:t>
            </w:r>
          </w:p>
          <w:p w14:paraId="6F5265A4" w14:textId="77777777" w:rsidR="00EB7645" w:rsidRPr="00BE00C7" w:rsidRDefault="00000000" w:rsidP="00BE00C7">
            <w:pPr>
              <w:pStyle w:val="OutcomeDescription"/>
              <w:spacing w:before="120" w:after="120"/>
              <w:rPr>
                <w:rFonts w:cs="Arial"/>
                <w:lang w:eastAsia="en-NZ"/>
              </w:rPr>
            </w:pPr>
          </w:p>
        </w:tc>
        <w:tc>
          <w:tcPr>
            <w:tcW w:w="0" w:type="auto"/>
          </w:tcPr>
          <w:p w14:paraId="47123E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all staff receive training as per the two-yearly education and training programme. </w:t>
            </w:r>
          </w:p>
          <w:p w14:paraId="21F12979" w14:textId="77777777" w:rsidR="00EB7645" w:rsidRPr="00BE00C7" w:rsidRDefault="00000000" w:rsidP="00BE00C7">
            <w:pPr>
              <w:pStyle w:val="OutcomeDescription"/>
              <w:spacing w:before="120" w:after="120"/>
              <w:rPr>
                <w:rFonts w:cs="Arial"/>
                <w:lang w:eastAsia="en-NZ"/>
              </w:rPr>
            </w:pPr>
          </w:p>
          <w:p w14:paraId="3BD0CCF1"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1416F" w14:paraId="36D1B72E" w14:textId="77777777">
        <w:tc>
          <w:tcPr>
            <w:tcW w:w="0" w:type="auto"/>
          </w:tcPr>
          <w:p w14:paraId="101C0C0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1F05F9DB"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434EF876" w14:textId="77777777" w:rsidR="00EB7645" w:rsidRPr="00BE00C7" w:rsidRDefault="00000000" w:rsidP="00BE00C7">
            <w:pPr>
              <w:pStyle w:val="OutcomeDescription"/>
              <w:spacing w:before="120" w:after="120"/>
              <w:rPr>
                <w:rFonts w:cs="Arial"/>
                <w:lang w:eastAsia="en-NZ"/>
              </w:rPr>
            </w:pPr>
          </w:p>
        </w:tc>
        <w:tc>
          <w:tcPr>
            <w:tcW w:w="0" w:type="auto"/>
          </w:tcPr>
          <w:p w14:paraId="479E9FA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B5FD33D"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plans are documented by registered nurses in partnership with residents and family/whānau. Care plans are detailed and address resident needs, preferences and monitoring requirements. Monitoring charts are consistently completed including (but not limited to) blood sugar monitoring, weight, vital signs and wound care as per policy. However, a review of resident records evidenced that the correct protocol for neurological observations was inconsistently followed and recorded.</w:t>
            </w:r>
          </w:p>
          <w:p w14:paraId="16379185" w14:textId="77777777" w:rsidR="00EB7645" w:rsidRPr="00BE00C7" w:rsidRDefault="00000000" w:rsidP="00BE00C7">
            <w:pPr>
              <w:pStyle w:val="OutcomeDescription"/>
              <w:spacing w:before="120" w:after="120"/>
              <w:rPr>
                <w:rFonts w:cs="Arial"/>
                <w:lang w:eastAsia="en-NZ"/>
              </w:rPr>
            </w:pPr>
          </w:p>
        </w:tc>
        <w:tc>
          <w:tcPr>
            <w:tcW w:w="0" w:type="auto"/>
          </w:tcPr>
          <w:p w14:paraId="6CD6644B"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out of six resident records reviewed evidenced that neurological observations were not completed as per protocol for all residents following having had an unwitnessed fall.</w:t>
            </w:r>
          </w:p>
          <w:p w14:paraId="77D28E4C" w14:textId="77777777" w:rsidR="00EB7645" w:rsidRPr="00BE00C7" w:rsidRDefault="00000000" w:rsidP="00BE00C7">
            <w:pPr>
              <w:pStyle w:val="OutcomeDescription"/>
              <w:spacing w:before="120" w:after="120"/>
              <w:rPr>
                <w:rFonts w:cs="Arial"/>
                <w:lang w:eastAsia="en-NZ"/>
              </w:rPr>
            </w:pPr>
          </w:p>
        </w:tc>
        <w:tc>
          <w:tcPr>
            <w:tcW w:w="0" w:type="auto"/>
          </w:tcPr>
          <w:p w14:paraId="63A9FFF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neurological observations are completed as per protocol for all residents having had an unwitnessed fall.</w:t>
            </w:r>
          </w:p>
          <w:p w14:paraId="0BCD27B5" w14:textId="77777777" w:rsidR="00EB7645" w:rsidRPr="00BE00C7" w:rsidRDefault="00000000" w:rsidP="00BE00C7">
            <w:pPr>
              <w:pStyle w:val="OutcomeDescription"/>
              <w:spacing w:before="120" w:after="120"/>
              <w:rPr>
                <w:rFonts w:cs="Arial"/>
                <w:lang w:eastAsia="en-NZ"/>
              </w:rPr>
            </w:pPr>
          </w:p>
          <w:p w14:paraId="58790C17"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C1416F" w14:paraId="4C9E401B" w14:textId="77777777">
        <w:tc>
          <w:tcPr>
            <w:tcW w:w="0" w:type="auto"/>
          </w:tcPr>
          <w:p w14:paraId="266D3DF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5.4.3</w:t>
            </w:r>
          </w:p>
          <w:p w14:paraId="47EF4044"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40813D2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912FF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monthly and annually. Infection control surveillance is discussed at meetings. Jack Inglis </w:t>
            </w:r>
            <w:r w:rsidRPr="00BE00C7">
              <w:rPr>
                <w:rFonts w:cs="Arial"/>
                <w:lang w:eastAsia="en-NZ"/>
              </w:rPr>
              <w:lastRenderedPageBreak/>
              <w:t xml:space="preserve">captures ethnicity data on admission and is working towards incorporating this into surveillance methods and data captured around infections. </w:t>
            </w:r>
          </w:p>
          <w:p w14:paraId="28D9A895" w14:textId="77777777" w:rsidR="00EB7645" w:rsidRPr="00BE00C7" w:rsidRDefault="00000000" w:rsidP="00BE00C7">
            <w:pPr>
              <w:pStyle w:val="OutcomeDescription"/>
              <w:spacing w:before="120" w:after="120"/>
              <w:rPr>
                <w:rFonts w:cs="Arial"/>
                <w:lang w:eastAsia="en-NZ"/>
              </w:rPr>
            </w:pPr>
          </w:p>
        </w:tc>
        <w:tc>
          <w:tcPr>
            <w:tcW w:w="0" w:type="auto"/>
          </w:tcPr>
          <w:p w14:paraId="412534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Infection surveillance does not currently include ethnicity.</w:t>
            </w:r>
          </w:p>
          <w:p w14:paraId="4B498021" w14:textId="77777777" w:rsidR="00EB7645" w:rsidRPr="00BE00C7" w:rsidRDefault="00000000" w:rsidP="00BE00C7">
            <w:pPr>
              <w:pStyle w:val="OutcomeDescription"/>
              <w:spacing w:before="120" w:after="120"/>
              <w:rPr>
                <w:rFonts w:cs="Arial"/>
                <w:lang w:eastAsia="en-NZ"/>
              </w:rPr>
            </w:pPr>
          </w:p>
        </w:tc>
        <w:tc>
          <w:tcPr>
            <w:tcW w:w="0" w:type="auto"/>
          </w:tcPr>
          <w:p w14:paraId="5DC5436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infection surveillance includes ethnicity data.</w:t>
            </w:r>
          </w:p>
          <w:p w14:paraId="73B8E42B" w14:textId="77777777" w:rsidR="00EB7645" w:rsidRPr="00BE00C7" w:rsidRDefault="00000000" w:rsidP="00BE00C7">
            <w:pPr>
              <w:pStyle w:val="OutcomeDescription"/>
              <w:spacing w:before="120" w:after="120"/>
              <w:rPr>
                <w:rFonts w:cs="Arial"/>
                <w:lang w:eastAsia="en-NZ"/>
              </w:rPr>
            </w:pPr>
          </w:p>
          <w:p w14:paraId="1716469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6E0E2951"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053FCA4" w14:textId="77777777" w:rsidR="00460D43" w:rsidRDefault="00000000">
      <w:pPr>
        <w:pStyle w:val="Heading1"/>
        <w:rPr>
          <w:rFonts w:cs="Arial"/>
        </w:rPr>
      </w:pPr>
      <w:r>
        <w:rPr>
          <w:rFonts w:cs="Arial"/>
        </w:rPr>
        <w:lastRenderedPageBreak/>
        <w:t>Specific results for criterion where a continuous improvement has been recorded</w:t>
      </w:r>
    </w:p>
    <w:p w14:paraId="210FEEE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B4DE1A5"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5D6783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416F" w14:paraId="56A61457" w14:textId="77777777">
        <w:tc>
          <w:tcPr>
            <w:tcW w:w="0" w:type="auto"/>
          </w:tcPr>
          <w:p w14:paraId="3FCDD66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C6723E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BD9F82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E840" w14:textId="77777777" w:rsidR="00D549D0" w:rsidRDefault="00D549D0">
      <w:r>
        <w:separator/>
      </w:r>
    </w:p>
  </w:endnote>
  <w:endnote w:type="continuationSeparator" w:id="0">
    <w:p w14:paraId="29261BB0" w14:textId="77777777" w:rsidR="00D549D0" w:rsidRDefault="00D5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1F9A" w14:textId="77777777" w:rsidR="000B00BC" w:rsidRDefault="00000000">
    <w:pPr>
      <w:pStyle w:val="Footer"/>
    </w:pPr>
  </w:p>
  <w:p w14:paraId="7AC422FF" w14:textId="77777777" w:rsidR="005A4A55" w:rsidRDefault="00000000"/>
  <w:p w14:paraId="517F787D"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51F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FOMHT Health Services Limited - Jack Inglis Aged Care Home</w:t>
    </w:r>
    <w:bookmarkEnd w:id="59"/>
    <w:r>
      <w:rPr>
        <w:rFonts w:cs="Arial"/>
        <w:sz w:val="16"/>
        <w:szCs w:val="20"/>
      </w:rPr>
      <w:tab/>
      <w:t xml:space="preserve">Date of Audit: </w:t>
    </w:r>
    <w:bookmarkStart w:id="60" w:name="AuditStartDate1"/>
    <w:r>
      <w:rPr>
        <w:rFonts w:cs="Arial"/>
        <w:sz w:val="16"/>
        <w:szCs w:val="20"/>
      </w:rPr>
      <w:t>9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B309A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057"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F754" w14:textId="77777777" w:rsidR="00D549D0" w:rsidRDefault="00D549D0">
      <w:r>
        <w:separator/>
      </w:r>
    </w:p>
  </w:footnote>
  <w:footnote w:type="continuationSeparator" w:id="0">
    <w:p w14:paraId="0D9F3F30" w14:textId="77777777" w:rsidR="00D549D0" w:rsidRDefault="00D5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65BC" w14:textId="77777777" w:rsidR="000B00BC" w:rsidRDefault="00000000">
    <w:pPr>
      <w:pStyle w:val="Header"/>
    </w:pPr>
  </w:p>
  <w:p w14:paraId="3F94D0D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8727" w14:textId="77777777" w:rsidR="000B00BC" w:rsidRDefault="00000000">
    <w:pPr>
      <w:pStyle w:val="Header"/>
    </w:pPr>
  </w:p>
  <w:p w14:paraId="02B1994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AE3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F42D716">
      <w:start w:val="1"/>
      <w:numFmt w:val="decimal"/>
      <w:lvlText w:val="%1."/>
      <w:lvlJc w:val="left"/>
      <w:pPr>
        <w:ind w:left="360" w:hanging="360"/>
      </w:pPr>
    </w:lvl>
    <w:lvl w:ilvl="1" w:tplc="191A3A9C" w:tentative="1">
      <w:start w:val="1"/>
      <w:numFmt w:val="lowerLetter"/>
      <w:lvlText w:val="%2."/>
      <w:lvlJc w:val="left"/>
      <w:pPr>
        <w:ind w:left="1080" w:hanging="360"/>
      </w:pPr>
    </w:lvl>
    <w:lvl w:ilvl="2" w:tplc="E5405822" w:tentative="1">
      <w:start w:val="1"/>
      <w:numFmt w:val="lowerRoman"/>
      <w:lvlText w:val="%3."/>
      <w:lvlJc w:val="right"/>
      <w:pPr>
        <w:ind w:left="1800" w:hanging="180"/>
      </w:pPr>
    </w:lvl>
    <w:lvl w:ilvl="3" w:tplc="A94AFED0" w:tentative="1">
      <w:start w:val="1"/>
      <w:numFmt w:val="decimal"/>
      <w:lvlText w:val="%4."/>
      <w:lvlJc w:val="left"/>
      <w:pPr>
        <w:ind w:left="2520" w:hanging="360"/>
      </w:pPr>
    </w:lvl>
    <w:lvl w:ilvl="4" w:tplc="1FF08AB2" w:tentative="1">
      <w:start w:val="1"/>
      <w:numFmt w:val="lowerLetter"/>
      <w:lvlText w:val="%5."/>
      <w:lvlJc w:val="left"/>
      <w:pPr>
        <w:ind w:left="3240" w:hanging="360"/>
      </w:pPr>
    </w:lvl>
    <w:lvl w:ilvl="5" w:tplc="6A1E8150" w:tentative="1">
      <w:start w:val="1"/>
      <w:numFmt w:val="lowerRoman"/>
      <w:lvlText w:val="%6."/>
      <w:lvlJc w:val="right"/>
      <w:pPr>
        <w:ind w:left="3960" w:hanging="180"/>
      </w:pPr>
    </w:lvl>
    <w:lvl w:ilvl="6" w:tplc="4814A54A" w:tentative="1">
      <w:start w:val="1"/>
      <w:numFmt w:val="decimal"/>
      <w:lvlText w:val="%7."/>
      <w:lvlJc w:val="left"/>
      <w:pPr>
        <w:ind w:left="4680" w:hanging="360"/>
      </w:pPr>
    </w:lvl>
    <w:lvl w:ilvl="7" w:tplc="84AA17B2" w:tentative="1">
      <w:start w:val="1"/>
      <w:numFmt w:val="lowerLetter"/>
      <w:lvlText w:val="%8."/>
      <w:lvlJc w:val="left"/>
      <w:pPr>
        <w:ind w:left="5400" w:hanging="360"/>
      </w:pPr>
    </w:lvl>
    <w:lvl w:ilvl="8" w:tplc="6824B5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B8539A">
      <w:start w:val="1"/>
      <w:numFmt w:val="bullet"/>
      <w:lvlText w:val=""/>
      <w:lvlJc w:val="left"/>
      <w:pPr>
        <w:ind w:left="720" w:hanging="360"/>
      </w:pPr>
      <w:rPr>
        <w:rFonts w:ascii="Symbol" w:hAnsi="Symbol" w:hint="default"/>
      </w:rPr>
    </w:lvl>
    <w:lvl w:ilvl="1" w:tplc="A3047D80" w:tentative="1">
      <w:start w:val="1"/>
      <w:numFmt w:val="bullet"/>
      <w:lvlText w:val="o"/>
      <w:lvlJc w:val="left"/>
      <w:pPr>
        <w:ind w:left="1440" w:hanging="360"/>
      </w:pPr>
      <w:rPr>
        <w:rFonts w:ascii="Courier New" w:hAnsi="Courier New" w:cs="Courier New" w:hint="default"/>
      </w:rPr>
    </w:lvl>
    <w:lvl w:ilvl="2" w:tplc="04EA0520" w:tentative="1">
      <w:start w:val="1"/>
      <w:numFmt w:val="bullet"/>
      <w:lvlText w:val=""/>
      <w:lvlJc w:val="left"/>
      <w:pPr>
        <w:ind w:left="2160" w:hanging="360"/>
      </w:pPr>
      <w:rPr>
        <w:rFonts w:ascii="Wingdings" w:hAnsi="Wingdings" w:hint="default"/>
      </w:rPr>
    </w:lvl>
    <w:lvl w:ilvl="3" w:tplc="17D81DDC" w:tentative="1">
      <w:start w:val="1"/>
      <w:numFmt w:val="bullet"/>
      <w:lvlText w:val=""/>
      <w:lvlJc w:val="left"/>
      <w:pPr>
        <w:ind w:left="2880" w:hanging="360"/>
      </w:pPr>
      <w:rPr>
        <w:rFonts w:ascii="Symbol" w:hAnsi="Symbol" w:hint="default"/>
      </w:rPr>
    </w:lvl>
    <w:lvl w:ilvl="4" w:tplc="DFBEFE72" w:tentative="1">
      <w:start w:val="1"/>
      <w:numFmt w:val="bullet"/>
      <w:lvlText w:val="o"/>
      <w:lvlJc w:val="left"/>
      <w:pPr>
        <w:ind w:left="3600" w:hanging="360"/>
      </w:pPr>
      <w:rPr>
        <w:rFonts w:ascii="Courier New" w:hAnsi="Courier New" w:cs="Courier New" w:hint="default"/>
      </w:rPr>
    </w:lvl>
    <w:lvl w:ilvl="5" w:tplc="E60E67CA" w:tentative="1">
      <w:start w:val="1"/>
      <w:numFmt w:val="bullet"/>
      <w:lvlText w:val=""/>
      <w:lvlJc w:val="left"/>
      <w:pPr>
        <w:ind w:left="4320" w:hanging="360"/>
      </w:pPr>
      <w:rPr>
        <w:rFonts w:ascii="Wingdings" w:hAnsi="Wingdings" w:hint="default"/>
      </w:rPr>
    </w:lvl>
    <w:lvl w:ilvl="6" w:tplc="465EF966" w:tentative="1">
      <w:start w:val="1"/>
      <w:numFmt w:val="bullet"/>
      <w:lvlText w:val=""/>
      <w:lvlJc w:val="left"/>
      <w:pPr>
        <w:ind w:left="5040" w:hanging="360"/>
      </w:pPr>
      <w:rPr>
        <w:rFonts w:ascii="Symbol" w:hAnsi="Symbol" w:hint="default"/>
      </w:rPr>
    </w:lvl>
    <w:lvl w:ilvl="7" w:tplc="7E60917C" w:tentative="1">
      <w:start w:val="1"/>
      <w:numFmt w:val="bullet"/>
      <w:lvlText w:val="o"/>
      <w:lvlJc w:val="left"/>
      <w:pPr>
        <w:ind w:left="5760" w:hanging="360"/>
      </w:pPr>
      <w:rPr>
        <w:rFonts w:ascii="Courier New" w:hAnsi="Courier New" w:cs="Courier New" w:hint="default"/>
      </w:rPr>
    </w:lvl>
    <w:lvl w:ilvl="8" w:tplc="AB60FD12" w:tentative="1">
      <w:start w:val="1"/>
      <w:numFmt w:val="bullet"/>
      <w:lvlText w:val=""/>
      <w:lvlJc w:val="left"/>
      <w:pPr>
        <w:ind w:left="6480" w:hanging="360"/>
      </w:pPr>
      <w:rPr>
        <w:rFonts w:ascii="Wingdings" w:hAnsi="Wingdings" w:hint="default"/>
      </w:rPr>
    </w:lvl>
  </w:abstractNum>
  <w:num w:numId="1" w16cid:durableId="193882355">
    <w:abstractNumId w:val="1"/>
  </w:num>
  <w:num w:numId="2" w16cid:durableId="163054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6F"/>
    <w:rsid w:val="00423A27"/>
    <w:rsid w:val="00726154"/>
    <w:rsid w:val="00C1416F"/>
    <w:rsid w:val="00D549D0"/>
    <w:rsid w:val="00E064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7D54"/>
  <w15:docId w15:val="{57DDD240-8060-4E15-8ABB-CD43C5E0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14391</Words>
  <Characters>82033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2024-06-19T19:03:00Z</dcterms:created>
  <dcterms:modified xsi:type="dcterms:W3CDTF">2024-06-19T19:07:00Z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