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9F331" w14:textId="77777777" w:rsidR="00460D43" w:rsidRDefault="00C94428">
      <w:pPr>
        <w:pStyle w:val="Heading1"/>
        <w:rPr>
          <w:rFonts w:cs="Arial"/>
        </w:rPr>
      </w:pPr>
      <w:bookmarkStart w:id="0" w:name="PRMS_RIName"/>
      <w:r>
        <w:rPr>
          <w:rFonts w:cs="Arial"/>
        </w:rPr>
        <w:t>Waihi Lifecare (2018) Limited - Waihi Lifecare</w:t>
      </w:r>
      <w:bookmarkEnd w:id="0"/>
    </w:p>
    <w:p w14:paraId="1CB389CD" w14:textId="77777777" w:rsidR="00460D43" w:rsidRDefault="00C94428">
      <w:pPr>
        <w:pStyle w:val="Heading2"/>
        <w:spacing w:after="0"/>
        <w:rPr>
          <w:rFonts w:cs="Arial"/>
        </w:rPr>
      </w:pPr>
      <w:r>
        <w:rPr>
          <w:rFonts w:cs="Arial"/>
        </w:rPr>
        <w:t>Introduction</w:t>
      </w:r>
    </w:p>
    <w:p w14:paraId="2EBA3FA3" w14:textId="77777777" w:rsidR="00460D43" w:rsidRDefault="00C94428">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3A28129A" w14:textId="77777777" w:rsidR="00460D43" w:rsidRDefault="00C94428">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2E5E753D" w14:textId="77777777" w:rsidR="00460D43" w:rsidRDefault="00C94428">
      <w:pPr>
        <w:spacing w:before="240"/>
        <w:rPr>
          <w:rFonts w:cs="Arial"/>
        </w:rPr>
      </w:pPr>
      <w:r>
        <w:rPr>
          <w:rFonts w:cs="Arial"/>
          <w:lang w:eastAsia="en-NZ"/>
        </w:rPr>
        <w:t xml:space="preserve">The abbreviations used </w:t>
      </w:r>
      <w:r>
        <w:rPr>
          <w:rFonts w:cs="Arial"/>
          <w:lang w:eastAsia="en-NZ"/>
        </w:rPr>
        <w:t xml:space="preserve">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8C47016" w14:textId="77777777" w:rsidR="00460D43" w:rsidRDefault="00C94428"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230CEE69" w14:textId="77777777" w:rsidR="00460D43" w:rsidRDefault="00C94428">
      <w:pPr>
        <w:spacing w:before="240" w:after="240"/>
        <w:rPr>
          <w:rFonts w:cs="Arial"/>
          <w:lang w:eastAsia="en-NZ"/>
        </w:rPr>
      </w:pPr>
      <w:r>
        <w:rPr>
          <w:rFonts w:cs="Arial"/>
          <w:lang w:eastAsia="en-NZ"/>
        </w:rPr>
        <w:t>The specifics of this audit included:</w:t>
      </w:r>
    </w:p>
    <w:p w14:paraId="4222F3B5" w14:textId="77777777" w:rsidR="009D18F5" w:rsidRPr="009D18F5" w:rsidRDefault="00C94428" w:rsidP="009D18F5">
      <w:pPr>
        <w:pBdr>
          <w:top w:val="single" w:sz="4" w:space="1" w:color="auto"/>
          <w:left w:val="single" w:sz="4" w:space="4" w:color="auto"/>
          <w:bottom w:val="single" w:sz="4" w:space="1" w:color="auto"/>
          <w:right w:val="single" w:sz="4" w:space="4" w:color="auto"/>
        </w:pBdr>
        <w:rPr>
          <w:rFonts w:cs="Arial"/>
        </w:rPr>
      </w:pPr>
    </w:p>
    <w:p w14:paraId="51EC3E1F" w14:textId="77777777" w:rsidR="005A5115" w:rsidRPr="009418D4" w:rsidRDefault="00C94428"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Waihi Lifecare (2018) Limited</w:t>
      </w:r>
      <w:bookmarkEnd w:id="4"/>
    </w:p>
    <w:p w14:paraId="6F17FD28" w14:textId="77777777" w:rsidR="005A5115" w:rsidRPr="009418D4" w:rsidRDefault="00C9442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w:t>
      </w:r>
      <w:r w:rsidRPr="009D18F5">
        <w:rPr>
          <w:rFonts w:cs="Arial"/>
          <w:b/>
        </w:rPr>
        <w:t>emises audited:</w:t>
      </w:r>
      <w:r w:rsidRPr="009418D4">
        <w:rPr>
          <w:rFonts w:cs="Arial"/>
        </w:rPr>
        <w:tab/>
      </w:r>
      <w:bookmarkStart w:id="5" w:name="PRMS_PremisesAudited"/>
      <w:r>
        <w:rPr>
          <w:rFonts w:cs="Arial"/>
        </w:rPr>
        <w:t>Waihi Lifecare</w:t>
      </w:r>
      <w:bookmarkEnd w:id="5"/>
    </w:p>
    <w:p w14:paraId="0657D5D4" w14:textId="77777777" w:rsidR="005A5115" w:rsidRPr="009418D4" w:rsidRDefault="00C9442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72B2E7E0" w14:textId="77777777" w:rsidR="005A5115" w:rsidRPr="009418D4" w:rsidRDefault="00C9442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7 March 2024</w:t>
      </w:r>
      <w:bookmarkEnd w:id="7"/>
      <w:r w:rsidRPr="009418D4">
        <w:rPr>
          <w:rFonts w:cs="Arial"/>
        </w:rPr>
        <w:tab/>
        <w:t xml:space="preserve">End date: </w:t>
      </w:r>
      <w:bookmarkStart w:id="8" w:name="AuditEndDate"/>
      <w:r>
        <w:rPr>
          <w:rFonts w:cs="Arial"/>
        </w:rPr>
        <w:t xml:space="preserve">7 March </w:t>
      </w:r>
      <w:r>
        <w:rPr>
          <w:rFonts w:cs="Arial"/>
        </w:rPr>
        <w:t>2024</w:t>
      </w:r>
      <w:bookmarkEnd w:id="8"/>
    </w:p>
    <w:p w14:paraId="54766F9D" w14:textId="77777777" w:rsidR="005A5115" w:rsidRPr="009418D4" w:rsidRDefault="00C94428"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EA4C1F6" w14:textId="77777777" w:rsidR="00BA1D1C" w:rsidRPr="009418D4" w:rsidRDefault="00C94428"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51</w:t>
      </w:r>
      <w:bookmarkEnd w:id="10"/>
    </w:p>
    <w:p w14:paraId="71B1D1BB" w14:textId="77777777" w:rsidR="009D18F5" w:rsidRDefault="00C94428" w:rsidP="009D18F5">
      <w:pPr>
        <w:pBdr>
          <w:top w:val="single" w:sz="4" w:space="1" w:color="auto"/>
          <w:left w:val="single" w:sz="4" w:space="4" w:color="auto"/>
          <w:bottom w:val="single" w:sz="4" w:space="1" w:color="auto"/>
          <w:right w:val="single" w:sz="4" w:space="4" w:color="auto"/>
        </w:pBdr>
        <w:rPr>
          <w:rFonts w:cs="Arial"/>
          <w:lang w:eastAsia="en-NZ"/>
        </w:rPr>
      </w:pPr>
    </w:p>
    <w:p w14:paraId="4DC7EB31" w14:textId="77777777" w:rsidR="00460D43" w:rsidRDefault="00C94428">
      <w:pPr>
        <w:pStyle w:val="Heading1"/>
        <w:rPr>
          <w:rFonts w:cs="Arial"/>
        </w:rPr>
      </w:pPr>
      <w:r>
        <w:rPr>
          <w:rFonts w:cs="Arial"/>
        </w:rPr>
        <w:lastRenderedPageBreak/>
        <w:t>Executive summary of the audit</w:t>
      </w:r>
    </w:p>
    <w:p w14:paraId="0996A52C" w14:textId="77777777" w:rsidR="00460D43" w:rsidRDefault="00C94428">
      <w:pPr>
        <w:pStyle w:val="Heading2"/>
        <w:rPr>
          <w:rFonts w:cs="Arial"/>
        </w:rPr>
      </w:pPr>
      <w:r>
        <w:rPr>
          <w:rFonts w:cs="Arial"/>
        </w:rPr>
        <w:t>Introduction</w:t>
      </w:r>
    </w:p>
    <w:p w14:paraId="734B51D0" w14:textId="77777777" w:rsidR="00460D43" w:rsidRDefault="00C94428">
      <w:pPr>
        <w:spacing w:before="240" w:after="240"/>
        <w:rPr>
          <w:rFonts w:cs="Arial"/>
          <w:lang w:eastAsia="en-NZ"/>
        </w:rPr>
      </w:pPr>
      <w:r>
        <w:rPr>
          <w:rFonts w:cs="Arial"/>
          <w:lang w:eastAsia="en-NZ"/>
        </w:rPr>
        <w:t xml:space="preserve">This section contains a summary of the auditors’ findings </w:t>
      </w:r>
      <w:r>
        <w:rPr>
          <w:rFonts w:cs="Arial"/>
          <w:lang w:eastAsia="en-NZ"/>
        </w:rPr>
        <w:t>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B8E87AF" w14:textId="77777777" w:rsidR="00FB778F" w:rsidRDefault="00C94428"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5F80670" w14:textId="77777777" w:rsidR="00FB778F" w:rsidRDefault="00C94428"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71BC390" w14:textId="77777777" w:rsidR="00FB778F" w:rsidRDefault="00C94428"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xml:space="preserve">│ </w:t>
      </w:r>
      <w:r>
        <w:rPr>
          <w:rFonts w:cs="Arial"/>
          <w:lang w:eastAsia="en-NZ"/>
        </w:rPr>
        <w:t>pathways to wellbeing</w:t>
      </w:r>
    </w:p>
    <w:p w14:paraId="2F2A5317" w14:textId="77777777" w:rsidR="00FB778F" w:rsidRDefault="00C94428"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05C262CA" w14:textId="77777777" w:rsidR="00FB778F" w:rsidRDefault="00C94428"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0D549329" w14:textId="77777777" w:rsidR="00FB778F" w:rsidRDefault="00C94428"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09E5315" w14:textId="77777777" w:rsidR="00460D43" w:rsidRDefault="00C94428">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t>
      </w:r>
      <w:r>
        <w:rPr>
          <w:rFonts w:cs="Arial"/>
          <w:lang w:eastAsia="en-NZ"/>
        </w:rPr>
        <w:t>wing table provides a key to how the indicators are arrived at.</w:t>
      </w:r>
    </w:p>
    <w:p w14:paraId="54E5EF2B" w14:textId="77777777" w:rsidR="00460D43" w:rsidRDefault="00C94428">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BA1D1C" w14:paraId="211C699F" w14:textId="77777777">
        <w:trPr>
          <w:cantSplit/>
          <w:tblHeader/>
        </w:trPr>
        <w:tc>
          <w:tcPr>
            <w:tcW w:w="1260" w:type="dxa"/>
            <w:tcBorders>
              <w:bottom w:val="single" w:sz="4" w:space="0" w:color="000000"/>
            </w:tcBorders>
            <w:vAlign w:val="center"/>
          </w:tcPr>
          <w:p w14:paraId="14153AB6" w14:textId="77777777" w:rsidR="00460D43" w:rsidRDefault="00C94428">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D7A2140" w14:textId="77777777" w:rsidR="00460D43" w:rsidRDefault="00C94428">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15A5285" w14:textId="77777777" w:rsidR="00460D43" w:rsidRDefault="00C94428">
            <w:pPr>
              <w:spacing w:before="60" w:after="60"/>
              <w:rPr>
                <w:rFonts w:eastAsia="Calibri"/>
                <w:b/>
                <w:szCs w:val="24"/>
              </w:rPr>
            </w:pPr>
            <w:r>
              <w:rPr>
                <w:rFonts w:eastAsia="Calibri"/>
                <w:b/>
                <w:szCs w:val="24"/>
              </w:rPr>
              <w:t>Definition</w:t>
            </w:r>
          </w:p>
        </w:tc>
      </w:tr>
      <w:tr w:rsidR="00BA1D1C" w14:paraId="3E8E96BA" w14:textId="77777777">
        <w:trPr>
          <w:cantSplit/>
          <w:trHeight w:val="964"/>
        </w:trPr>
        <w:tc>
          <w:tcPr>
            <w:tcW w:w="1260" w:type="dxa"/>
            <w:tcBorders>
              <w:bottom w:val="single" w:sz="4" w:space="0" w:color="000000"/>
            </w:tcBorders>
            <w:shd w:val="clear" w:color="0066FF" w:fill="0000FF"/>
            <w:vAlign w:val="center"/>
          </w:tcPr>
          <w:p w14:paraId="5A0CC02B" w14:textId="77777777" w:rsidR="00460D43" w:rsidRDefault="00C94428">
            <w:pPr>
              <w:spacing w:before="60" w:after="60"/>
              <w:rPr>
                <w:rFonts w:eastAsia="Calibri"/>
                <w:szCs w:val="24"/>
              </w:rPr>
            </w:pPr>
          </w:p>
        </w:tc>
        <w:tc>
          <w:tcPr>
            <w:tcW w:w="7095" w:type="dxa"/>
            <w:tcBorders>
              <w:bottom w:val="single" w:sz="4" w:space="0" w:color="000000"/>
            </w:tcBorders>
            <w:shd w:val="clear" w:color="auto" w:fill="auto"/>
            <w:vAlign w:val="center"/>
          </w:tcPr>
          <w:p w14:paraId="36350F6F" w14:textId="77777777" w:rsidR="00460D43" w:rsidRDefault="00C94428">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C9DD8B0" w14:textId="77777777" w:rsidR="00460D43" w:rsidRDefault="00C94428">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BA1D1C" w14:paraId="07EACEF5" w14:textId="77777777">
        <w:trPr>
          <w:cantSplit/>
          <w:trHeight w:val="964"/>
        </w:trPr>
        <w:tc>
          <w:tcPr>
            <w:tcW w:w="1260" w:type="dxa"/>
            <w:shd w:val="clear" w:color="33CC33" w:fill="00FF00"/>
            <w:vAlign w:val="center"/>
          </w:tcPr>
          <w:p w14:paraId="7F393FA6" w14:textId="77777777" w:rsidR="00460D43" w:rsidRDefault="00C94428">
            <w:pPr>
              <w:spacing w:before="60" w:after="60"/>
              <w:rPr>
                <w:rFonts w:eastAsia="Calibri"/>
                <w:szCs w:val="24"/>
              </w:rPr>
            </w:pPr>
          </w:p>
        </w:tc>
        <w:tc>
          <w:tcPr>
            <w:tcW w:w="7095" w:type="dxa"/>
            <w:shd w:val="clear" w:color="auto" w:fill="auto"/>
            <w:vAlign w:val="center"/>
          </w:tcPr>
          <w:p w14:paraId="524BBA97" w14:textId="77777777" w:rsidR="00460D43" w:rsidRDefault="00C94428">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E42134A" w14:textId="77777777" w:rsidR="00460D43" w:rsidRDefault="00C94428">
            <w:pPr>
              <w:spacing w:before="60" w:after="60"/>
              <w:ind w:left="50"/>
              <w:rPr>
                <w:rFonts w:eastAsia="Calibri"/>
                <w:szCs w:val="24"/>
              </w:rPr>
            </w:pPr>
            <w:r w:rsidRPr="00FB778F">
              <w:rPr>
                <w:rFonts w:eastAsia="Calibri"/>
                <w:szCs w:val="24"/>
              </w:rPr>
              <w:t>Subsections applicable to this service fully attained</w:t>
            </w:r>
          </w:p>
        </w:tc>
      </w:tr>
      <w:tr w:rsidR="00BA1D1C" w14:paraId="37F76D90" w14:textId="77777777">
        <w:trPr>
          <w:cantSplit/>
          <w:trHeight w:val="964"/>
        </w:trPr>
        <w:tc>
          <w:tcPr>
            <w:tcW w:w="1260" w:type="dxa"/>
            <w:tcBorders>
              <w:bottom w:val="single" w:sz="4" w:space="0" w:color="000000"/>
            </w:tcBorders>
            <w:shd w:val="clear" w:color="auto" w:fill="FFFF00"/>
            <w:vAlign w:val="center"/>
          </w:tcPr>
          <w:p w14:paraId="56125502" w14:textId="77777777" w:rsidR="00460D43" w:rsidRDefault="00C94428">
            <w:pPr>
              <w:spacing w:before="60" w:after="60"/>
              <w:rPr>
                <w:rFonts w:eastAsia="Calibri"/>
                <w:szCs w:val="24"/>
              </w:rPr>
            </w:pPr>
          </w:p>
        </w:tc>
        <w:tc>
          <w:tcPr>
            <w:tcW w:w="7095" w:type="dxa"/>
            <w:shd w:val="clear" w:color="auto" w:fill="auto"/>
            <w:vAlign w:val="center"/>
          </w:tcPr>
          <w:p w14:paraId="18541CEC" w14:textId="77777777" w:rsidR="00460D43" w:rsidRDefault="00C94428">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DE6527D" w14:textId="77777777" w:rsidR="00460D43" w:rsidRDefault="00C94428">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BA1D1C" w14:paraId="593521E8" w14:textId="77777777">
        <w:trPr>
          <w:cantSplit/>
          <w:trHeight w:val="964"/>
        </w:trPr>
        <w:tc>
          <w:tcPr>
            <w:tcW w:w="1260" w:type="dxa"/>
            <w:tcBorders>
              <w:bottom w:val="single" w:sz="4" w:space="0" w:color="000000"/>
            </w:tcBorders>
            <w:shd w:val="clear" w:color="auto" w:fill="FFC800"/>
            <w:vAlign w:val="center"/>
          </w:tcPr>
          <w:p w14:paraId="2A32F35F" w14:textId="77777777" w:rsidR="00460D43" w:rsidRDefault="00C94428">
            <w:pPr>
              <w:spacing w:before="60" w:after="60"/>
              <w:rPr>
                <w:rFonts w:eastAsia="Calibri"/>
                <w:szCs w:val="24"/>
              </w:rPr>
            </w:pPr>
          </w:p>
        </w:tc>
        <w:tc>
          <w:tcPr>
            <w:tcW w:w="7095" w:type="dxa"/>
            <w:tcBorders>
              <w:bottom w:val="single" w:sz="4" w:space="0" w:color="000000"/>
            </w:tcBorders>
            <w:shd w:val="clear" w:color="auto" w:fill="auto"/>
            <w:vAlign w:val="center"/>
          </w:tcPr>
          <w:p w14:paraId="7FAF56FA" w14:textId="77777777" w:rsidR="00460D43" w:rsidRDefault="00C94428">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4A8C25D" w14:textId="77777777" w:rsidR="00460D43" w:rsidRDefault="00C94428">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BA1D1C" w14:paraId="004B506E" w14:textId="77777777">
        <w:trPr>
          <w:cantSplit/>
          <w:trHeight w:val="964"/>
        </w:trPr>
        <w:tc>
          <w:tcPr>
            <w:tcW w:w="1260" w:type="dxa"/>
            <w:shd w:val="clear" w:color="auto" w:fill="FF0000"/>
            <w:vAlign w:val="center"/>
          </w:tcPr>
          <w:p w14:paraId="66629CFE" w14:textId="77777777" w:rsidR="00460D43" w:rsidRDefault="00C94428">
            <w:pPr>
              <w:spacing w:before="60" w:after="60"/>
              <w:rPr>
                <w:rFonts w:eastAsia="Calibri"/>
                <w:szCs w:val="24"/>
              </w:rPr>
            </w:pPr>
          </w:p>
        </w:tc>
        <w:tc>
          <w:tcPr>
            <w:tcW w:w="7095" w:type="dxa"/>
            <w:shd w:val="clear" w:color="auto" w:fill="auto"/>
            <w:vAlign w:val="center"/>
          </w:tcPr>
          <w:p w14:paraId="702DA2B3" w14:textId="77777777" w:rsidR="00460D43" w:rsidRDefault="00C94428">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1C7927C" w14:textId="77777777" w:rsidR="00460D43" w:rsidRDefault="00C94428">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645933F9" w14:textId="77777777" w:rsidR="00460D43" w:rsidRDefault="00C94428">
      <w:pPr>
        <w:pStyle w:val="Heading2"/>
        <w:spacing w:after="0"/>
        <w:rPr>
          <w:rFonts w:cs="Arial"/>
        </w:rPr>
      </w:pPr>
      <w:r>
        <w:rPr>
          <w:rFonts w:cs="Arial"/>
        </w:rPr>
        <w:t>General overview of the audit</w:t>
      </w:r>
    </w:p>
    <w:p w14:paraId="4D2BB126" w14:textId="77777777" w:rsidR="00E536CC" w:rsidRDefault="00C94428">
      <w:pPr>
        <w:spacing w:before="240" w:line="276" w:lineRule="auto"/>
        <w:rPr>
          <w:rFonts w:eastAsia="Calibri"/>
        </w:rPr>
      </w:pPr>
      <w:bookmarkStart w:id="13" w:name="GeneralOverview"/>
      <w:r w:rsidRPr="00A4268A">
        <w:rPr>
          <w:rFonts w:eastAsia="Calibri"/>
        </w:rPr>
        <w:t xml:space="preserve">Waihi Lifecare provides rest home and hospital services for up to 54 residents. The service is in private ownership and managed by a facility manager who is supported by a </w:t>
      </w:r>
      <w:r w:rsidRPr="00A4268A">
        <w:rPr>
          <w:rFonts w:eastAsia="Calibri"/>
        </w:rPr>
        <w:t>clinical lead nurse.</w:t>
      </w:r>
    </w:p>
    <w:p w14:paraId="2037D0EE" w14:textId="77777777" w:rsidR="00BA1D1C" w:rsidRPr="00A4268A" w:rsidRDefault="00C94428">
      <w:pPr>
        <w:spacing w:before="240" w:line="276" w:lineRule="auto"/>
        <w:rPr>
          <w:rFonts w:eastAsia="Calibri"/>
        </w:rPr>
      </w:pPr>
      <w:r w:rsidRPr="00A4268A">
        <w:rPr>
          <w:rFonts w:eastAsia="Calibri"/>
        </w:rPr>
        <w:t>The most significant change for the provider since the August 2023 partial provisional audit has been the cessation of primary maternity services and reconfiguration of the birthing unit into an area suitable for 11 residential age car</w:t>
      </w:r>
      <w:r w:rsidRPr="00A4268A">
        <w:rPr>
          <w:rFonts w:eastAsia="Calibri"/>
        </w:rPr>
        <w:t>e beds. This area now contains rooms that are suitable to accommodate 10 dual purpose (rest home or hospital) beds and one dedicated rest home bed.  It is anticipated that works will be completed by the end of March 2024.  The provider has also reconfigure</w:t>
      </w:r>
      <w:r w:rsidRPr="00A4268A">
        <w:rPr>
          <w:rFonts w:eastAsia="Calibri"/>
        </w:rPr>
        <w:t>d two single rest home bedrooms into two double dual-purpose rooms in December 2023 which increased the number of dual-purpose beds available to eight. The impact of these changes was assessed during the audit.</w:t>
      </w:r>
    </w:p>
    <w:p w14:paraId="1856F0F0" w14:textId="77777777" w:rsidR="00BA1D1C" w:rsidRPr="00A4268A" w:rsidRDefault="00C94428">
      <w:pPr>
        <w:spacing w:before="240" w:line="276" w:lineRule="auto"/>
        <w:rPr>
          <w:rFonts w:eastAsia="Calibri"/>
        </w:rPr>
      </w:pPr>
      <w:r w:rsidRPr="00A4268A">
        <w:rPr>
          <w:rFonts w:eastAsia="Calibri"/>
        </w:rPr>
        <w:t>This surveillance audit was conducted against</w:t>
      </w:r>
      <w:r w:rsidRPr="00A4268A">
        <w:rPr>
          <w:rFonts w:eastAsia="Calibri"/>
        </w:rPr>
        <w:t xml:space="preserve"> a subset of Ngā Paerewa Health and Disability Services Standard NZS 8134:2021 and the provider’s agreement with Te Whatu Ora. The audit process included a sample of residents’ and staff files, observations, and interviews with residents, family/whānau mem</w:t>
      </w:r>
      <w:r w:rsidRPr="00A4268A">
        <w:rPr>
          <w:rFonts w:eastAsia="Calibri"/>
        </w:rPr>
        <w:t>bers, a director, management, and staff. No general practitioner was available or had time for an interview. Residents and family/whānau were complimentary about the care provided.</w:t>
      </w:r>
    </w:p>
    <w:p w14:paraId="5A65DCAF" w14:textId="77777777" w:rsidR="00BA1D1C" w:rsidRPr="00A4268A" w:rsidRDefault="00C94428">
      <w:pPr>
        <w:spacing w:before="240" w:line="276" w:lineRule="auto"/>
        <w:rPr>
          <w:rFonts w:eastAsia="Calibri"/>
        </w:rPr>
      </w:pPr>
      <w:r w:rsidRPr="00A4268A">
        <w:rPr>
          <w:rFonts w:eastAsia="Calibri"/>
        </w:rPr>
        <w:t>Four of the five corrective actions identified at the partial provisional a</w:t>
      </w:r>
      <w:r w:rsidRPr="00A4268A">
        <w:rPr>
          <w:rFonts w:eastAsia="Calibri"/>
        </w:rPr>
        <w:t>udit have been resolved. These include, staffing, equipment, call bells, aspects of the external and internal environments including designated areas for hazardous waste, cleaning equipment and the safe storage of chemicals. The existing fire evacuation pl</w:t>
      </w:r>
      <w:r w:rsidRPr="00A4268A">
        <w:rPr>
          <w:rFonts w:eastAsia="Calibri"/>
        </w:rPr>
        <w:t xml:space="preserve">an still needs to be reviewed by Fire and Emergency New Zealand (FENZ) to determine its suitability and confirm approval. </w:t>
      </w:r>
    </w:p>
    <w:p w14:paraId="10D019F1" w14:textId="77777777" w:rsidR="00BA1D1C" w:rsidRPr="00A4268A" w:rsidRDefault="00C94428">
      <w:pPr>
        <w:spacing w:before="240" w:line="276" w:lineRule="auto"/>
        <w:rPr>
          <w:rFonts w:eastAsia="Calibri"/>
        </w:rPr>
      </w:pPr>
      <w:r w:rsidRPr="00A4268A">
        <w:rPr>
          <w:rFonts w:eastAsia="Calibri"/>
        </w:rPr>
        <w:lastRenderedPageBreak/>
        <w:t>Three areas for improvement were identified at this audit. These relate to the timeliness of initial assessments, interRAI and cultur</w:t>
      </w:r>
      <w:r w:rsidRPr="00A4268A">
        <w:rPr>
          <w:rFonts w:eastAsia="Calibri"/>
        </w:rPr>
        <w:t xml:space="preserve">al assessments, goals of care, review of care plans and the annual review of the infection control programme.   </w:t>
      </w:r>
    </w:p>
    <w:bookmarkEnd w:id="13"/>
    <w:p w14:paraId="1A7FE967" w14:textId="77777777" w:rsidR="00BA1D1C" w:rsidRPr="00A4268A" w:rsidRDefault="00BA1D1C">
      <w:pPr>
        <w:spacing w:before="240" w:line="276" w:lineRule="auto"/>
        <w:rPr>
          <w:rFonts w:eastAsia="Calibri"/>
        </w:rPr>
      </w:pPr>
    </w:p>
    <w:p w14:paraId="3829C665" w14:textId="77777777" w:rsidR="00460D43" w:rsidRDefault="00C94428"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A1D1C" w14:paraId="657EF5E1" w14:textId="77777777" w:rsidTr="00A4268A">
        <w:trPr>
          <w:cantSplit/>
        </w:trPr>
        <w:tc>
          <w:tcPr>
            <w:tcW w:w="10206" w:type="dxa"/>
            <w:vAlign w:val="center"/>
          </w:tcPr>
          <w:p w14:paraId="35ACF073" w14:textId="77777777" w:rsidR="00FB778F" w:rsidRPr="00FB778F" w:rsidRDefault="00C94428"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w:t>
            </w:r>
            <w:r w:rsidRPr="00FB778F">
              <w:rPr>
                <w:rFonts w:eastAsia="Calibri"/>
              </w:rPr>
              <w:t xml:space="preserve"> comply with consumer rights legislation. Services are provided in a manner that is respectful of people’s rights, facilitates informed choice, minimises harm,</w:t>
            </w:r>
          </w:p>
          <w:p w14:paraId="46914ADC" w14:textId="77777777" w:rsidR="00460D43" w:rsidRPr="00621629" w:rsidRDefault="00C94428"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EF1C704" w14:textId="77777777" w:rsidR="00460D43" w:rsidRPr="00621629" w:rsidRDefault="00C94428"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C6CD047" w14:textId="77777777" w:rsidR="00460D43" w:rsidRPr="00621629" w:rsidRDefault="00C94428" w:rsidP="008F3634">
            <w:pPr>
              <w:spacing w:before="60" w:after="60" w:line="276" w:lineRule="auto"/>
              <w:rPr>
                <w:rFonts w:eastAsia="Calibri"/>
              </w:rPr>
            </w:pPr>
            <w:bookmarkStart w:id="15" w:name="IndicatorDescription1_1"/>
            <w:bookmarkEnd w:id="15"/>
            <w:r>
              <w:t xml:space="preserve">Subsections applicable to this </w:t>
            </w:r>
            <w:r>
              <w:t>service fully attained.</w:t>
            </w:r>
          </w:p>
        </w:tc>
      </w:tr>
    </w:tbl>
    <w:p w14:paraId="52AB9A85" w14:textId="77777777" w:rsidR="00460D43" w:rsidRDefault="00C94428">
      <w:pPr>
        <w:spacing w:before="240" w:line="276" w:lineRule="auto"/>
        <w:rPr>
          <w:rFonts w:eastAsia="Calibri"/>
        </w:rPr>
      </w:pPr>
      <w:bookmarkStart w:id="16" w:name="ConsumerRights"/>
      <w:r w:rsidRPr="00A4268A">
        <w:rPr>
          <w:rFonts w:eastAsia="Calibri"/>
        </w:rPr>
        <w:t xml:space="preserve">The organisation is aware of its responsibilities under Te Tiriti o Waitangi and endeavours to enact the principles into everyday practice. </w:t>
      </w:r>
    </w:p>
    <w:p w14:paraId="1C53BBBB" w14:textId="77777777" w:rsidR="00BA1D1C" w:rsidRPr="00A4268A" w:rsidRDefault="00C94428">
      <w:pPr>
        <w:spacing w:before="240" w:line="276" w:lineRule="auto"/>
        <w:rPr>
          <w:rFonts w:eastAsia="Calibri"/>
        </w:rPr>
      </w:pPr>
      <w:r w:rsidRPr="00A4268A">
        <w:rPr>
          <w:rFonts w:eastAsia="Calibri"/>
        </w:rPr>
        <w:t>Mana motuhake is respected and Māori-specific care plans based on Te Whare Tapa Whā are av</w:t>
      </w:r>
      <w:r w:rsidRPr="00A4268A">
        <w:rPr>
          <w:rFonts w:eastAsia="Calibri"/>
        </w:rPr>
        <w:t xml:space="preserve">ailable. Pasifika policies and procedures are aligned with national strategies embracing world views, cultural and spiritual beliefs. </w:t>
      </w:r>
    </w:p>
    <w:p w14:paraId="5355BF7D" w14:textId="77777777" w:rsidR="00BA1D1C" w:rsidRPr="00A4268A" w:rsidRDefault="00C94428">
      <w:pPr>
        <w:spacing w:before="240" w:line="276" w:lineRule="auto"/>
        <w:rPr>
          <w:rFonts w:eastAsia="Calibri"/>
        </w:rPr>
      </w:pPr>
      <w:r w:rsidRPr="00A4268A">
        <w:rPr>
          <w:rFonts w:eastAsia="Calibri"/>
        </w:rPr>
        <w:t>The organisation maintains a socially inclusive and person-centred service which is aligned with the Code of Health and D</w:t>
      </w:r>
      <w:r w:rsidRPr="00A4268A">
        <w:rPr>
          <w:rFonts w:eastAsia="Calibri"/>
        </w:rPr>
        <w:t>isability Services Consumers’ Rights (the Code). Information is communicated in a manner that enables understanding and promotes informed choice. Consent is obtained where and when required. Whānau and legal representatives are involved in consent processe</w:t>
      </w:r>
      <w:r w:rsidRPr="00A4268A">
        <w:rPr>
          <w:rFonts w:eastAsia="Calibri"/>
        </w:rPr>
        <w:t>s that comply with the law. Residents and family members/whānau confirmed that they are always treated with dignity and respect. There was no evidence of abuse, neglect, or discrimination.</w:t>
      </w:r>
    </w:p>
    <w:p w14:paraId="1B9FEDFD" w14:textId="77777777" w:rsidR="00BA1D1C" w:rsidRPr="00A4268A" w:rsidRDefault="00C94428">
      <w:pPr>
        <w:spacing w:before="240" w:line="276" w:lineRule="auto"/>
        <w:rPr>
          <w:rFonts w:eastAsia="Calibri"/>
        </w:rPr>
      </w:pPr>
      <w:r w:rsidRPr="00A4268A">
        <w:rPr>
          <w:rFonts w:eastAsia="Calibri"/>
        </w:rPr>
        <w:t>The complaints process aligns with consumer rights legislation.</w:t>
      </w:r>
    </w:p>
    <w:bookmarkEnd w:id="16"/>
    <w:p w14:paraId="6179B2A3" w14:textId="77777777" w:rsidR="00BA1D1C" w:rsidRPr="00A4268A" w:rsidRDefault="00BA1D1C">
      <w:pPr>
        <w:spacing w:before="240" w:line="276" w:lineRule="auto"/>
        <w:rPr>
          <w:rFonts w:eastAsia="Calibri"/>
        </w:rPr>
      </w:pPr>
    </w:p>
    <w:p w14:paraId="14C70C1B" w14:textId="77777777" w:rsidR="00460D43" w:rsidRDefault="00C94428" w:rsidP="000E6E02">
      <w:pPr>
        <w:pStyle w:val="Heading2"/>
        <w:spacing w:before="0"/>
        <w:rPr>
          <w:rFonts w:cs="Arial"/>
        </w:rPr>
      </w:pPr>
      <w:r w:rsidRPr="00FB778F">
        <w:rPr>
          <w:rFonts w:cs="Arial"/>
        </w:rPr>
        <w:lastRenderedPageBreak/>
        <w:t>Hu</w:t>
      </w:r>
      <w:r w:rsidRPr="00FB778F">
        <w:rPr>
          <w:rFonts w:cs="Arial"/>
        </w:rPr>
        <w:t xml:space="preserve">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A1D1C" w14:paraId="734B7155" w14:textId="77777777" w:rsidTr="00A4268A">
        <w:trPr>
          <w:cantSplit/>
        </w:trPr>
        <w:tc>
          <w:tcPr>
            <w:tcW w:w="10206" w:type="dxa"/>
            <w:vAlign w:val="center"/>
          </w:tcPr>
          <w:p w14:paraId="33282912" w14:textId="77777777" w:rsidR="00460D43" w:rsidRPr="00621629" w:rsidRDefault="00C94428"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6BC7966" w14:textId="77777777" w:rsidR="00460D43" w:rsidRPr="00621629" w:rsidRDefault="00C94428"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789FA13" w14:textId="77777777" w:rsidR="00460D43" w:rsidRPr="00621629" w:rsidRDefault="00C94428" w:rsidP="00621629">
            <w:pPr>
              <w:spacing w:before="60" w:after="60" w:line="276" w:lineRule="auto"/>
              <w:rPr>
                <w:rFonts w:eastAsia="Calibri"/>
              </w:rPr>
            </w:pPr>
            <w:bookmarkStart w:id="18" w:name="IndicatorDescription1_2"/>
            <w:bookmarkEnd w:id="18"/>
            <w:r>
              <w:t xml:space="preserve">Subsections applicable to this service fully </w:t>
            </w:r>
            <w:r>
              <w:t>attained.</w:t>
            </w:r>
          </w:p>
        </w:tc>
      </w:tr>
    </w:tbl>
    <w:p w14:paraId="3047C031" w14:textId="77777777" w:rsidR="00460D43" w:rsidRDefault="00C94428">
      <w:pPr>
        <w:spacing w:before="240" w:line="276" w:lineRule="auto"/>
        <w:rPr>
          <w:rFonts w:eastAsia="Calibri"/>
        </w:rPr>
      </w:pPr>
      <w:bookmarkStart w:id="19" w:name="OrganisationalManagement"/>
      <w:r w:rsidRPr="00A4268A">
        <w:rPr>
          <w:rFonts w:eastAsia="Calibri"/>
        </w:rPr>
        <w:t>The directors and managers assume accountability for delivering a high-quality service with the support of clinical staff. Services are provided in ways that honour Te Tiriti o Waitangi and improve outcomes for Māori and people with disabilities</w:t>
      </w:r>
      <w:r w:rsidRPr="00A4268A">
        <w:rPr>
          <w:rFonts w:eastAsia="Calibri"/>
        </w:rPr>
        <w:t>. There were no perceivable barriers or equity issues for Māori.  Planning ensures the purpose, values, direction, scope, and goals for the organisation are defined. Organisational performance is monitored and reviewed at planned intervals. The service has</w:t>
      </w:r>
      <w:r w:rsidRPr="00A4268A">
        <w:rPr>
          <w:rFonts w:eastAsia="Calibri"/>
        </w:rPr>
        <w:t xml:space="preserve"> an organisation-wide approach to quality and risk. Quality and risk management systems are focused on improving service delivery and care. Staff are involved in quality activities through internal audits and staff meetings. Residents and families/whānau p</w:t>
      </w:r>
      <w:r w:rsidRPr="00A4268A">
        <w:rPr>
          <w:rFonts w:eastAsia="Calibri"/>
        </w:rPr>
        <w:t xml:space="preserve">rovide feedback via resident meetings, through the annual resident/relative satisfaction survey and other surveys specific to meals and activities. There was evidence that feedback received via these processes was acted on. </w:t>
      </w:r>
    </w:p>
    <w:p w14:paraId="4BA4EA72" w14:textId="77777777" w:rsidR="00BA1D1C" w:rsidRPr="00A4268A" w:rsidRDefault="00C94428">
      <w:pPr>
        <w:spacing w:before="240" w:line="276" w:lineRule="auto"/>
        <w:rPr>
          <w:rFonts w:eastAsia="Calibri"/>
        </w:rPr>
      </w:pPr>
      <w:r w:rsidRPr="00A4268A">
        <w:rPr>
          <w:rFonts w:eastAsia="Calibri"/>
        </w:rPr>
        <w:t xml:space="preserve">Adverse events are documented, </w:t>
      </w:r>
      <w:r w:rsidRPr="00A4268A">
        <w:rPr>
          <w:rFonts w:eastAsia="Calibri"/>
        </w:rPr>
        <w:t xml:space="preserve">investigated and analysed to determine if improvements can occur. Corrective actions are implemented to prevent recurrence where possible. The service complies with regulatory reporting obligations.  </w:t>
      </w:r>
    </w:p>
    <w:p w14:paraId="10C2FEAB" w14:textId="77777777" w:rsidR="00BA1D1C" w:rsidRPr="00A4268A" w:rsidRDefault="00C94428">
      <w:pPr>
        <w:spacing w:before="240" w:line="276" w:lineRule="auto"/>
        <w:rPr>
          <w:rFonts w:eastAsia="Calibri"/>
        </w:rPr>
      </w:pPr>
      <w:r w:rsidRPr="00A4268A">
        <w:rPr>
          <w:rFonts w:eastAsia="Calibri"/>
        </w:rPr>
        <w:t>Staffing levels and skill mix meet the cultural and cli</w:t>
      </w:r>
      <w:r w:rsidRPr="00A4268A">
        <w:rPr>
          <w:rFonts w:eastAsia="Calibri"/>
        </w:rPr>
        <w:t>nical needs of residents. Staff are appointed, orientated, and managed using current good practice. Staff attend regular education/training and individual competencies are assessed.</w:t>
      </w:r>
    </w:p>
    <w:bookmarkEnd w:id="19"/>
    <w:p w14:paraId="23B0A523" w14:textId="77777777" w:rsidR="00BA1D1C" w:rsidRPr="00A4268A" w:rsidRDefault="00BA1D1C">
      <w:pPr>
        <w:spacing w:before="240" w:line="276" w:lineRule="auto"/>
        <w:rPr>
          <w:rFonts w:eastAsia="Calibri"/>
        </w:rPr>
      </w:pPr>
    </w:p>
    <w:p w14:paraId="4ABC0056" w14:textId="77777777" w:rsidR="00460D43" w:rsidRDefault="00C94428"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A1D1C" w14:paraId="6528C33D" w14:textId="77777777" w:rsidTr="00A4268A">
        <w:trPr>
          <w:cantSplit/>
        </w:trPr>
        <w:tc>
          <w:tcPr>
            <w:tcW w:w="10206" w:type="dxa"/>
            <w:vAlign w:val="center"/>
          </w:tcPr>
          <w:p w14:paraId="2965CE2B" w14:textId="77777777" w:rsidR="00460D43" w:rsidRPr="00621629" w:rsidRDefault="00C94428"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w:t>
            </w:r>
            <w:r w:rsidRPr="00FB778F">
              <w:rPr>
                <w:rFonts w:eastAsia="Calibri"/>
              </w:rPr>
              <w:t>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41A302D1" w14:textId="77777777" w:rsidR="00460D43" w:rsidRPr="00621629" w:rsidRDefault="00C94428"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5AFD26F" w14:textId="77777777" w:rsidR="00460D43" w:rsidRPr="00621629" w:rsidRDefault="00C94428" w:rsidP="00621629">
            <w:pPr>
              <w:spacing w:before="60" w:after="60" w:line="276" w:lineRule="auto"/>
              <w:rPr>
                <w:rFonts w:eastAsia="Calibri"/>
              </w:rPr>
            </w:pPr>
            <w:bookmarkStart w:id="21" w:name="IndicatorDescription1_3"/>
            <w:bookmarkEnd w:id="21"/>
            <w:r>
              <w:t>Some subse</w:t>
            </w:r>
            <w:r>
              <w:t>ctions applicable to this service partially attained and of medium or high risk and/or unattained and of low risk.</w:t>
            </w:r>
          </w:p>
        </w:tc>
      </w:tr>
    </w:tbl>
    <w:p w14:paraId="67D6EFF9" w14:textId="77777777" w:rsidR="00E536CC" w:rsidRPr="005E14A4" w:rsidRDefault="00C94428" w:rsidP="00621629">
      <w:pPr>
        <w:spacing w:before="240" w:line="276" w:lineRule="auto"/>
        <w:rPr>
          <w:rFonts w:eastAsia="Calibri"/>
        </w:rPr>
      </w:pPr>
      <w:bookmarkStart w:id="22" w:name="ContinuumOfServiceDelivery"/>
      <w:r w:rsidRPr="00A4268A">
        <w:rPr>
          <w:rFonts w:eastAsia="Calibri"/>
        </w:rPr>
        <w:t>Residents’ assessments and care plans are completed by suitably qualified personnel. The service works in partnership with the residents and their family/whānau to assess, plan and evaluate care. The care plans demonstrated appropriate interventions and in</w:t>
      </w:r>
      <w:r w:rsidRPr="00A4268A">
        <w:rPr>
          <w:rFonts w:eastAsia="Calibri"/>
        </w:rPr>
        <w:t>dividualised care. Residents are reviewed regularly and referred to specialist services and to other health services as required. The transition, transfer, or discharge plan is documented. Transfers to other healthcare services and discharges are managed i</w:t>
      </w:r>
      <w:r w:rsidRPr="00A4268A">
        <w:rPr>
          <w:rFonts w:eastAsia="Calibri"/>
        </w:rPr>
        <w:t xml:space="preserve">n an appropriate manner to allow residents’ safety and continuity of care. </w:t>
      </w:r>
    </w:p>
    <w:p w14:paraId="3BC1041D" w14:textId="77777777" w:rsidR="00BA1D1C" w:rsidRPr="00A4268A" w:rsidRDefault="00C94428" w:rsidP="00621629">
      <w:pPr>
        <w:spacing w:before="240" w:line="276" w:lineRule="auto"/>
        <w:rPr>
          <w:rFonts w:eastAsia="Calibri"/>
        </w:rPr>
      </w:pPr>
      <w:r w:rsidRPr="00A4268A">
        <w:rPr>
          <w:rFonts w:eastAsia="Calibri"/>
        </w:rPr>
        <w:t>The medicine management system is appropriate for the size and scope of the service. Medicines are safely stored and administered by staff who have current medication administratio</w:t>
      </w:r>
      <w:r w:rsidRPr="00A4268A">
        <w:rPr>
          <w:rFonts w:eastAsia="Calibri"/>
        </w:rPr>
        <w:t xml:space="preserve">n competency.   </w:t>
      </w:r>
    </w:p>
    <w:p w14:paraId="76C7B282" w14:textId="77777777" w:rsidR="00BA1D1C" w:rsidRPr="00A4268A" w:rsidRDefault="00C94428" w:rsidP="00621629">
      <w:pPr>
        <w:spacing w:before="240" w:line="276" w:lineRule="auto"/>
        <w:rPr>
          <w:rFonts w:eastAsia="Calibri"/>
        </w:rPr>
      </w:pPr>
      <w:r w:rsidRPr="00A4268A">
        <w:rPr>
          <w:rFonts w:eastAsia="Calibri"/>
        </w:rPr>
        <w:t>A holistic approach to menu development is adopted ensuring food preferences, dietary needs, intolerances, allergies, and cultural preferences are undertaken in consultation with residents and family/whānau where appropriate. Residents ver</w:t>
      </w:r>
      <w:r w:rsidRPr="00A4268A">
        <w:rPr>
          <w:rFonts w:eastAsia="Calibri"/>
        </w:rPr>
        <w:t>ified satisfaction with meals.</w:t>
      </w:r>
    </w:p>
    <w:bookmarkEnd w:id="22"/>
    <w:p w14:paraId="66182D98" w14:textId="77777777" w:rsidR="00BA1D1C" w:rsidRPr="00A4268A" w:rsidRDefault="00BA1D1C" w:rsidP="00621629">
      <w:pPr>
        <w:spacing w:before="240" w:line="276" w:lineRule="auto"/>
        <w:rPr>
          <w:rFonts w:eastAsia="Calibri"/>
        </w:rPr>
      </w:pPr>
    </w:p>
    <w:p w14:paraId="489A1089" w14:textId="77777777" w:rsidR="00460D43" w:rsidRDefault="00C94428"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A1D1C" w14:paraId="4F81E0A4" w14:textId="77777777" w:rsidTr="00A4268A">
        <w:trPr>
          <w:cantSplit/>
        </w:trPr>
        <w:tc>
          <w:tcPr>
            <w:tcW w:w="10206" w:type="dxa"/>
            <w:vAlign w:val="center"/>
          </w:tcPr>
          <w:p w14:paraId="59793C52" w14:textId="77777777" w:rsidR="00460D43" w:rsidRPr="00621629" w:rsidRDefault="00C94428"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w:t>
            </w:r>
            <w:r w:rsidRPr="00FB778F">
              <w:rPr>
                <w:rFonts w:eastAsia="Calibri"/>
              </w:rPr>
              <w:t>nd needs of the people receiving services that facilitates independence and meets the needs of people with disabilities.</w:t>
            </w:r>
          </w:p>
        </w:tc>
        <w:tc>
          <w:tcPr>
            <w:tcW w:w="1276" w:type="dxa"/>
            <w:shd w:val="clear" w:color="auto" w:fill="FFFF00"/>
            <w:vAlign w:val="center"/>
          </w:tcPr>
          <w:p w14:paraId="1B0C0CDA" w14:textId="77777777" w:rsidR="00460D43" w:rsidRPr="00621629" w:rsidRDefault="00C94428"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855D2B9" w14:textId="77777777" w:rsidR="00460D43" w:rsidRPr="00621629" w:rsidRDefault="00C94428"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4493E0D3" w14:textId="77777777" w:rsidR="00460D43" w:rsidRDefault="00C94428">
      <w:pPr>
        <w:spacing w:before="240" w:line="276" w:lineRule="auto"/>
        <w:rPr>
          <w:rFonts w:eastAsia="Calibri"/>
        </w:rPr>
      </w:pPr>
      <w:bookmarkStart w:id="25" w:name="SafeAndAppropriateEnvironment"/>
      <w:r w:rsidRPr="00A4268A">
        <w:rPr>
          <w:rFonts w:eastAsia="Calibri"/>
        </w:rPr>
        <w:t xml:space="preserve">There is a current building warrant of </w:t>
      </w:r>
      <w:r w:rsidRPr="00A4268A">
        <w:rPr>
          <w:rFonts w:eastAsia="Calibri"/>
        </w:rPr>
        <w:t>fitness. Previous corrective actions related to reconfiguration of the birthing unit to 11 aged care beds have been resolved, with the exception of the fire evacuation plan.</w:t>
      </w:r>
    </w:p>
    <w:bookmarkEnd w:id="25"/>
    <w:p w14:paraId="7824D20B" w14:textId="77777777" w:rsidR="00BA1D1C" w:rsidRPr="00A4268A" w:rsidRDefault="00BA1D1C">
      <w:pPr>
        <w:spacing w:before="240" w:line="276" w:lineRule="auto"/>
        <w:rPr>
          <w:rFonts w:eastAsia="Calibri"/>
        </w:rPr>
      </w:pPr>
    </w:p>
    <w:p w14:paraId="379AF691" w14:textId="77777777" w:rsidR="00460D43" w:rsidRDefault="00C94428" w:rsidP="000E6E02">
      <w:pPr>
        <w:pStyle w:val="Heading2"/>
        <w:spacing w:before="0"/>
        <w:rPr>
          <w:rFonts w:cs="Arial"/>
        </w:rPr>
      </w:pPr>
      <w:r w:rsidRPr="00FB778F">
        <w:rPr>
          <w:rFonts w:cs="Arial"/>
        </w:rPr>
        <w:t>Te kaupare pokenga me te kaitiakitanga patu huakita │Infection prevention and ant</w:t>
      </w:r>
      <w:r w:rsidRPr="00FB778F">
        <w:rPr>
          <w:rFonts w:cs="Arial"/>
        </w:rPr>
        <w:t xml:space="preserve">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A1D1C" w14:paraId="77BE6FB2" w14:textId="77777777" w:rsidTr="00A4268A">
        <w:trPr>
          <w:cantSplit/>
        </w:trPr>
        <w:tc>
          <w:tcPr>
            <w:tcW w:w="10206" w:type="dxa"/>
            <w:vAlign w:val="center"/>
          </w:tcPr>
          <w:p w14:paraId="4EF1FB35" w14:textId="77777777" w:rsidR="00460D43" w:rsidRPr="00621629" w:rsidRDefault="00C94428"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w:t>
            </w:r>
            <w:r w:rsidRPr="00FB778F">
              <w:rPr>
                <w:rFonts w:eastAsia="Calibri"/>
              </w:rPr>
              <w:t>re, and safety at the centre. The IP and AMS programmes are up to date and informed by evidence and are an expression of a strategy that seeks to maximise quality of care and minimise infection risk and adverse effects from antibiotic use, such as antimicr</w:t>
            </w:r>
            <w:r w:rsidRPr="00FB778F">
              <w:rPr>
                <w:rFonts w:eastAsia="Calibri"/>
              </w:rPr>
              <w:t>obial resistance.</w:t>
            </w:r>
          </w:p>
        </w:tc>
        <w:tc>
          <w:tcPr>
            <w:tcW w:w="1276" w:type="dxa"/>
            <w:shd w:val="clear" w:color="auto" w:fill="FFFF00"/>
            <w:vAlign w:val="center"/>
          </w:tcPr>
          <w:p w14:paraId="343EF4A0" w14:textId="77777777" w:rsidR="00460D43" w:rsidRPr="00621629" w:rsidRDefault="00C94428"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E3B65D4" w14:textId="77777777" w:rsidR="00460D43" w:rsidRPr="00621629" w:rsidRDefault="00C94428" w:rsidP="00621629">
            <w:pPr>
              <w:spacing w:before="60" w:after="60" w:line="276" w:lineRule="auto"/>
              <w:rPr>
                <w:rFonts w:eastAsia="Calibri"/>
              </w:rPr>
            </w:pPr>
            <w:bookmarkStart w:id="27" w:name="IndicatorDescription2"/>
            <w:bookmarkEnd w:id="27"/>
            <w:r>
              <w:t>Some subsections applicable to this service partially attained and of low risk.</w:t>
            </w:r>
          </w:p>
        </w:tc>
      </w:tr>
    </w:tbl>
    <w:p w14:paraId="5FCFFF44" w14:textId="77777777" w:rsidR="00460D43" w:rsidRDefault="00C94428">
      <w:pPr>
        <w:spacing w:before="240" w:line="276" w:lineRule="auto"/>
        <w:rPr>
          <w:rFonts w:eastAsia="Calibri"/>
        </w:rPr>
      </w:pPr>
      <w:bookmarkStart w:id="28" w:name="RestraintMinimisationAndSafePractice"/>
      <w:r w:rsidRPr="00A4268A">
        <w:rPr>
          <w:rFonts w:eastAsia="Calibri"/>
        </w:rPr>
        <w:t>The clinical nurse lead oversees the implementation of the infection prevention programme, which is linked to the quality management system. The infection p</w:t>
      </w:r>
      <w:r w:rsidRPr="00A4268A">
        <w:rPr>
          <w:rFonts w:eastAsia="Calibri"/>
        </w:rPr>
        <w:t xml:space="preserve">revention programme was approved by the governance body.  </w:t>
      </w:r>
    </w:p>
    <w:p w14:paraId="4980BA6E" w14:textId="77777777" w:rsidR="00BA1D1C" w:rsidRPr="00A4268A" w:rsidRDefault="00C94428">
      <w:pPr>
        <w:spacing w:before="240" w:line="276" w:lineRule="auto"/>
        <w:rPr>
          <w:rFonts w:eastAsia="Calibri"/>
        </w:rPr>
      </w:pPr>
      <w:r w:rsidRPr="00A4268A">
        <w:rPr>
          <w:rFonts w:eastAsia="Calibri"/>
        </w:rPr>
        <w:t xml:space="preserve">Staff receive infection prevention education during the orientation period and annually.  </w:t>
      </w:r>
    </w:p>
    <w:p w14:paraId="6A7CE8EC" w14:textId="77777777" w:rsidR="00BA1D1C" w:rsidRPr="00A4268A" w:rsidRDefault="00C94428">
      <w:pPr>
        <w:spacing w:before="240" w:line="276" w:lineRule="auto"/>
        <w:rPr>
          <w:rFonts w:eastAsia="Calibri"/>
        </w:rPr>
      </w:pPr>
      <w:r w:rsidRPr="00A4268A">
        <w:rPr>
          <w:rFonts w:eastAsia="Calibri"/>
        </w:rPr>
        <w:lastRenderedPageBreak/>
        <w:t>Surveillance of health care-associated infections is undertaken, and results shared with all staff. Follow</w:t>
      </w:r>
      <w:r w:rsidRPr="00A4268A">
        <w:rPr>
          <w:rFonts w:eastAsia="Calibri"/>
        </w:rPr>
        <w:t>-up action is taken as and when required. Infection outbreaks reported since the previous audit were managed effectively. Infection surveillance results are reported to the governance body monthly including significant infection events.</w:t>
      </w:r>
    </w:p>
    <w:bookmarkEnd w:id="28"/>
    <w:p w14:paraId="55009334" w14:textId="77777777" w:rsidR="00BA1D1C" w:rsidRPr="00A4268A" w:rsidRDefault="00BA1D1C">
      <w:pPr>
        <w:spacing w:before="240" w:line="276" w:lineRule="auto"/>
        <w:rPr>
          <w:rFonts w:eastAsia="Calibri"/>
        </w:rPr>
      </w:pPr>
    </w:p>
    <w:p w14:paraId="121C1A32" w14:textId="77777777" w:rsidR="00460D43" w:rsidRDefault="00C94428" w:rsidP="000E6E02">
      <w:pPr>
        <w:pStyle w:val="Heading2"/>
        <w:spacing w:before="0"/>
        <w:rPr>
          <w:rFonts w:cs="Arial"/>
        </w:rPr>
      </w:pPr>
      <w:r w:rsidRPr="00FB778F">
        <w:rPr>
          <w:rFonts w:cs="Arial"/>
        </w:rPr>
        <w:t>Here taratahi │ Re</w:t>
      </w:r>
      <w:r w:rsidRPr="00FB778F">
        <w:rPr>
          <w:rFonts w:cs="Arial"/>
        </w:rPr>
        <w:t>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A1D1C" w14:paraId="0E147D96" w14:textId="77777777" w:rsidTr="00A4268A">
        <w:trPr>
          <w:cantSplit/>
        </w:trPr>
        <w:tc>
          <w:tcPr>
            <w:tcW w:w="10206" w:type="dxa"/>
            <w:vAlign w:val="center"/>
          </w:tcPr>
          <w:p w14:paraId="5B259DA5" w14:textId="77777777" w:rsidR="00460D43" w:rsidRPr="00621629" w:rsidRDefault="00C94428"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D1DA698" w14:textId="77777777" w:rsidR="00460D43" w:rsidRPr="00621629" w:rsidRDefault="00C94428"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58D0564" w14:textId="77777777" w:rsidR="00460D43" w:rsidRPr="00621629" w:rsidRDefault="00C94428" w:rsidP="00621629">
            <w:pPr>
              <w:spacing w:before="60" w:after="60" w:line="276" w:lineRule="auto"/>
              <w:rPr>
                <w:rFonts w:eastAsia="Calibri"/>
              </w:rPr>
            </w:pPr>
            <w:bookmarkStart w:id="30" w:name="IndicatorDescription3"/>
            <w:bookmarkEnd w:id="30"/>
            <w:r>
              <w:t xml:space="preserve">Subsections applicable to this service fully </w:t>
            </w:r>
            <w:r>
              <w:t>attained.</w:t>
            </w:r>
          </w:p>
        </w:tc>
      </w:tr>
    </w:tbl>
    <w:p w14:paraId="43229612" w14:textId="77777777" w:rsidR="00460D43" w:rsidRDefault="00C94428">
      <w:pPr>
        <w:spacing w:before="240" w:line="276" w:lineRule="auto"/>
        <w:rPr>
          <w:rFonts w:eastAsia="Calibri"/>
        </w:rPr>
      </w:pPr>
      <w:bookmarkStart w:id="31" w:name="InfectionPreventionAndControl"/>
      <w:r w:rsidRPr="00A4268A">
        <w:rPr>
          <w:rFonts w:eastAsia="Calibri"/>
        </w:rPr>
        <w:t>The directors, managers and staff are committed to providing a restraint-free environment. Relevant policies and procedures are available.</w:t>
      </w:r>
    </w:p>
    <w:p w14:paraId="20E3FB52" w14:textId="77777777" w:rsidR="00BA1D1C" w:rsidRPr="00A4268A" w:rsidRDefault="00C94428">
      <w:pPr>
        <w:spacing w:before="240" w:line="276" w:lineRule="auto"/>
        <w:rPr>
          <w:rFonts w:eastAsia="Calibri"/>
        </w:rPr>
      </w:pPr>
      <w:r w:rsidRPr="00A4268A">
        <w:rPr>
          <w:rFonts w:eastAsia="Calibri"/>
        </w:rPr>
        <w:t>There were three residents using one or two forms of restraint at the time of audit.  Staff attend regular</w:t>
      </w:r>
      <w:r w:rsidRPr="00A4268A">
        <w:rPr>
          <w:rFonts w:eastAsia="Calibri"/>
        </w:rPr>
        <w:t xml:space="preserve"> training and education on safe restraint use.</w:t>
      </w:r>
    </w:p>
    <w:bookmarkEnd w:id="31"/>
    <w:p w14:paraId="652D36E7" w14:textId="77777777" w:rsidR="00BA1D1C" w:rsidRPr="00A4268A" w:rsidRDefault="00BA1D1C">
      <w:pPr>
        <w:spacing w:before="240" w:line="276" w:lineRule="auto"/>
        <w:rPr>
          <w:rFonts w:eastAsia="Calibri"/>
        </w:rPr>
      </w:pPr>
    </w:p>
    <w:p w14:paraId="12A02C04" w14:textId="77777777" w:rsidR="00460D43" w:rsidRDefault="00C94428" w:rsidP="000E6E02">
      <w:pPr>
        <w:pStyle w:val="Heading2"/>
        <w:spacing w:before="0"/>
        <w:rPr>
          <w:rFonts w:cs="Arial"/>
        </w:rPr>
      </w:pPr>
      <w:r>
        <w:rPr>
          <w:rFonts w:cs="Arial"/>
        </w:rPr>
        <w:lastRenderedPageBreak/>
        <w:t>Summary of attainment</w:t>
      </w:r>
    </w:p>
    <w:p w14:paraId="25C53EBE" w14:textId="77777777" w:rsidR="00460D43" w:rsidRDefault="00C94428">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BA1D1C" w14:paraId="7B9E313D" w14:textId="77777777">
        <w:tc>
          <w:tcPr>
            <w:tcW w:w="1384" w:type="dxa"/>
            <w:vAlign w:val="center"/>
          </w:tcPr>
          <w:p w14:paraId="1B04B5B9" w14:textId="77777777" w:rsidR="00460D43" w:rsidRDefault="00C94428">
            <w:pPr>
              <w:keepNext/>
              <w:spacing w:before="60" w:after="60"/>
              <w:rPr>
                <w:rFonts w:cs="Arial"/>
                <w:b/>
                <w:sz w:val="20"/>
                <w:szCs w:val="20"/>
              </w:rPr>
            </w:pPr>
            <w:r>
              <w:rPr>
                <w:rFonts w:cs="Arial"/>
                <w:b/>
                <w:sz w:val="20"/>
                <w:szCs w:val="20"/>
              </w:rPr>
              <w:t>Attainment Rating</w:t>
            </w:r>
          </w:p>
        </w:tc>
        <w:tc>
          <w:tcPr>
            <w:tcW w:w="1701" w:type="dxa"/>
            <w:vAlign w:val="center"/>
          </w:tcPr>
          <w:p w14:paraId="1EBC449D" w14:textId="77777777" w:rsidR="00460D43" w:rsidRDefault="00C94428">
            <w:pPr>
              <w:keepNext/>
              <w:spacing w:before="60" w:after="60"/>
              <w:jc w:val="center"/>
              <w:rPr>
                <w:rFonts w:cs="Arial"/>
                <w:b/>
                <w:sz w:val="20"/>
                <w:szCs w:val="20"/>
              </w:rPr>
            </w:pPr>
            <w:r>
              <w:rPr>
                <w:rFonts w:cs="Arial"/>
                <w:b/>
                <w:sz w:val="20"/>
                <w:szCs w:val="20"/>
              </w:rPr>
              <w:t>Continuous Improvement</w:t>
            </w:r>
          </w:p>
          <w:p w14:paraId="37A0FCAC" w14:textId="77777777" w:rsidR="00460D43" w:rsidRDefault="00C94428">
            <w:pPr>
              <w:keepNext/>
              <w:spacing w:before="60" w:after="60"/>
              <w:jc w:val="center"/>
              <w:rPr>
                <w:rFonts w:cs="Arial"/>
                <w:b/>
                <w:sz w:val="20"/>
                <w:szCs w:val="20"/>
              </w:rPr>
            </w:pPr>
            <w:r>
              <w:rPr>
                <w:rFonts w:cs="Arial"/>
                <w:b/>
                <w:sz w:val="20"/>
                <w:szCs w:val="20"/>
              </w:rPr>
              <w:t>(CI)</w:t>
            </w:r>
          </w:p>
        </w:tc>
        <w:tc>
          <w:tcPr>
            <w:tcW w:w="1843" w:type="dxa"/>
            <w:vAlign w:val="center"/>
          </w:tcPr>
          <w:p w14:paraId="360A30D2" w14:textId="77777777" w:rsidR="00460D43" w:rsidRDefault="00C94428">
            <w:pPr>
              <w:keepNext/>
              <w:spacing w:before="60" w:after="60"/>
              <w:jc w:val="center"/>
              <w:rPr>
                <w:rFonts w:cs="Arial"/>
                <w:b/>
                <w:sz w:val="20"/>
                <w:szCs w:val="20"/>
              </w:rPr>
            </w:pPr>
            <w:r>
              <w:rPr>
                <w:rFonts w:cs="Arial"/>
                <w:b/>
                <w:sz w:val="20"/>
                <w:szCs w:val="20"/>
              </w:rPr>
              <w:t>Fully Attained</w:t>
            </w:r>
          </w:p>
          <w:p w14:paraId="3FFFB611" w14:textId="77777777" w:rsidR="00460D43" w:rsidRDefault="00C94428">
            <w:pPr>
              <w:keepNext/>
              <w:spacing w:before="60" w:after="60"/>
              <w:jc w:val="center"/>
              <w:rPr>
                <w:rFonts w:cs="Arial"/>
                <w:b/>
                <w:sz w:val="20"/>
                <w:szCs w:val="20"/>
              </w:rPr>
            </w:pPr>
            <w:r>
              <w:rPr>
                <w:rFonts w:cs="Arial"/>
                <w:b/>
                <w:sz w:val="20"/>
                <w:szCs w:val="20"/>
              </w:rPr>
              <w:t>(FA)</w:t>
            </w:r>
          </w:p>
        </w:tc>
        <w:tc>
          <w:tcPr>
            <w:tcW w:w="1843" w:type="dxa"/>
            <w:vAlign w:val="center"/>
          </w:tcPr>
          <w:p w14:paraId="4FF8727B" w14:textId="77777777" w:rsidR="00460D43" w:rsidRDefault="00C94428">
            <w:pPr>
              <w:keepNext/>
              <w:spacing w:before="60" w:after="60"/>
              <w:jc w:val="center"/>
              <w:rPr>
                <w:rFonts w:cs="Arial"/>
                <w:b/>
                <w:sz w:val="20"/>
                <w:szCs w:val="20"/>
              </w:rPr>
            </w:pPr>
            <w:r>
              <w:rPr>
                <w:rFonts w:cs="Arial"/>
                <w:b/>
                <w:sz w:val="20"/>
                <w:szCs w:val="20"/>
              </w:rPr>
              <w:t>Partially Attained Negligible Risk</w:t>
            </w:r>
          </w:p>
          <w:p w14:paraId="094CBD64" w14:textId="77777777" w:rsidR="00460D43" w:rsidRDefault="00C94428">
            <w:pPr>
              <w:keepNext/>
              <w:spacing w:before="60" w:after="60"/>
              <w:jc w:val="center"/>
              <w:rPr>
                <w:rFonts w:cs="Arial"/>
                <w:b/>
                <w:sz w:val="20"/>
                <w:szCs w:val="20"/>
              </w:rPr>
            </w:pPr>
            <w:r>
              <w:rPr>
                <w:rFonts w:cs="Arial"/>
                <w:b/>
                <w:sz w:val="20"/>
                <w:szCs w:val="20"/>
              </w:rPr>
              <w:t>(PA Negligible)</w:t>
            </w:r>
          </w:p>
        </w:tc>
        <w:tc>
          <w:tcPr>
            <w:tcW w:w="1842" w:type="dxa"/>
            <w:vAlign w:val="center"/>
          </w:tcPr>
          <w:p w14:paraId="600A5D99" w14:textId="77777777" w:rsidR="00460D43" w:rsidRDefault="00C94428">
            <w:pPr>
              <w:keepNext/>
              <w:spacing w:before="60" w:after="60"/>
              <w:jc w:val="center"/>
              <w:rPr>
                <w:rFonts w:cs="Arial"/>
                <w:b/>
                <w:sz w:val="20"/>
                <w:szCs w:val="20"/>
              </w:rPr>
            </w:pPr>
            <w:r>
              <w:rPr>
                <w:rFonts w:cs="Arial"/>
                <w:b/>
                <w:sz w:val="20"/>
                <w:szCs w:val="20"/>
              </w:rPr>
              <w:t>Partially Attained Low Risk</w:t>
            </w:r>
          </w:p>
          <w:p w14:paraId="08B5A03C" w14:textId="77777777" w:rsidR="00460D43" w:rsidRDefault="00C94428">
            <w:pPr>
              <w:keepNext/>
              <w:spacing w:before="60" w:after="60"/>
              <w:jc w:val="center"/>
              <w:rPr>
                <w:rFonts w:cs="Arial"/>
                <w:b/>
                <w:sz w:val="20"/>
                <w:szCs w:val="20"/>
              </w:rPr>
            </w:pPr>
            <w:r>
              <w:rPr>
                <w:rFonts w:cs="Arial"/>
                <w:b/>
                <w:sz w:val="20"/>
                <w:szCs w:val="20"/>
              </w:rPr>
              <w:t>(PA Low)</w:t>
            </w:r>
          </w:p>
        </w:tc>
        <w:tc>
          <w:tcPr>
            <w:tcW w:w="1843" w:type="dxa"/>
            <w:vAlign w:val="center"/>
          </w:tcPr>
          <w:p w14:paraId="3AD0D59E" w14:textId="77777777" w:rsidR="00460D43" w:rsidRDefault="00C94428">
            <w:pPr>
              <w:keepNext/>
              <w:spacing w:before="60" w:after="60"/>
              <w:jc w:val="center"/>
              <w:rPr>
                <w:rFonts w:cs="Arial"/>
                <w:b/>
                <w:sz w:val="20"/>
                <w:szCs w:val="20"/>
              </w:rPr>
            </w:pPr>
            <w:r>
              <w:rPr>
                <w:rFonts w:cs="Arial"/>
                <w:b/>
                <w:sz w:val="20"/>
                <w:szCs w:val="20"/>
              </w:rPr>
              <w:t>Partially Attained Moderate Risk</w:t>
            </w:r>
          </w:p>
          <w:p w14:paraId="789FF499" w14:textId="77777777" w:rsidR="00460D43" w:rsidRDefault="00C94428">
            <w:pPr>
              <w:keepNext/>
              <w:spacing w:before="60" w:after="60"/>
              <w:jc w:val="center"/>
              <w:rPr>
                <w:rFonts w:cs="Arial"/>
                <w:b/>
                <w:sz w:val="20"/>
                <w:szCs w:val="20"/>
              </w:rPr>
            </w:pPr>
            <w:r>
              <w:rPr>
                <w:rFonts w:cs="Arial"/>
                <w:b/>
                <w:sz w:val="20"/>
                <w:szCs w:val="20"/>
              </w:rPr>
              <w:t>(PA Moderate)</w:t>
            </w:r>
          </w:p>
        </w:tc>
        <w:tc>
          <w:tcPr>
            <w:tcW w:w="1843" w:type="dxa"/>
            <w:vAlign w:val="center"/>
          </w:tcPr>
          <w:p w14:paraId="2B77887F" w14:textId="77777777" w:rsidR="00460D43" w:rsidRDefault="00C94428">
            <w:pPr>
              <w:keepNext/>
              <w:spacing w:before="60" w:after="60"/>
              <w:jc w:val="center"/>
              <w:rPr>
                <w:rFonts w:cs="Arial"/>
                <w:b/>
                <w:sz w:val="20"/>
                <w:szCs w:val="20"/>
              </w:rPr>
            </w:pPr>
            <w:r>
              <w:rPr>
                <w:rFonts w:cs="Arial"/>
                <w:b/>
                <w:sz w:val="20"/>
                <w:szCs w:val="20"/>
              </w:rPr>
              <w:t>Partially Attained High Risk</w:t>
            </w:r>
          </w:p>
          <w:p w14:paraId="23BC2DCE" w14:textId="77777777" w:rsidR="00460D43" w:rsidRDefault="00C94428">
            <w:pPr>
              <w:keepNext/>
              <w:spacing w:before="60" w:after="60"/>
              <w:jc w:val="center"/>
              <w:rPr>
                <w:rFonts w:cs="Arial"/>
                <w:b/>
                <w:sz w:val="20"/>
                <w:szCs w:val="20"/>
              </w:rPr>
            </w:pPr>
            <w:r>
              <w:rPr>
                <w:rFonts w:cs="Arial"/>
                <w:b/>
                <w:sz w:val="20"/>
                <w:szCs w:val="20"/>
              </w:rPr>
              <w:t>(PA High)</w:t>
            </w:r>
          </w:p>
        </w:tc>
        <w:tc>
          <w:tcPr>
            <w:tcW w:w="1843" w:type="dxa"/>
            <w:vAlign w:val="center"/>
          </w:tcPr>
          <w:p w14:paraId="0535FE1F" w14:textId="77777777" w:rsidR="00460D43" w:rsidRDefault="00C94428">
            <w:pPr>
              <w:keepNext/>
              <w:spacing w:before="60" w:after="60"/>
              <w:jc w:val="center"/>
              <w:rPr>
                <w:rFonts w:cs="Arial"/>
                <w:b/>
                <w:sz w:val="20"/>
                <w:szCs w:val="20"/>
              </w:rPr>
            </w:pPr>
            <w:r>
              <w:rPr>
                <w:rFonts w:cs="Arial"/>
                <w:b/>
                <w:sz w:val="20"/>
                <w:szCs w:val="20"/>
              </w:rPr>
              <w:t>Partially Attained Critical Risk</w:t>
            </w:r>
          </w:p>
          <w:p w14:paraId="0362AD47" w14:textId="77777777" w:rsidR="00460D43" w:rsidRDefault="00C94428">
            <w:pPr>
              <w:keepNext/>
              <w:spacing w:before="60" w:after="60"/>
              <w:jc w:val="center"/>
              <w:rPr>
                <w:rFonts w:cs="Arial"/>
                <w:b/>
                <w:sz w:val="20"/>
                <w:szCs w:val="20"/>
              </w:rPr>
            </w:pPr>
            <w:r>
              <w:rPr>
                <w:rFonts w:cs="Arial"/>
                <w:b/>
                <w:sz w:val="20"/>
                <w:szCs w:val="20"/>
              </w:rPr>
              <w:t>(PA Critical)</w:t>
            </w:r>
          </w:p>
        </w:tc>
      </w:tr>
      <w:tr w:rsidR="00BA1D1C" w14:paraId="3309ADA0" w14:textId="77777777">
        <w:tc>
          <w:tcPr>
            <w:tcW w:w="1384" w:type="dxa"/>
            <w:vAlign w:val="center"/>
          </w:tcPr>
          <w:p w14:paraId="7ED3F70E" w14:textId="77777777" w:rsidR="00460D43" w:rsidRDefault="00C94428">
            <w:pPr>
              <w:keepNext/>
              <w:spacing w:before="60" w:after="60"/>
              <w:rPr>
                <w:rFonts w:cs="Arial"/>
                <w:b/>
                <w:sz w:val="20"/>
                <w:szCs w:val="20"/>
              </w:rPr>
            </w:pPr>
            <w:r>
              <w:rPr>
                <w:rFonts w:cs="Arial"/>
                <w:b/>
                <w:sz w:val="20"/>
                <w:szCs w:val="20"/>
              </w:rPr>
              <w:t>Subsection</w:t>
            </w:r>
          </w:p>
        </w:tc>
        <w:tc>
          <w:tcPr>
            <w:tcW w:w="1701" w:type="dxa"/>
            <w:vAlign w:val="center"/>
          </w:tcPr>
          <w:p w14:paraId="24B9C4B5" w14:textId="77777777" w:rsidR="00460D43" w:rsidRDefault="00C94428"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5BC0789" w14:textId="77777777" w:rsidR="00460D43" w:rsidRDefault="00C94428" w:rsidP="00A4268A">
            <w:pPr>
              <w:spacing w:before="60" w:after="60"/>
              <w:jc w:val="center"/>
              <w:rPr>
                <w:rFonts w:cs="Arial"/>
                <w:sz w:val="20"/>
                <w:szCs w:val="20"/>
                <w:lang w:eastAsia="en-NZ"/>
              </w:rPr>
            </w:pPr>
            <w:bookmarkStart w:id="33" w:name="TotalStdFA"/>
            <w:r>
              <w:rPr>
                <w:rFonts w:cs="Arial"/>
                <w:sz w:val="20"/>
                <w:szCs w:val="20"/>
                <w:lang w:eastAsia="en-NZ"/>
              </w:rPr>
              <w:t>17</w:t>
            </w:r>
            <w:bookmarkEnd w:id="33"/>
          </w:p>
        </w:tc>
        <w:tc>
          <w:tcPr>
            <w:tcW w:w="1843" w:type="dxa"/>
            <w:vAlign w:val="center"/>
          </w:tcPr>
          <w:p w14:paraId="1979B397" w14:textId="77777777" w:rsidR="00460D43" w:rsidRDefault="00C94428">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CEB70C2" w14:textId="77777777" w:rsidR="00460D43" w:rsidRDefault="00C94428"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1F51B891" w14:textId="77777777" w:rsidR="00460D43" w:rsidRDefault="00C94428"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1D225058" w14:textId="77777777" w:rsidR="00460D43" w:rsidRDefault="00C94428">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8710640" w14:textId="77777777" w:rsidR="00460D43" w:rsidRDefault="00C94428">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BA1D1C" w14:paraId="43149F23" w14:textId="77777777">
        <w:tc>
          <w:tcPr>
            <w:tcW w:w="1384" w:type="dxa"/>
            <w:vAlign w:val="center"/>
          </w:tcPr>
          <w:p w14:paraId="1556ADF1" w14:textId="77777777" w:rsidR="00460D43" w:rsidRDefault="00C94428">
            <w:pPr>
              <w:keepNext/>
              <w:spacing w:before="60" w:after="60"/>
              <w:rPr>
                <w:rFonts w:cs="Arial"/>
                <w:b/>
                <w:sz w:val="20"/>
                <w:szCs w:val="20"/>
              </w:rPr>
            </w:pPr>
            <w:r>
              <w:rPr>
                <w:rFonts w:cs="Arial"/>
                <w:b/>
                <w:sz w:val="20"/>
                <w:szCs w:val="20"/>
              </w:rPr>
              <w:t>Criteria</w:t>
            </w:r>
          </w:p>
        </w:tc>
        <w:tc>
          <w:tcPr>
            <w:tcW w:w="1701" w:type="dxa"/>
            <w:vAlign w:val="center"/>
          </w:tcPr>
          <w:p w14:paraId="395BAFB9" w14:textId="77777777" w:rsidR="00460D43" w:rsidRDefault="00C94428">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D711664" w14:textId="77777777" w:rsidR="00460D43" w:rsidRDefault="00C94428" w:rsidP="00A4268A">
            <w:pPr>
              <w:spacing w:before="60" w:after="60"/>
              <w:jc w:val="center"/>
              <w:rPr>
                <w:rFonts w:cs="Arial"/>
                <w:sz w:val="20"/>
                <w:szCs w:val="20"/>
                <w:lang w:eastAsia="en-NZ"/>
              </w:rPr>
            </w:pPr>
            <w:bookmarkStart w:id="40" w:name="TotalCritFA"/>
            <w:r>
              <w:rPr>
                <w:rFonts w:cs="Arial"/>
                <w:sz w:val="20"/>
                <w:szCs w:val="20"/>
                <w:lang w:eastAsia="en-NZ"/>
              </w:rPr>
              <w:t>51</w:t>
            </w:r>
            <w:bookmarkEnd w:id="40"/>
          </w:p>
        </w:tc>
        <w:tc>
          <w:tcPr>
            <w:tcW w:w="1843" w:type="dxa"/>
            <w:vAlign w:val="center"/>
          </w:tcPr>
          <w:p w14:paraId="4674A70F" w14:textId="77777777" w:rsidR="00460D43" w:rsidRDefault="00C94428">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439D527" w14:textId="77777777" w:rsidR="00460D43" w:rsidRDefault="00C94428" w:rsidP="00A4268A">
            <w:pPr>
              <w:spacing w:before="60" w:after="60"/>
              <w:jc w:val="center"/>
              <w:rPr>
                <w:rFonts w:cs="Arial"/>
                <w:sz w:val="20"/>
                <w:szCs w:val="20"/>
                <w:lang w:eastAsia="en-NZ"/>
              </w:rPr>
            </w:pPr>
            <w:bookmarkStart w:id="42" w:name="TotalCritPA_Low"/>
            <w:r>
              <w:rPr>
                <w:rFonts w:cs="Arial"/>
                <w:sz w:val="20"/>
                <w:szCs w:val="20"/>
                <w:lang w:eastAsia="en-NZ"/>
              </w:rPr>
              <w:t>4</w:t>
            </w:r>
            <w:bookmarkEnd w:id="42"/>
          </w:p>
        </w:tc>
        <w:tc>
          <w:tcPr>
            <w:tcW w:w="1843" w:type="dxa"/>
            <w:vAlign w:val="center"/>
          </w:tcPr>
          <w:p w14:paraId="39B2DF75" w14:textId="77777777" w:rsidR="00460D43" w:rsidRDefault="00C94428"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1E335E61" w14:textId="77777777" w:rsidR="00460D43" w:rsidRDefault="00C94428">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3B85EAB" w14:textId="77777777" w:rsidR="00460D43" w:rsidRDefault="00C94428">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929D377" w14:textId="77777777" w:rsidR="00460D43" w:rsidRDefault="00C94428">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BA1D1C" w14:paraId="55B0E71C" w14:textId="77777777">
        <w:tc>
          <w:tcPr>
            <w:tcW w:w="1384" w:type="dxa"/>
            <w:vAlign w:val="center"/>
          </w:tcPr>
          <w:p w14:paraId="24A2363A" w14:textId="77777777" w:rsidR="00460D43" w:rsidRDefault="00C94428">
            <w:pPr>
              <w:keepNext/>
              <w:spacing w:before="60" w:after="60"/>
              <w:rPr>
                <w:rFonts w:cs="Arial"/>
                <w:b/>
                <w:sz w:val="20"/>
                <w:szCs w:val="20"/>
              </w:rPr>
            </w:pPr>
            <w:r>
              <w:rPr>
                <w:rFonts w:cs="Arial"/>
                <w:b/>
                <w:sz w:val="20"/>
                <w:szCs w:val="20"/>
              </w:rPr>
              <w:t>Attainment Rating</w:t>
            </w:r>
          </w:p>
        </w:tc>
        <w:tc>
          <w:tcPr>
            <w:tcW w:w="1701" w:type="dxa"/>
            <w:vAlign w:val="center"/>
          </w:tcPr>
          <w:p w14:paraId="7E07192C" w14:textId="77777777" w:rsidR="00460D43" w:rsidRDefault="00C94428">
            <w:pPr>
              <w:keepNext/>
              <w:spacing w:before="60" w:after="60"/>
              <w:jc w:val="center"/>
              <w:rPr>
                <w:rFonts w:cs="Arial"/>
                <w:b/>
                <w:sz w:val="20"/>
                <w:szCs w:val="20"/>
              </w:rPr>
            </w:pPr>
            <w:r>
              <w:rPr>
                <w:rFonts w:cs="Arial"/>
                <w:b/>
                <w:sz w:val="20"/>
                <w:szCs w:val="20"/>
              </w:rPr>
              <w:t>Unattained Negligible Risk</w:t>
            </w:r>
          </w:p>
          <w:p w14:paraId="715D9F79" w14:textId="77777777" w:rsidR="00460D43" w:rsidRDefault="00C94428">
            <w:pPr>
              <w:keepNext/>
              <w:spacing w:before="60" w:after="60"/>
              <w:jc w:val="center"/>
              <w:rPr>
                <w:rFonts w:cs="Arial"/>
                <w:b/>
                <w:sz w:val="20"/>
                <w:szCs w:val="20"/>
              </w:rPr>
            </w:pPr>
            <w:r>
              <w:rPr>
                <w:rFonts w:cs="Arial"/>
                <w:b/>
                <w:sz w:val="20"/>
                <w:szCs w:val="20"/>
              </w:rPr>
              <w:t>(UA Negligible)</w:t>
            </w:r>
          </w:p>
        </w:tc>
        <w:tc>
          <w:tcPr>
            <w:tcW w:w="1843" w:type="dxa"/>
            <w:vAlign w:val="center"/>
          </w:tcPr>
          <w:p w14:paraId="2FBBD3C7" w14:textId="77777777" w:rsidR="00460D43" w:rsidRDefault="00C94428">
            <w:pPr>
              <w:keepNext/>
              <w:spacing w:before="60" w:after="60"/>
              <w:jc w:val="center"/>
              <w:rPr>
                <w:rFonts w:cs="Arial"/>
                <w:b/>
                <w:sz w:val="20"/>
                <w:szCs w:val="20"/>
              </w:rPr>
            </w:pPr>
            <w:r>
              <w:rPr>
                <w:rFonts w:cs="Arial"/>
                <w:b/>
                <w:sz w:val="20"/>
                <w:szCs w:val="20"/>
              </w:rPr>
              <w:t>Unattained Low Risk</w:t>
            </w:r>
          </w:p>
          <w:p w14:paraId="53B845A5" w14:textId="77777777" w:rsidR="00460D43" w:rsidRDefault="00C94428">
            <w:pPr>
              <w:keepNext/>
              <w:spacing w:before="60" w:after="60"/>
              <w:jc w:val="center"/>
              <w:rPr>
                <w:rFonts w:cs="Arial"/>
                <w:b/>
                <w:sz w:val="20"/>
                <w:szCs w:val="20"/>
              </w:rPr>
            </w:pPr>
            <w:r>
              <w:rPr>
                <w:rFonts w:cs="Arial"/>
                <w:b/>
                <w:sz w:val="20"/>
                <w:szCs w:val="20"/>
              </w:rPr>
              <w:t>(UA Low)</w:t>
            </w:r>
          </w:p>
        </w:tc>
        <w:tc>
          <w:tcPr>
            <w:tcW w:w="1843" w:type="dxa"/>
            <w:vAlign w:val="center"/>
          </w:tcPr>
          <w:p w14:paraId="5F54A84D" w14:textId="77777777" w:rsidR="00460D43" w:rsidRDefault="00C94428">
            <w:pPr>
              <w:keepNext/>
              <w:spacing w:before="60" w:after="60"/>
              <w:jc w:val="center"/>
              <w:rPr>
                <w:rFonts w:cs="Arial"/>
                <w:b/>
                <w:sz w:val="20"/>
                <w:szCs w:val="20"/>
              </w:rPr>
            </w:pPr>
            <w:r>
              <w:rPr>
                <w:rFonts w:cs="Arial"/>
                <w:b/>
                <w:sz w:val="20"/>
                <w:szCs w:val="20"/>
              </w:rPr>
              <w:t>Unattained Moderate Risk</w:t>
            </w:r>
          </w:p>
          <w:p w14:paraId="4DC97840" w14:textId="77777777" w:rsidR="00460D43" w:rsidRDefault="00C94428">
            <w:pPr>
              <w:keepNext/>
              <w:spacing w:before="60" w:after="60"/>
              <w:jc w:val="center"/>
              <w:rPr>
                <w:rFonts w:cs="Arial"/>
                <w:b/>
                <w:sz w:val="20"/>
                <w:szCs w:val="20"/>
              </w:rPr>
            </w:pPr>
            <w:r>
              <w:rPr>
                <w:rFonts w:cs="Arial"/>
                <w:b/>
                <w:sz w:val="20"/>
                <w:szCs w:val="20"/>
              </w:rPr>
              <w:t>(UA Moderate)</w:t>
            </w:r>
          </w:p>
        </w:tc>
        <w:tc>
          <w:tcPr>
            <w:tcW w:w="1842" w:type="dxa"/>
            <w:vAlign w:val="center"/>
          </w:tcPr>
          <w:p w14:paraId="451706C4" w14:textId="77777777" w:rsidR="00460D43" w:rsidRDefault="00C94428">
            <w:pPr>
              <w:keepNext/>
              <w:spacing w:before="60" w:after="60"/>
              <w:jc w:val="center"/>
              <w:rPr>
                <w:rFonts w:cs="Arial"/>
                <w:b/>
                <w:sz w:val="20"/>
                <w:szCs w:val="20"/>
              </w:rPr>
            </w:pPr>
            <w:r>
              <w:rPr>
                <w:rFonts w:cs="Arial"/>
                <w:b/>
                <w:sz w:val="20"/>
                <w:szCs w:val="20"/>
              </w:rPr>
              <w:t>Unattained High Risk</w:t>
            </w:r>
          </w:p>
          <w:p w14:paraId="1F6B6D0A" w14:textId="77777777" w:rsidR="00460D43" w:rsidRDefault="00C94428">
            <w:pPr>
              <w:keepNext/>
              <w:spacing w:before="60" w:after="60"/>
              <w:jc w:val="center"/>
              <w:rPr>
                <w:rFonts w:cs="Arial"/>
                <w:b/>
                <w:sz w:val="20"/>
                <w:szCs w:val="20"/>
              </w:rPr>
            </w:pPr>
            <w:r>
              <w:rPr>
                <w:rFonts w:cs="Arial"/>
                <w:b/>
                <w:sz w:val="20"/>
                <w:szCs w:val="20"/>
              </w:rPr>
              <w:t>(UA High)</w:t>
            </w:r>
          </w:p>
        </w:tc>
        <w:tc>
          <w:tcPr>
            <w:tcW w:w="1843" w:type="dxa"/>
            <w:vAlign w:val="center"/>
          </w:tcPr>
          <w:p w14:paraId="7742D852" w14:textId="77777777" w:rsidR="00460D43" w:rsidRDefault="00C94428">
            <w:pPr>
              <w:keepNext/>
              <w:spacing w:before="60" w:after="60"/>
              <w:jc w:val="center"/>
              <w:rPr>
                <w:rFonts w:cs="Arial"/>
                <w:b/>
                <w:sz w:val="20"/>
                <w:szCs w:val="20"/>
              </w:rPr>
            </w:pPr>
            <w:r>
              <w:rPr>
                <w:rFonts w:cs="Arial"/>
                <w:b/>
                <w:sz w:val="20"/>
                <w:szCs w:val="20"/>
              </w:rPr>
              <w:t>Unattained Critical Risk</w:t>
            </w:r>
          </w:p>
          <w:p w14:paraId="5A71AAC3" w14:textId="77777777" w:rsidR="00460D43" w:rsidRDefault="00C94428">
            <w:pPr>
              <w:keepNext/>
              <w:spacing w:before="60" w:after="60"/>
              <w:jc w:val="center"/>
              <w:rPr>
                <w:rFonts w:cs="Arial"/>
                <w:b/>
                <w:sz w:val="20"/>
                <w:szCs w:val="20"/>
              </w:rPr>
            </w:pPr>
            <w:r>
              <w:rPr>
                <w:rFonts w:cs="Arial"/>
                <w:b/>
                <w:sz w:val="20"/>
                <w:szCs w:val="20"/>
              </w:rPr>
              <w:t>(UA Critical)</w:t>
            </w:r>
          </w:p>
        </w:tc>
      </w:tr>
      <w:tr w:rsidR="00BA1D1C" w14:paraId="4FC45422" w14:textId="77777777">
        <w:tc>
          <w:tcPr>
            <w:tcW w:w="1384" w:type="dxa"/>
            <w:vAlign w:val="center"/>
          </w:tcPr>
          <w:p w14:paraId="7E9F0911" w14:textId="77777777" w:rsidR="00460D43" w:rsidRDefault="00C94428">
            <w:pPr>
              <w:keepNext/>
              <w:spacing w:before="60" w:after="60"/>
              <w:rPr>
                <w:rFonts w:cs="Arial"/>
                <w:b/>
                <w:sz w:val="20"/>
                <w:szCs w:val="20"/>
              </w:rPr>
            </w:pPr>
            <w:r>
              <w:rPr>
                <w:rFonts w:cs="Arial"/>
                <w:b/>
                <w:sz w:val="20"/>
                <w:szCs w:val="20"/>
              </w:rPr>
              <w:t>Subsection</w:t>
            </w:r>
          </w:p>
        </w:tc>
        <w:tc>
          <w:tcPr>
            <w:tcW w:w="1701" w:type="dxa"/>
            <w:vAlign w:val="center"/>
          </w:tcPr>
          <w:p w14:paraId="362BC098" w14:textId="77777777" w:rsidR="00460D43" w:rsidRDefault="00C94428">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78864F4" w14:textId="77777777" w:rsidR="00460D43" w:rsidRDefault="00C94428">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695C765" w14:textId="77777777" w:rsidR="00460D43" w:rsidRDefault="00C94428">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B0F56F7" w14:textId="77777777" w:rsidR="00460D43" w:rsidRDefault="00C94428">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6882370" w14:textId="77777777" w:rsidR="00460D43" w:rsidRDefault="00C94428">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BA1D1C" w14:paraId="310CD5C7" w14:textId="77777777">
        <w:tc>
          <w:tcPr>
            <w:tcW w:w="1384" w:type="dxa"/>
            <w:vAlign w:val="center"/>
          </w:tcPr>
          <w:p w14:paraId="39DC6B07" w14:textId="77777777" w:rsidR="00460D43" w:rsidRDefault="00C94428">
            <w:pPr>
              <w:spacing w:before="60" w:after="60"/>
              <w:rPr>
                <w:rFonts w:cs="Arial"/>
                <w:b/>
                <w:sz w:val="20"/>
                <w:szCs w:val="20"/>
              </w:rPr>
            </w:pPr>
            <w:r>
              <w:rPr>
                <w:rFonts w:cs="Arial"/>
                <w:b/>
                <w:sz w:val="20"/>
                <w:szCs w:val="20"/>
              </w:rPr>
              <w:t>Criteria</w:t>
            </w:r>
          </w:p>
        </w:tc>
        <w:tc>
          <w:tcPr>
            <w:tcW w:w="1701" w:type="dxa"/>
            <w:vAlign w:val="center"/>
          </w:tcPr>
          <w:p w14:paraId="5802BABE" w14:textId="77777777" w:rsidR="00460D43" w:rsidRDefault="00C94428">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BC2E4A2" w14:textId="77777777" w:rsidR="00460D43" w:rsidRDefault="00C94428">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ECA2457" w14:textId="77777777" w:rsidR="00460D43" w:rsidRDefault="00C94428">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BE129CC" w14:textId="77777777" w:rsidR="00460D43" w:rsidRDefault="00C94428">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80D4B40" w14:textId="77777777" w:rsidR="00460D43" w:rsidRDefault="00C94428">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4721320" w14:textId="77777777" w:rsidR="00460D43" w:rsidRDefault="00C94428">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75498AE" w14:textId="77777777" w:rsidR="00460D43" w:rsidRDefault="00C94428">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43720DD3" w14:textId="77777777" w:rsidR="00460D43" w:rsidRDefault="00C94428">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9891D7D" w14:textId="77777777" w:rsidR="00460D43" w:rsidRDefault="00C94428">
      <w:pPr>
        <w:pStyle w:val="OutcomeDescription"/>
        <w:spacing w:before="240"/>
        <w:rPr>
          <w:rFonts w:cs="Arial"/>
          <w:sz w:val="24"/>
          <w:szCs w:val="24"/>
          <w:lang w:eastAsia="en-NZ"/>
        </w:rPr>
      </w:pPr>
      <w:r>
        <w:rPr>
          <w:rFonts w:cs="Arial"/>
          <w:sz w:val="24"/>
          <w:szCs w:val="24"/>
          <w:lang w:eastAsia="en-NZ"/>
        </w:rPr>
        <w:t xml:space="preserve">For more information on the different types of </w:t>
      </w:r>
      <w:r>
        <w:rPr>
          <w:rFonts w:cs="Arial"/>
          <w:sz w:val="24"/>
          <w:szCs w:val="24"/>
          <w:lang w:eastAsia="en-NZ"/>
        </w:rPr>
        <w:t xml:space="preserve">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3"/>
        <w:gridCol w:w="1365"/>
        <w:gridCol w:w="6680"/>
      </w:tblGrid>
      <w:tr w:rsidR="00BA1D1C" w14:paraId="714488DB" w14:textId="77777777">
        <w:tc>
          <w:tcPr>
            <w:tcW w:w="0" w:type="auto"/>
          </w:tcPr>
          <w:p w14:paraId="6C3D02F9" w14:textId="77777777" w:rsidR="00EB7645" w:rsidRPr="00BE00C7" w:rsidRDefault="00C94428" w:rsidP="00BE00C7">
            <w:pPr>
              <w:pStyle w:val="OutcomeDescription"/>
              <w:spacing w:before="120" w:after="120"/>
              <w:rPr>
                <w:rFonts w:cs="Arial"/>
                <w:lang w:eastAsia="en-NZ"/>
              </w:rPr>
            </w:pPr>
            <w:r w:rsidRPr="00BE00C7">
              <w:rPr>
                <w:rFonts w:cs="Arial"/>
                <w:b/>
                <w:lang w:eastAsia="en-NZ"/>
              </w:rPr>
              <w:t>Subsection with desir</w:t>
            </w:r>
            <w:r w:rsidRPr="00BE00C7">
              <w:rPr>
                <w:rFonts w:cs="Arial"/>
                <w:b/>
                <w:lang w:eastAsia="en-NZ"/>
              </w:rPr>
              <w:t>ed outcome</w:t>
            </w:r>
          </w:p>
        </w:tc>
        <w:tc>
          <w:tcPr>
            <w:tcW w:w="0" w:type="auto"/>
          </w:tcPr>
          <w:p w14:paraId="7BA7FDFE" w14:textId="77777777" w:rsidR="00EB7645" w:rsidRPr="00BE00C7" w:rsidRDefault="00C94428"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6C7FD12" w14:textId="77777777" w:rsidR="00EB7645" w:rsidRPr="00BE00C7" w:rsidRDefault="00C94428" w:rsidP="00BE00C7">
            <w:pPr>
              <w:pStyle w:val="OutcomeDescription"/>
              <w:spacing w:before="120" w:after="120"/>
              <w:rPr>
                <w:rFonts w:cs="Arial"/>
                <w:b/>
                <w:lang w:eastAsia="en-NZ"/>
              </w:rPr>
            </w:pPr>
            <w:r w:rsidRPr="00BE00C7">
              <w:rPr>
                <w:rFonts w:cs="Arial"/>
                <w:b/>
                <w:lang w:eastAsia="en-NZ"/>
              </w:rPr>
              <w:t>Audit Evidence</w:t>
            </w:r>
          </w:p>
        </w:tc>
      </w:tr>
      <w:tr w:rsidR="00BA1D1C" w14:paraId="47BF81EC" w14:textId="77777777">
        <w:tc>
          <w:tcPr>
            <w:tcW w:w="0" w:type="auto"/>
          </w:tcPr>
          <w:p w14:paraId="6D433A5C" w14:textId="77777777" w:rsidR="00EB7645" w:rsidRPr="00BE00C7" w:rsidRDefault="00C94428" w:rsidP="00BE00C7">
            <w:pPr>
              <w:pStyle w:val="OutcomeDescription"/>
              <w:spacing w:before="120" w:after="120"/>
              <w:rPr>
                <w:rFonts w:cs="Arial"/>
                <w:lang w:eastAsia="en-NZ"/>
              </w:rPr>
            </w:pPr>
            <w:r w:rsidRPr="00BE00C7">
              <w:rPr>
                <w:rFonts w:cs="Arial"/>
                <w:lang w:eastAsia="en-NZ"/>
              </w:rPr>
              <w:t>Subsection 1.1: Pae ora healthy futures</w:t>
            </w:r>
          </w:p>
          <w:p w14:paraId="4722BE8D" w14:textId="77777777" w:rsidR="00EB7645" w:rsidRPr="00BE00C7" w:rsidRDefault="00C94428"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w:t>
            </w:r>
            <w:r w:rsidRPr="00BE00C7">
              <w:rPr>
                <w:rFonts w:cs="Arial"/>
                <w:lang w:eastAsia="en-NZ"/>
              </w:rPr>
              <w:t>encourage a Māori worldview of health and provide high-quality, equitable, and effective services for Māori framed by Te Tiriti o Waitangi.</w:t>
            </w:r>
          </w:p>
          <w:p w14:paraId="1AF50D0E" w14:textId="77777777" w:rsidR="00EB7645" w:rsidRPr="00BE00C7" w:rsidRDefault="00C94428" w:rsidP="00BE00C7">
            <w:pPr>
              <w:pStyle w:val="OutcomeDescription"/>
              <w:spacing w:before="120" w:after="120"/>
              <w:rPr>
                <w:rFonts w:cs="Arial"/>
                <w:lang w:eastAsia="en-NZ"/>
              </w:rPr>
            </w:pPr>
          </w:p>
        </w:tc>
        <w:tc>
          <w:tcPr>
            <w:tcW w:w="0" w:type="auto"/>
          </w:tcPr>
          <w:p w14:paraId="46027FCB" w14:textId="77777777" w:rsidR="00EB7645" w:rsidRPr="00BE00C7" w:rsidRDefault="00C94428" w:rsidP="00BE00C7">
            <w:pPr>
              <w:pStyle w:val="OutcomeDescription"/>
              <w:spacing w:before="120" w:after="120"/>
              <w:rPr>
                <w:rFonts w:cs="Arial"/>
                <w:lang w:eastAsia="en-NZ"/>
              </w:rPr>
            </w:pPr>
            <w:r w:rsidRPr="00BE00C7">
              <w:rPr>
                <w:rFonts w:cs="Arial"/>
                <w:lang w:eastAsia="en-NZ"/>
              </w:rPr>
              <w:t>FA</w:t>
            </w:r>
          </w:p>
        </w:tc>
        <w:tc>
          <w:tcPr>
            <w:tcW w:w="0" w:type="auto"/>
          </w:tcPr>
          <w:p w14:paraId="68ED60F1" w14:textId="77777777" w:rsidR="00EB7645" w:rsidRPr="00BE00C7" w:rsidRDefault="00C94428" w:rsidP="00BE00C7">
            <w:pPr>
              <w:pStyle w:val="OutcomeDescription"/>
              <w:spacing w:before="120" w:after="120"/>
              <w:rPr>
                <w:rFonts w:cs="Arial"/>
                <w:lang w:eastAsia="en-NZ"/>
              </w:rPr>
            </w:pPr>
            <w:r w:rsidRPr="00BE00C7">
              <w:rPr>
                <w:rFonts w:cs="Arial"/>
                <w:lang w:eastAsia="en-NZ"/>
              </w:rPr>
              <w:t>The principles of Te Tiriti o Waitangi are actively acknowledged in the organisational literature. Staff have at</w:t>
            </w:r>
            <w:r w:rsidRPr="00BE00C7">
              <w:rPr>
                <w:rFonts w:cs="Arial"/>
                <w:lang w:eastAsia="en-NZ"/>
              </w:rPr>
              <w:t>tended ongoing training and education in cultural safety, the treaty, bias and discrimination. Until recently there had been no Māori residents in the facility. The cultural needs of the resident had not been assessed. Refer to corrective action in 3.2.3 a</w:t>
            </w:r>
            <w:r w:rsidRPr="00BE00C7">
              <w:rPr>
                <w:rFonts w:cs="Arial"/>
                <w:lang w:eastAsia="en-NZ"/>
              </w:rPr>
              <w:t>bout cultural assessment and care planning.</w:t>
            </w:r>
          </w:p>
          <w:p w14:paraId="75ACE15A" w14:textId="77777777" w:rsidR="00EB7645" w:rsidRPr="00BE00C7" w:rsidRDefault="00C94428" w:rsidP="00BE00C7">
            <w:pPr>
              <w:pStyle w:val="OutcomeDescription"/>
              <w:spacing w:before="120" w:after="120"/>
              <w:rPr>
                <w:rFonts w:cs="Arial"/>
                <w:lang w:eastAsia="en-NZ"/>
              </w:rPr>
            </w:pPr>
            <w:r w:rsidRPr="00BE00C7">
              <w:rPr>
                <w:rFonts w:cs="Arial"/>
                <w:lang w:eastAsia="en-NZ"/>
              </w:rPr>
              <w:t>A small number of staff identify as Māori. The staff interviewed believed that services are being provided in a culturally safe manner and that they have input into how services are developed and delivered.</w:t>
            </w:r>
          </w:p>
          <w:p w14:paraId="044E37CE" w14:textId="77777777" w:rsidR="00EB7645" w:rsidRPr="00BE00C7" w:rsidRDefault="00C94428" w:rsidP="00BE00C7">
            <w:pPr>
              <w:pStyle w:val="OutcomeDescription"/>
              <w:spacing w:before="120" w:after="120"/>
              <w:rPr>
                <w:rFonts w:cs="Arial"/>
                <w:lang w:eastAsia="en-NZ"/>
              </w:rPr>
            </w:pPr>
          </w:p>
        </w:tc>
      </w:tr>
      <w:tr w:rsidR="00BA1D1C" w14:paraId="3FF3C8A8" w14:textId="77777777">
        <w:tc>
          <w:tcPr>
            <w:tcW w:w="0" w:type="auto"/>
          </w:tcPr>
          <w:p w14:paraId="18E81B65" w14:textId="77777777" w:rsidR="00EB7645" w:rsidRPr="00BE00C7" w:rsidRDefault="00C94428" w:rsidP="00BE00C7">
            <w:pPr>
              <w:pStyle w:val="OutcomeDescription"/>
              <w:spacing w:before="120" w:after="120"/>
              <w:rPr>
                <w:rFonts w:cs="Arial"/>
                <w:lang w:eastAsia="en-NZ"/>
              </w:rPr>
            </w:pPr>
            <w:r w:rsidRPr="00BE00C7">
              <w:rPr>
                <w:rFonts w:cs="Arial"/>
                <w:lang w:eastAsia="en-NZ"/>
              </w:rPr>
              <w:t>Sub</w:t>
            </w:r>
            <w:r w:rsidRPr="00BE00C7">
              <w:rPr>
                <w:rFonts w:cs="Arial"/>
                <w:lang w:eastAsia="en-NZ"/>
              </w:rPr>
              <w:t>section 1.2: Ola manuia of Pacific peoples in Aotearoa</w:t>
            </w:r>
          </w:p>
          <w:p w14:paraId="1B6FB14F" w14:textId="77777777" w:rsidR="00EB7645" w:rsidRPr="00BE00C7" w:rsidRDefault="00C94428"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Tiriti: Pacific peoples acknowledge the mana whenua of Aotearoa as tuakana and commit to supporting </w:t>
            </w:r>
            <w:r w:rsidRPr="00BE00C7">
              <w:rPr>
                <w:rFonts w:cs="Arial"/>
                <w:lang w:eastAsia="en-NZ"/>
              </w:rPr>
              <w:t>them to achieve tino rangatiratanga.</w:t>
            </w:r>
            <w:r w:rsidRPr="00BE00C7">
              <w:rPr>
                <w:rFonts w:cs="Arial"/>
                <w:lang w:eastAsia="en-NZ"/>
              </w:rPr>
              <w:br/>
              <w:t xml:space="preserve">As service providers: We provide comprehensive and equitable health and disability services underpinned by Pacific worldviews </w:t>
            </w:r>
            <w:r w:rsidRPr="00BE00C7">
              <w:rPr>
                <w:rFonts w:cs="Arial"/>
                <w:lang w:eastAsia="en-NZ"/>
              </w:rPr>
              <w:lastRenderedPageBreak/>
              <w:t>and developed in collaboration with Pacific peoples for improved health outcomes.</w:t>
            </w:r>
          </w:p>
          <w:p w14:paraId="26F1DF58" w14:textId="77777777" w:rsidR="00EB7645" w:rsidRPr="00BE00C7" w:rsidRDefault="00C94428" w:rsidP="00BE00C7">
            <w:pPr>
              <w:pStyle w:val="OutcomeDescription"/>
              <w:spacing w:before="120" w:after="120"/>
              <w:rPr>
                <w:rFonts w:cs="Arial"/>
                <w:lang w:eastAsia="en-NZ"/>
              </w:rPr>
            </w:pPr>
          </w:p>
        </w:tc>
        <w:tc>
          <w:tcPr>
            <w:tcW w:w="0" w:type="auto"/>
          </w:tcPr>
          <w:p w14:paraId="2811FCED" w14:textId="77777777" w:rsidR="00EB7645" w:rsidRPr="00BE00C7" w:rsidRDefault="00C9442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520CE4A" w14:textId="77777777" w:rsidR="00EB7645" w:rsidRPr="00BE00C7" w:rsidRDefault="00C94428" w:rsidP="00BE00C7">
            <w:pPr>
              <w:pStyle w:val="OutcomeDescription"/>
              <w:spacing w:before="120" w:after="120"/>
              <w:rPr>
                <w:rFonts w:cs="Arial"/>
                <w:lang w:eastAsia="en-NZ"/>
              </w:rPr>
            </w:pPr>
            <w:r w:rsidRPr="00BE00C7">
              <w:rPr>
                <w:rFonts w:cs="Arial"/>
                <w:lang w:eastAsia="en-NZ"/>
              </w:rPr>
              <w:t>Waihi L</w:t>
            </w:r>
            <w:r w:rsidRPr="00BE00C7">
              <w:rPr>
                <w:rFonts w:cs="Arial"/>
                <w:lang w:eastAsia="en-NZ"/>
              </w:rPr>
              <w:t>ifecare has a range of policies and procedures on cultural safety and on the cultural needs of Pasifika peoples. These reflect Pasifika worldviews, cultural, and spiritual beliefs. There were no Pasifika residents in the home at the time of the audit. Pasi</w:t>
            </w:r>
            <w:r w:rsidRPr="00BE00C7">
              <w:rPr>
                <w:rFonts w:cs="Arial"/>
                <w:lang w:eastAsia="en-NZ"/>
              </w:rPr>
              <w:t>fika staff were employed in different roles within the organisation.</w:t>
            </w:r>
          </w:p>
          <w:p w14:paraId="6696BD94" w14:textId="77777777" w:rsidR="00EB7645" w:rsidRPr="00BE00C7" w:rsidRDefault="00C94428" w:rsidP="00BE00C7">
            <w:pPr>
              <w:pStyle w:val="OutcomeDescription"/>
              <w:spacing w:before="120" w:after="120"/>
              <w:rPr>
                <w:rFonts w:cs="Arial"/>
                <w:lang w:eastAsia="en-NZ"/>
              </w:rPr>
            </w:pPr>
          </w:p>
        </w:tc>
      </w:tr>
      <w:tr w:rsidR="00BA1D1C" w14:paraId="0B955371" w14:textId="77777777">
        <w:tc>
          <w:tcPr>
            <w:tcW w:w="0" w:type="auto"/>
          </w:tcPr>
          <w:p w14:paraId="0665B278" w14:textId="77777777" w:rsidR="00EB7645" w:rsidRPr="00BE00C7" w:rsidRDefault="00C94428" w:rsidP="00BE00C7">
            <w:pPr>
              <w:pStyle w:val="OutcomeDescription"/>
              <w:spacing w:before="120" w:after="120"/>
              <w:rPr>
                <w:rFonts w:cs="Arial"/>
                <w:lang w:eastAsia="en-NZ"/>
              </w:rPr>
            </w:pPr>
            <w:r w:rsidRPr="00BE00C7">
              <w:rPr>
                <w:rFonts w:cs="Arial"/>
                <w:lang w:eastAsia="en-NZ"/>
              </w:rPr>
              <w:t>Subsection 1.3: My rights during service delivery</w:t>
            </w:r>
          </w:p>
          <w:p w14:paraId="067C6C7B" w14:textId="77777777" w:rsidR="00EB7645" w:rsidRPr="00BE00C7" w:rsidRDefault="00C94428"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 xml:space="preserve">Te Tiriti:Service providers recognise Māori </w:t>
            </w:r>
            <w:r w:rsidRPr="00BE00C7">
              <w:rPr>
                <w:rFonts w:cs="Arial"/>
                <w:lang w:eastAsia="en-NZ"/>
              </w:rPr>
              <w:t>mana motuhake (self-determination).</w:t>
            </w:r>
            <w:r w:rsidRPr="00BE00C7">
              <w:rPr>
                <w:rFonts w:cs="Arial"/>
                <w:lang w:eastAsia="en-NZ"/>
              </w:rPr>
              <w:br/>
              <w:t>As service providers: We provide services and support to people in a way that upholds their rights and complies with legal requirements.</w:t>
            </w:r>
          </w:p>
          <w:p w14:paraId="6E5A57B7" w14:textId="77777777" w:rsidR="00EB7645" w:rsidRPr="00BE00C7" w:rsidRDefault="00C94428" w:rsidP="00BE00C7">
            <w:pPr>
              <w:pStyle w:val="OutcomeDescription"/>
              <w:spacing w:before="120" w:after="120"/>
              <w:rPr>
                <w:rFonts w:cs="Arial"/>
                <w:lang w:eastAsia="en-NZ"/>
              </w:rPr>
            </w:pPr>
          </w:p>
        </w:tc>
        <w:tc>
          <w:tcPr>
            <w:tcW w:w="0" w:type="auto"/>
          </w:tcPr>
          <w:p w14:paraId="1AE3E7B1" w14:textId="77777777" w:rsidR="00EB7645" w:rsidRPr="00BE00C7" w:rsidRDefault="00C94428" w:rsidP="00BE00C7">
            <w:pPr>
              <w:pStyle w:val="OutcomeDescription"/>
              <w:spacing w:before="120" w:after="120"/>
              <w:rPr>
                <w:rFonts w:cs="Arial"/>
                <w:lang w:eastAsia="en-NZ"/>
              </w:rPr>
            </w:pPr>
            <w:r w:rsidRPr="00BE00C7">
              <w:rPr>
                <w:rFonts w:cs="Arial"/>
                <w:lang w:eastAsia="en-NZ"/>
              </w:rPr>
              <w:t>FA</w:t>
            </w:r>
          </w:p>
        </w:tc>
        <w:tc>
          <w:tcPr>
            <w:tcW w:w="0" w:type="auto"/>
          </w:tcPr>
          <w:p w14:paraId="343C2D78" w14:textId="77777777" w:rsidR="00EB7645" w:rsidRPr="00BE00C7" w:rsidRDefault="00C94428" w:rsidP="00BE00C7">
            <w:pPr>
              <w:pStyle w:val="OutcomeDescription"/>
              <w:spacing w:before="120" w:after="120"/>
              <w:rPr>
                <w:rFonts w:cs="Arial"/>
                <w:lang w:eastAsia="en-NZ"/>
              </w:rPr>
            </w:pPr>
            <w:r w:rsidRPr="00BE00C7">
              <w:rPr>
                <w:rFonts w:cs="Arial"/>
                <w:lang w:eastAsia="en-NZ"/>
              </w:rPr>
              <w:t xml:space="preserve">The Code of Health and Disability Services Consumers’ Rights (the Code) was </w:t>
            </w:r>
            <w:r w:rsidRPr="00BE00C7">
              <w:rPr>
                <w:rFonts w:cs="Arial"/>
                <w:lang w:eastAsia="en-NZ"/>
              </w:rPr>
              <w:t xml:space="preserve">available and displayed in English and te reo Māori throughout the facility. Staff have received training on the Code as part of the orientation process and ongoing annual training. This was verified in interviews and staff training records sampled. Staff </w:t>
            </w:r>
            <w:r w:rsidRPr="00BE00C7">
              <w:rPr>
                <w:rFonts w:cs="Arial"/>
                <w:lang w:eastAsia="en-NZ"/>
              </w:rPr>
              <w:t>understood residents’ rights and gave examples of how they incorporate these in daily practice. The Code pamphlets are included in the admission documents provided on admission to services. Residents confirmed that their rights were observed.</w:t>
            </w:r>
          </w:p>
          <w:p w14:paraId="03A928F8" w14:textId="77777777" w:rsidR="00EB7645" w:rsidRPr="00BE00C7" w:rsidRDefault="00C94428" w:rsidP="00BE00C7">
            <w:pPr>
              <w:pStyle w:val="OutcomeDescription"/>
              <w:spacing w:before="120" w:after="120"/>
              <w:rPr>
                <w:rFonts w:cs="Arial"/>
                <w:lang w:eastAsia="en-NZ"/>
              </w:rPr>
            </w:pPr>
          </w:p>
        </w:tc>
      </w:tr>
      <w:tr w:rsidR="00BA1D1C" w14:paraId="2C75F1F1" w14:textId="77777777">
        <w:tc>
          <w:tcPr>
            <w:tcW w:w="0" w:type="auto"/>
          </w:tcPr>
          <w:p w14:paraId="7AAEC301" w14:textId="77777777" w:rsidR="00EB7645" w:rsidRPr="00BE00C7" w:rsidRDefault="00C94428" w:rsidP="00BE00C7">
            <w:pPr>
              <w:pStyle w:val="OutcomeDescription"/>
              <w:spacing w:before="120" w:after="120"/>
              <w:rPr>
                <w:rFonts w:cs="Arial"/>
                <w:lang w:eastAsia="en-NZ"/>
              </w:rPr>
            </w:pPr>
            <w:r w:rsidRPr="00BE00C7">
              <w:rPr>
                <w:rFonts w:cs="Arial"/>
                <w:lang w:eastAsia="en-NZ"/>
              </w:rPr>
              <w:t xml:space="preserve">Subsection </w:t>
            </w:r>
            <w:r w:rsidRPr="00BE00C7">
              <w:rPr>
                <w:rFonts w:cs="Arial"/>
                <w:lang w:eastAsia="en-NZ"/>
              </w:rPr>
              <w:t>1.5: I am protected from abuse</w:t>
            </w:r>
          </w:p>
          <w:p w14:paraId="1D7BFCF8" w14:textId="77777777" w:rsidR="00EB7645" w:rsidRPr="00BE00C7" w:rsidRDefault="00C94428"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w:t>
            </w:r>
            <w:r w:rsidRPr="00BE00C7">
              <w:rPr>
                <w:rFonts w:cs="Arial"/>
                <w:lang w:eastAsia="en-NZ"/>
              </w:rPr>
              <w:t>ple using our services are safe and protected from abuse.</w:t>
            </w:r>
          </w:p>
          <w:p w14:paraId="38A47675" w14:textId="77777777" w:rsidR="00EB7645" w:rsidRPr="00BE00C7" w:rsidRDefault="00C94428" w:rsidP="00BE00C7">
            <w:pPr>
              <w:pStyle w:val="OutcomeDescription"/>
              <w:spacing w:before="120" w:after="120"/>
              <w:rPr>
                <w:rFonts w:cs="Arial"/>
                <w:lang w:eastAsia="en-NZ"/>
              </w:rPr>
            </w:pPr>
          </w:p>
        </w:tc>
        <w:tc>
          <w:tcPr>
            <w:tcW w:w="0" w:type="auto"/>
          </w:tcPr>
          <w:p w14:paraId="18614178" w14:textId="77777777" w:rsidR="00EB7645" w:rsidRPr="00BE00C7" w:rsidRDefault="00C94428" w:rsidP="00BE00C7">
            <w:pPr>
              <w:pStyle w:val="OutcomeDescription"/>
              <w:spacing w:before="120" w:after="120"/>
              <w:rPr>
                <w:rFonts w:cs="Arial"/>
                <w:lang w:eastAsia="en-NZ"/>
              </w:rPr>
            </w:pPr>
            <w:r w:rsidRPr="00BE00C7">
              <w:rPr>
                <w:rFonts w:cs="Arial"/>
                <w:lang w:eastAsia="en-NZ"/>
              </w:rPr>
              <w:t>FA</w:t>
            </w:r>
          </w:p>
        </w:tc>
        <w:tc>
          <w:tcPr>
            <w:tcW w:w="0" w:type="auto"/>
          </w:tcPr>
          <w:p w14:paraId="66195FB3" w14:textId="77777777" w:rsidR="00EB7645" w:rsidRPr="00BE00C7" w:rsidRDefault="00C94428" w:rsidP="00BE00C7">
            <w:pPr>
              <w:pStyle w:val="OutcomeDescription"/>
              <w:spacing w:before="120" w:after="120"/>
              <w:rPr>
                <w:rFonts w:cs="Arial"/>
                <w:lang w:eastAsia="en-NZ"/>
              </w:rPr>
            </w:pPr>
            <w:r w:rsidRPr="00BE00C7">
              <w:rPr>
                <w:rFonts w:cs="Arial"/>
                <w:lang w:eastAsia="en-NZ"/>
              </w:rPr>
              <w:t>Residents and family/whānau stated that they have not witnessed or suspected abuse and neglect, and that staff maintain professional boundaries. The employee handbook includes professional boundaries information. Information about individual values and bel</w:t>
            </w:r>
            <w:r w:rsidRPr="00BE00C7">
              <w:rPr>
                <w:rFonts w:cs="Arial"/>
                <w:lang w:eastAsia="en-NZ"/>
              </w:rPr>
              <w:t>iefs, ethnicity, religion, disabilities, gender, sexual orientation, relationship status and other social identities or characteristics is sought from residents and their family/whānau on admission. Residents and family/whānau confirmed they were consulted</w:t>
            </w:r>
            <w:r w:rsidRPr="00BE00C7">
              <w:rPr>
                <w:rFonts w:cs="Arial"/>
                <w:lang w:eastAsia="en-NZ"/>
              </w:rPr>
              <w:t xml:space="preserve"> on individual values and beliefs and staff respected these.  </w:t>
            </w:r>
          </w:p>
          <w:p w14:paraId="76793E53" w14:textId="77777777" w:rsidR="00EB7645" w:rsidRPr="00BE00C7" w:rsidRDefault="00C94428" w:rsidP="00BE00C7">
            <w:pPr>
              <w:pStyle w:val="OutcomeDescription"/>
              <w:spacing w:before="120" w:after="120"/>
              <w:rPr>
                <w:rFonts w:cs="Arial"/>
                <w:lang w:eastAsia="en-NZ"/>
              </w:rPr>
            </w:pPr>
            <w:r w:rsidRPr="00BE00C7">
              <w:rPr>
                <w:rFonts w:cs="Arial"/>
                <w:lang w:eastAsia="en-NZ"/>
              </w:rPr>
              <w:t>Staff have received education on elder abuse and neglect. Residents reported that they are free to express any concerns to the management team when required, and these are responded to promptly</w:t>
            </w:r>
            <w:r w:rsidRPr="00BE00C7">
              <w:rPr>
                <w:rFonts w:cs="Arial"/>
                <w:lang w:eastAsia="en-NZ"/>
              </w:rPr>
              <w:t xml:space="preserve">.    </w:t>
            </w:r>
          </w:p>
          <w:p w14:paraId="2458F05D" w14:textId="77777777" w:rsidR="00EB7645" w:rsidRPr="00BE00C7" w:rsidRDefault="00C94428" w:rsidP="00BE00C7">
            <w:pPr>
              <w:pStyle w:val="OutcomeDescription"/>
              <w:spacing w:before="120" w:after="120"/>
              <w:rPr>
                <w:rFonts w:cs="Arial"/>
                <w:lang w:eastAsia="en-NZ"/>
              </w:rPr>
            </w:pPr>
            <w:r w:rsidRPr="00BE00C7">
              <w:rPr>
                <w:rFonts w:cs="Arial"/>
                <w:lang w:eastAsia="en-NZ"/>
              </w:rPr>
              <w:t>Residents’ property is labelled on admission, and residents reported that their property is respected. Residents’ money is safely stored.</w:t>
            </w:r>
          </w:p>
          <w:p w14:paraId="0309DD28" w14:textId="77777777" w:rsidR="00EB7645" w:rsidRPr="00BE00C7" w:rsidRDefault="00C94428" w:rsidP="00BE00C7">
            <w:pPr>
              <w:pStyle w:val="OutcomeDescription"/>
              <w:spacing w:before="120" w:after="120"/>
              <w:rPr>
                <w:rFonts w:cs="Arial"/>
                <w:lang w:eastAsia="en-NZ"/>
              </w:rPr>
            </w:pPr>
          </w:p>
        </w:tc>
      </w:tr>
      <w:tr w:rsidR="00BA1D1C" w14:paraId="134CE328" w14:textId="77777777">
        <w:tc>
          <w:tcPr>
            <w:tcW w:w="0" w:type="auto"/>
          </w:tcPr>
          <w:p w14:paraId="43CF7D0D" w14:textId="77777777" w:rsidR="00EB7645" w:rsidRPr="00BE00C7" w:rsidRDefault="00C94428" w:rsidP="00BE00C7">
            <w:pPr>
              <w:pStyle w:val="OutcomeDescription"/>
              <w:spacing w:before="120" w:after="120"/>
              <w:rPr>
                <w:rFonts w:cs="Arial"/>
                <w:lang w:eastAsia="en-NZ"/>
              </w:rPr>
            </w:pPr>
            <w:r w:rsidRPr="00BE00C7">
              <w:rPr>
                <w:rFonts w:cs="Arial"/>
                <w:lang w:eastAsia="en-NZ"/>
              </w:rPr>
              <w:t>Subsection 1.7: I am informed and able to make choices</w:t>
            </w:r>
          </w:p>
          <w:p w14:paraId="09FD25AE" w14:textId="77777777" w:rsidR="00EB7645" w:rsidRPr="00BE00C7" w:rsidRDefault="00C94428" w:rsidP="00BE00C7">
            <w:pPr>
              <w:pStyle w:val="OutcomeDescription"/>
              <w:spacing w:before="120" w:after="120"/>
              <w:rPr>
                <w:rFonts w:cs="Arial"/>
                <w:lang w:eastAsia="en-NZ"/>
              </w:rPr>
            </w:pPr>
            <w:r w:rsidRPr="00BE00C7">
              <w:rPr>
                <w:rFonts w:cs="Arial"/>
                <w:lang w:eastAsia="en-NZ"/>
              </w:rPr>
              <w:t>The people: I know I will be asked for my views. My cho</w:t>
            </w:r>
            <w:r w:rsidRPr="00BE00C7">
              <w:rPr>
                <w:rFonts w:cs="Arial"/>
                <w:lang w:eastAsia="en-NZ"/>
              </w:rPr>
              <w:t xml:space="preserve">ices will be respected when making decisions about my wellbeing. If my choices cannot be upheld, I will be provided with information </w:t>
            </w:r>
            <w:r w:rsidRPr="00BE00C7">
              <w:rPr>
                <w:rFonts w:cs="Arial"/>
                <w:lang w:eastAsia="en-NZ"/>
              </w:rPr>
              <w:lastRenderedPageBreak/>
              <w:t>that supports me to understand why.</w:t>
            </w:r>
            <w:r w:rsidRPr="00BE00C7">
              <w:rPr>
                <w:rFonts w:cs="Arial"/>
                <w:lang w:eastAsia="en-NZ"/>
              </w:rPr>
              <w:br/>
              <w:t>Te Tiriti: High-quality services are provided that are easy to access and navigate. Pro</w:t>
            </w:r>
            <w:r w:rsidRPr="00BE00C7">
              <w:rPr>
                <w:rFonts w:cs="Arial"/>
                <w:lang w:eastAsia="en-NZ"/>
              </w:rPr>
              <w:t>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w:t>
            </w:r>
            <w:r w:rsidRPr="00BE00C7">
              <w:rPr>
                <w:rFonts w:cs="Arial"/>
                <w:lang w:eastAsia="en-NZ"/>
              </w:rPr>
              <w:t>ry to make informed decisions in accordance with their rights and their ability to exercise independence, choice, and control.</w:t>
            </w:r>
          </w:p>
          <w:p w14:paraId="4F9B4267" w14:textId="77777777" w:rsidR="00EB7645" w:rsidRPr="00BE00C7" w:rsidRDefault="00C94428" w:rsidP="00BE00C7">
            <w:pPr>
              <w:pStyle w:val="OutcomeDescription"/>
              <w:spacing w:before="120" w:after="120"/>
              <w:rPr>
                <w:rFonts w:cs="Arial"/>
                <w:lang w:eastAsia="en-NZ"/>
              </w:rPr>
            </w:pPr>
          </w:p>
        </w:tc>
        <w:tc>
          <w:tcPr>
            <w:tcW w:w="0" w:type="auto"/>
          </w:tcPr>
          <w:p w14:paraId="124F3A1E" w14:textId="77777777" w:rsidR="00EB7645" w:rsidRPr="00BE00C7" w:rsidRDefault="00C9442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4755C6E" w14:textId="787A7EA7" w:rsidR="00EB7645" w:rsidRPr="00BE00C7" w:rsidRDefault="00C94428" w:rsidP="00BE00C7">
            <w:pPr>
              <w:pStyle w:val="OutcomeDescription"/>
              <w:spacing w:before="120" w:after="120"/>
              <w:rPr>
                <w:rFonts w:cs="Arial"/>
                <w:lang w:eastAsia="en-NZ"/>
              </w:rPr>
            </w:pPr>
            <w:r w:rsidRPr="00BE00C7">
              <w:rPr>
                <w:rFonts w:cs="Arial"/>
                <w:lang w:eastAsia="en-NZ"/>
              </w:rPr>
              <w:t>Residents confirmed they are provided with information and were involved in the consent processes. Where required, residents’</w:t>
            </w:r>
            <w:r w:rsidRPr="00BE00C7">
              <w:rPr>
                <w:rFonts w:cs="Arial"/>
                <w:lang w:eastAsia="en-NZ"/>
              </w:rPr>
              <w:t xml:space="preserve"> legal representatives were involved in the consent process. Informed consent</w:t>
            </w:r>
            <w:r w:rsidR="004F6CC9">
              <w:rPr>
                <w:rFonts w:cs="Arial"/>
                <w:lang w:eastAsia="en-NZ"/>
              </w:rPr>
              <w:t xml:space="preserve"> </w:t>
            </w:r>
            <w:r w:rsidRPr="00BE00C7">
              <w:rPr>
                <w:rFonts w:cs="Arial"/>
                <w:lang w:eastAsia="en-NZ"/>
              </w:rPr>
              <w:lastRenderedPageBreak/>
              <w:t>was obtained as part of the admission documents which the resident and/or their legal representative sign on admission.</w:t>
            </w:r>
          </w:p>
          <w:p w14:paraId="25679F09" w14:textId="77777777" w:rsidR="00EB7645" w:rsidRPr="00BE00C7" w:rsidRDefault="00C94428" w:rsidP="00BE00C7">
            <w:pPr>
              <w:pStyle w:val="OutcomeDescription"/>
              <w:spacing w:before="120" w:after="120"/>
              <w:rPr>
                <w:rFonts w:cs="Arial"/>
                <w:lang w:eastAsia="en-NZ"/>
              </w:rPr>
            </w:pPr>
          </w:p>
        </w:tc>
      </w:tr>
      <w:tr w:rsidR="00BA1D1C" w14:paraId="09344EFB" w14:textId="77777777">
        <w:tc>
          <w:tcPr>
            <w:tcW w:w="0" w:type="auto"/>
          </w:tcPr>
          <w:p w14:paraId="07B32291" w14:textId="77777777" w:rsidR="00EB7645" w:rsidRPr="00BE00C7" w:rsidRDefault="00C94428"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7E41CE84" w14:textId="77777777" w:rsidR="00EB7645" w:rsidRPr="00BE00C7" w:rsidRDefault="00C94428"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I feel it is easy to make a complaint. When I complain I am taken seriously and receive a timely response.</w:t>
            </w:r>
            <w:r w:rsidRPr="00BE00C7">
              <w:rPr>
                <w:rFonts w:cs="Arial"/>
                <w:lang w:eastAsia="en-NZ"/>
              </w:rPr>
              <w:br/>
              <w:t xml:space="preserve">Te Tiriti: Māori and whānau are at the centre of the health and disability system, as active partners in improving the system and their care </w:t>
            </w:r>
            <w:r w:rsidRPr="00BE00C7">
              <w:rPr>
                <w:rFonts w:cs="Arial"/>
                <w:lang w:eastAsia="en-NZ"/>
              </w:rPr>
              <w:t>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D9CA6D9" w14:textId="77777777" w:rsidR="00EB7645" w:rsidRPr="00BE00C7" w:rsidRDefault="00C94428" w:rsidP="00BE00C7">
            <w:pPr>
              <w:pStyle w:val="OutcomeDescription"/>
              <w:spacing w:before="120" w:after="120"/>
              <w:rPr>
                <w:rFonts w:cs="Arial"/>
                <w:lang w:eastAsia="en-NZ"/>
              </w:rPr>
            </w:pPr>
          </w:p>
        </w:tc>
        <w:tc>
          <w:tcPr>
            <w:tcW w:w="0" w:type="auto"/>
          </w:tcPr>
          <w:p w14:paraId="3DB9A747" w14:textId="77777777" w:rsidR="00EB7645" w:rsidRPr="00BE00C7" w:rsidRDefault="00C94428" w:rsidP="00BE00C7">
            <w:pPr>
              <w:pStyle w:val="OutcomeDescription"/>
              <w:spacing w:before="120" w:after="120"/>
              <w:rPr>
                <w:rFonts w:cs="Arial"/>
                <w:lang w:eastAsia="en-NZ"/>
              </w:rPr>
            </w:pPr>
            <w:r w:rsidRPr="00BE00C7">
              <w:rPr>
                <w:rFonts w:cs="Arial"/>
                <w:lang w:eastAsia="en-NZ"/>
              </w:rPr>
              <w:t>FA</w:t>
            </w:r>
          </w:p>
        </w:tc>
        <w:tc>
          <w:tcPr>
            <w:tcW w:w="0" w:type="auto"/>
          </w:tcPr>
          <w:p w14:paraId="16531D78" w14:textId="77777777" w:rsidR="00EB7645" w:rsidRPr="00BE00C7" w:rsidRDefault="00C94428" w:rsidP="00BE00C7">
            <w:pPr>
              <w:pStyle w:val="OutcomeDescription"/>
              <w:spacing w:before="120" w:after="120"/>
              <w:rPr>
                <w:rFonts w:cs="Arial"/>
                <w:lang w:eastAsia="en-NZ"/>
              </w:rPr>
            </w:pPr>
            <w:r w:rsidRPr="00BE00C7">
              <w:rPr>
                <w:rFonts w:cs="Arial"/>
                <w:lang w:eastAsia="en-NZ"/>
              </w:rPr>
              <w:t>Policy and procedure outline the process for complaints, i</w:t>
            </w:r>
            <w:r w:rsidRPr="00BE00C7">
              <w:rPr>
                <w:rFonts w:cs="Arial"/>
                <w:lang w:eastAsia="en-NZ"/>
              </w:rPr>
              <w:t xml:space="preserve">ncluding specifying considerations for Māori. A fair, transparent, and equitable system is in place to receive and resolve complaints and that leads to improvements. This meets the requirements of the Code. </w:t>
            </w:r>
          </w:p>
          <w:p w14:paraId="0D9E53CC" w14:textId="77777777" w:rsidR="00EB7645" w:rsidRPr="00BE00C7" w:rsidRDefault="00C94428" w:rsidP="00BE00C7">
            <w:pPr>
              <w:pStyle w:val="OutcomeDescription"/>
              <w:spacing w:before="120" w:after="120"/>
              <w:rPr>
                <w:rFonts w:cs="Arial"/>
                <w:lang w:eastAsia="en-NZ"/>
              </w:rPr>
            </w:pPr>
            <w:r w:rsidRPr="00BE00C7">
              <w:rPr>
                <w:rFonts w:cs="Arial"/>
                <w:lang w:eastAsia="en-NZ"/>
              </w:rPr>
              <w:t>Complaints information is given to residents and</w:t>
            </w:r>
            <w:r w:rsidRPr="00BE00C7">
              <w:rPr>
                <w:rFonts w:cs="Arial"/>
                <w:lang w:eastAsia="en-NZ"/>
              </w:rPr>
              <w:t xml:space="preserve"> family/whanau on admission along with advocacy information. Residents and family/whānau interviewed understood their right to make a complaint, knew how to do so, and understood their right to advocacy. A hard copy complaint/compliment register is maintai</w:t>
            </w:r>
            <w:r w:rsidRPr="00BE00C7">
              <w:rPr>
                <w:rFonts w:cs="Arial"/>
                <w:lang w:eastAsia="en-NZ"/>
              </w:rPr>
              <w:t xml:space="preserve">ned by the facility manager. Records of the one complaint received since the previous audit contained evidence of investigation, follow-up, and replies to the complainant. Corrective actions (where possible) had been identified and implemented. </w:t>
            </w:r>
          </w:p>
          <w:p w14:paraId="0E016C5D" w14:textId="77777777" w:rsidR="00EB7645" w:rsidRPr="00BE00C7" w:rsidRDefault="00C94428" w:rsidP="00BE00C7">
            <w:pPr>
              <w:pStyle w:val="OutcomeDescription"/>
              <w:spacing w:before="120" w:after="120"/>
              <w:rPr>
                <w:rFonts w:cs="Arial"/>
                <w:lang w:eastAsia="en-NZ"/>
              </w:rPr>
            </w:pPr>
            <w:r w:rsidRPr="00BE00C7">
              <w:rPr>
                <w:rFonts w:cs="Arial"/>
                <w:lang w:eastAsia="en-NZ"/>
              </w:rPr>
              <w:t>The FM was</w:t>
            </w:r>
            <w:r w:rsidRPr="00BE00C7">
              <w:rPr>
                <w:rFonts w:cs="Arial"/>
                <w:lang w:eastAsia="en-NZ"/>
              </w:rPr>
              <w:t xml:space="preserve"> not aware of any complaints received from the Office of the Health and Disability Commissioner (HDC) or Te Whatu Ora.</w:t>
            </w:r>
          </w:p>
          <w:p w14:paraId="67A6E88D" w14:textId="77777777" w:rsidR="00EB7645" w:rsidRPr="00BE00C7" w:rsidRDefault="00C94428" w:rsidP="00BE00C7">
            <w:pPr>
              <w:pStyle w:val="OutcomeDescription"/>
              <w:spacing w:before="120" w:after="120"/>
              <w:rPr>
                <w:rFonts w:cs="Arial"/>
                <w:lang w:eastAsia="en-NZ"/>
              </w:rPr>
            </w:pPr>
          </w:p>
        </w:tc>
      </w:tr>
      <w:tr w:rsidR="00BA1D1C" w14:paraId="58BC64DD" w14:textId="77777777">
        <w:tc>
          <w:tcPr>
            <w:tcW w:w="0" w:type="auto"/>
          </w:tcPr>
          <w:p w14:paraId="36C699EC" w14:textId="77777777" w:rsidR="00EB7645" w:rsidRPr="00BE00C7" w:rsidRDefault="00C94428" w:rsidP="00BE00C7">
            <w:pPr>
              <w:pStyle w:val="OutcomeDescription"/>
              <w:spacing w:before="120" w:after="120"/>
              <w:rPr>
                <w:rFonts w:cs="Arial"/>
                <w:lang w:eastAsia="en-NZ"/>
              </w:rPr>
            </w:pPr>
            <w:r w:rsidRPr="00BE00C7">
              <w:rPr>
                <w:rFonts w:cs="Arial"/>
                <w:lang w:eastAsia="en-NZ"/>
              </w:rPr>
              <w:t>Subsection 2.1: Governance</w:t>
            </w:r>
          </w:p>
          <w:p w14:paraId="7C0BC90C" w14:textId="77777777" w:rsidR="00EB7645" w:rsidRPr="00BE00C7" w:rsidRDefault="00C94428"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w:t>
            </w:r>
            <w:r w:rsidRPr="00BE00C7">
              <w:rPr>
                <w:rFonts w:cs="Arial"/>
                <w:lang w:eastAsia="en-NZ"/>
              </w:rPr>
              <w:t>r the communities they serve.</w:t>
            </w:r>
            <w:r w:rsidRPr="00BE00C7">
              <w:rPr>
                <w:rFonts w:cs="Arial"/>
                <w:lang w:eastAsia="en-NZ"/>
              </w:rPr>
              <w:br/>
              <w:t xml:space="preserve">Te Tiriti: Honouring Te Tiriti, Māori participate in governance in partnership, experiencing meaningful inclusion on all governance bodies and having substantive input into </w:t>
            </w:r>
            <w:r w:rsidRPr="00BE00C7">
              <w:rPr>
                <w:rFonts w:cs="Arial"/>
                <w:lang w:eastAsia="en-NZ"/>
              </w:rPr>
              <w:lastRenderedPageBreak/>
              <w:t>organisational operational policies.</w:t>
            </w:r>
            <w:r w:rsidRPr="00BE00C7">
              <w:rPr>
                <w:rFonts w:cs="Arial"/>
                <w:lang w:eastAsia="en-NZ"/>
              </w:rPr>
              <w:br/>
              <w:t>As service provi</w:t>
            </w:r>
            <w:r w:rsidRPr="00BE00C7">
              <w:rPr>
                <w:rFonts w:cs="Arial"/>
                <w:lang w:eastAsia="en-NZ"/>
              </w:rPr>
              <w:t>ders: Our governance body is accountable for delivering a highquality service that is responsive, inclusive, and sensitive to the cultural diversity of communities we serve.</w:t>
            </w:r>
          </w:p>
          <w:p w14:paraId="6B2CDB26" w14:textId="77777777" w:rsidR="00EB7645" w:rsidRPr="00BE00C7" w:rsidRDefault="00C94428" w:rsidP="00BE00C7">
            <w:pPr>
              <w:pStyle w:val="OutcomeDescription"/>
              <w:spacing w:before="120" w:after="120"/>
              <w:rPr>
                <w:rFonts w:cs="Arial"/>
                <w:lang w:eastAsia="en-NZ"/>
              </w:rPr>
            </w:pPr>
          </w:p>
        </w:tc>
        <w:tc>
          <w:tcPr>
            <w:tcW w:w="0" w:type="auto"/>
          </w:tcPr>
          <w:p w14:paraId="32E04282" w14:textId="77777777" w:rsidR="00EB7645" w:rsidRPr="00BE00C7" w:rsidRDefault="00C9442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06438E3" w14:textId="77777777" w:rsidR="00EB7645" w:rsidRPr="00BE00C7" w:rsidRDefault="00C94428" w:rsidP="00BE00C7">
            <w:pPr>
              <w:pStyle w:val="OutcomeDescription"/>
              <w:spacing w:before="120" w:after="120"/>
              <w:rPr>
                <w:rFonts w:cs="Arial"/>
                <w:lang w:eastAsia="en-NZ"/>
              </w:rPr>
            </w:pPr>
            <w:r w:rsidRPr="00BE00C7">
              <w:rPr>
                <w:rFonts w:cs="Arial"/>
                <w:lang w:eastAsia="en-NZ"/>
              </w:rPr>
              <w:t>Waihi Lifecare is committed to maintaining full compliance with all legislativ</w:t>
            </w:r>
            <w:r w:rsidRPr="00BE00C7">
              <w:rPr>
                <w:rFonts w:cs="Arial"/>
                <w:lang w:eastAsia="en-NZ"/>
              </w:rPr>
              <w:t>e requirements and contractual obligations with the funder. The organisation has a mission statement, philosophy, vision, and core values and a statement of purpose. The business plan is clearly documented and includes annual goals. These goals are reviewe</w:t>
            </w:r>
            <w:r w:rsidRPr="00BE00C7">
              <w:rPr>
                <w:rFonts w:cs="Arial"/>
                <w:lang w:eastAsia="en-NZ"/>
              </w:rPr>
              <w:t>d for progress and achievement at regular intervals with a full review and report each year.</w:t>
            </w:r>
          </w:p>
          <w:p w14:paraId="7FE73720" w14:textId="77777777" w:rsidR="00EB7645" w:rsidRPr="00BE00C7" w:rsidRDefault="00C94428" w:rsidP="00BE00C7">
            <w:pPr>
              <w:pStyle w:val="OutcomeDescription"/>
              <w:spacing w:before="120" w:after="120"/>
              <w:rPr>
                <w:rFonts w:cs="Arial"/>
                <w:lang w:eastAsia="en-NZ"/>
              </w:rPr>
            </w:pPr>
            <w:r w:rsidRPr="00BE00C7">
              <w:rPr>
                <w:rFonts w:cs="Arial"/>
                <w:lang w:eastAsia="en-NZ"/>
              </w:rPr>
              <w:lastRenderedPageBreak/>
              <w:t xml:space="preserve">The director and management team confirmed knowledge of the aged residential care sector. The director assumes accountability for delivering high-quality services </w:t>
            </w:r>
            <w:r w:rsidRPr="00BE00C7">
              <w:rPr>
                <w:rFonts w:cs="Arial"/>
                <w:lang w:eastAsia="en-NZ"/>
              </w:rPr>
              <w:t>through the implementation of the business plan, and having a leadership structure in place which is appropriate for the size and nature of the services provided. Governance demonstrated leadership and commitment to quality and risk management. The directo</w:t>
            </w:r>
            <w:r w:rsidRPr="00BE00C7">
              <w:rPr>
                <w:rFonts w:cs="Arial"/>
                <w:lang w:eastAsia="en-NZ"/>
              </w:rPr>
              <w:t>r and managers meet weekly to discuss business and operational matters and to review clinical data such as incidents, infections and restraint. These are signed off by the director.</w:t>
            </w:r>
          </w:p>
          <w:p w14:paraId="643ABE95" w14:textId="77777777" w:rsidR="00EB7645" w:rsidRPr="00BE00C7" w:rsidRDefault="00C94428" w:rsidP="00BE00C7">
            <w:pPr>
              <w:pStyle w:val="OutcomeDescription"/>
              <w:spacing w:before="120" w:after="120"/>
              <w:rPr>
                <w:rFonts w:cs="Arial"/>
                <w:lang w:eastAsia="en-NZ"/>
              </w:rPr>
            </w:pPr>
            <w:r w:rsidRPr="00BE00C7">
              <w:rPr>
                <w:rFonts w:cs="Arial"/>
                <w:lang w:eastAsia="en-NZ"/>
              </w:rPr>
              <w:t>Policy outlines the service’s commitment to improved outcomes and equity f</w:t>
            </w:r>
            <w:r w:rsidRPr="00BE00C7">
              <w:rPr>
                <w:rFonts w:cs="Arial"/>
                <w:lang w:eastAsia="en-NZ"/>
              </w:rPr>
              <w:t>or Māori, Pacific peoples, and tāngata whaikaha.  Health plans are available that align with Te Whare Tapa Whā and Ola Manuia. Mechanisms are in place to gather equity data and improve outcomes, including infections. The organisation actively works to redu</w:t>
            </w:r>
            <w:r w:rsidRPr="00BE00C7">
              <w:rPr>
                <w:rFonts w:cs="Arial"/>
                <w:lang w:eastAsia="en-NZ"/>
              </w:rPr>
              <w:t>ce any barriers to access ensuring the entry process is equitable.  This includes reviewing services for tāngata whaikaha via the care planning and review process and environmental audits.</w:t>
            </w:r>
          </w:p>
          <w:p w14:paraId="3CAE52FD" w14:textId="77777777" w:rsidR="00EB7645" w:rsidRPr="00BE00C7" w:rsidRDefault="00C94428" w:rsidP="00BE00C7">
            <w:pPr>
              <w:pStyle w:val="OutcomeDescription"/>
              <w:spacing w:before="120" w:after="120"/>
              <w:rPr>
                <w:rFonts w:cs="Arial"/>
                <w:lang w:eastAsia="en-NZ"/>
              </w:rPr>
            </w:pPr>
            <w:r w:rsidRPr="00BE00C7">
              <w:rPr>
                <w:rFonts w:cs="Arial"/>
                <w:lang w:eastAsia="en-NZ"/>
              </w:rPr>
              <w:t>The service provider has contracts with Te Whatu Ora Waikato for re</w:t>
            </w:r>
            <w:r w:rsidRPr="00BE00C7">
              <w:rPr>
                <w:rFonts w:cs="Arial"/>
                <w:lang w:eastAsia="en-NZ"/>
              </w:rPr>
              <w:t>st home and hospital level care, respite care, long term chronic care, and primary care inpatient services. Service delivery and the contract for primary maternity services has ceased.</w:t>
            </w:r>
          </w:p>
          <w:p w14:paraId="06B28D3A" w14:textId="77777777" w:rsidR="00EB7645" w:rsidRPr="00BE00C7" w:rsidRDefault="00C94428" w:rsidP="00BE00C7">
            <w:pPr>
              <w:pStyle w:val="OutcomeDescription"/>
              <w:spacing w:before="120" w:after="120"/>
              <w:rPr>
                <w:rFonts w:cs="Arial"/>
                <w:lang w:eastAsia="en-NZ"/>
              </w:rPr>
            </w:pPr>
            <w:r w:rsidRPr="00BE00C7">
              <w:rPr>
                <w:rFonts w:cs="Arial"/>
                <w:lang w:eastAsia="en-NZ"/>
              </w:rPr>
              <w:t>On the day of audit 51 of the 54 available rest home/hospital beds were</w:t>
            </w:r>
            <w:r w:rsidRPr="00BE00C7">
              <w:rPr>
                <w:rFonts w:cs="Arial"/>
                <w:lang w:eastAsia="en-NZ"/>
              </w:rPr>
              <w:t xml:space="preserve"> occupied. Twenty (20) residents were assessed at rest home level of care, and thirty-one (31) residents were assessed as hospital level of care, one of whom was under a long-term support chronic health care contract (LTS-CHC).  There were no respite or pr</w:t>
            </w:r>
            <w:r w:rsidRPr="00BE00C7">
              <w:rPr>
                <w:rFonts w:cs="Arial"/>
                <w:lang w:eastAsia="en-NZ"/>
              </w:rPr>
              <w:t>imary care residents on site.</w:t>
            </w:r>
          </w:p>
          <w:p w14:paraId="0AE0B155" w14:textId="77777777" w:rsidR="00EB7645" w:rsidRPr="00BE00C7" w:rsidRDefault="00C94428" w:rsidP="00BE00C7">
            <w:pPr>
              <w:pStyle w:val="OutcomeDescription"/>
              <w:spacing w:before="120" w:after="120"/>
              <w:rPr>
                <w:rFonts w:cs="Arial"/>
                <w:lang w:eastAsia="en-NZ"/>
              </w:rPr>
            </w:pPr>
            <w:r w:rsidRPr="00BE00C7">
              <w:rPr>
                <w:rFonts w:cs="Arial"/>
                <w:lang w:eastAsia="en-NZ"/>
              </w:rPr>
              <w:t>On the day of audit and until the use of the 11 additional beds is approved, the facility had twenty-one (21) designated rest home beds, eight dual purpose beds (increased in December 2023) and twenty-five (25) designated hosp</w:t>
            </w:r>
            <w:r w:rsidRPr="00BE00C7">
              <w:rPr>
                <w:rFonts w:cs="Arial"/>
                <w:lang w:eastAsia="en-NZ"/>
              </w:rPr>
              <w:t>ital level beds.  The additional beds will bring the total of beds available to 65. This being 22 rest home, 18 dual purpose and 25 designated hospital beds.</w:t>
            </w:r>
          </w:p>
          <w:p w14:paraId="68FFB363" w14:textId="77777777" w:rsidR="00EB7645" w:rsidRPr="00BE00C7" w:rsidRDefault="00C94428" w:rsidP="00BE00C7">
            <w:pPr>
              <w:pStyle w:val="OutcomeDescription"/>
              <w:spacing w:before="120" w:after="120"/>
              <w:rPr>
                <w:rFonts w:cs="Arial"/>
                <w:lang w:eastAsia="en-NZ"/>
              </w:rPr>
            </w:pPr>
            <w:r w:rsidRPr="00BE00C7">
              <w:rPr>
                <w:rFonts w:cs="Arial"/>
                <w:lang w:eastAsia="en-NZ"/>
              </w:rPr>
              <w:t>Clinical governance is overseen by the FM and CLN in consultation with the service general practit</w:t>
            </w:r>
            <w:r w:rsidRPr="00BE00C7">
              <w:rPr>
                <w:rFonts w:cs="Arial"/>
                <w:lang w:eastAsia="en-NZ"/>
              </w:rPr>
              <w:t xml:space="preserve">ioners and geriatric speciality team members </w:t>
            </w:r>
            <w:r w:rsidRPr="00BE00C7">
              <w:rPr>
                <w:rFonts w:cs="Arial"/>
                <w:lang w:eastAsia="en-NZ"/>
              </w:rPr>
              <w:lastRenderedPageBreak/>
              <w:t>from Te Whatu Ora. Minutes of monthly RN meetings also demonstrated aspects of clinical governance.</w:t>
            </w:r>
          </w:p>
          <w:p w14:paraId="3491CEEF" w14:textId="77777777" w:rsidR="00EB7645" w:rsidRPr="00BE00C7" w:rsidRDefault="00C94428" w:rsidP="00BE00C7">
            <w:pPr>
              <w:pStyle w:val="OutcomeDescription"/>
              <w:spacing w:before="120" w:after="120"/>
              <w:rPr>
                <w:rFonts w:cs="Arial"/>
                <w:lang w:eastAsia="en-NZ"/>
              </w:rPr>
            </w:pPr>
          </w:p>
        </w:tc>
      </w:tr>
      <w:tr w:rsidR="00BA1D1C" w14:paraId="28A2216B" w14:textId="77777777">
        <w:tc>
          <w:tcPr>
            <w:tcW w:w="0" w:type="auto"/>
          </w:tcPr>
          <w:p w14:paraId="4E765B69" w14:textId="77777777" w:rsidR="00EB7645" w:rsidRPr="00BE00C7" w:rsidRDefault="00C94428"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D9D9EEA" w14:textId="77777777" w:rsidR="00EB7645" w:rsidRPr="00BE00C7" w:rsidRDefault="00C94428" w:rsidP="00BE00C7">
            <w:pPr>
              <w:pStyle w:val="OutcomeDescription"/>
              <w:spacing w:before="120" w:after="120"/>
              <w:rPr>
                <w:rFonts w:cs="Arial"/>
                <w:lang w:eastAsia="en-NZ"/>
              </w:rPr>
            </w:pPr>
            <w:r w:rsidRPr="00BE00C7">
              <w:rPr>
                <w:rFonts w:cs="Arial"/>
                <w:lang w:eastAsia="en-NZ"/>
              </w:rPr>
              <w:t xml:space="preserve">The people: I trust there are systems in place that keep me safe, are </w:t>
            </w:r>
            <w:r w:rsidRPr="00BE00C7">
              <w:rPr>
                <w:rFonts w:cs="Arial"/>
                <w:lang w:eastAsia="en-NZ"/>
              </w:rPr>
              <w:t>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w:t>
            </w:r>
            <w:r w:rsidRPr="00BE00C7">
              <w:rPr>
                <w:rFonts w:cs="Arial"/>
                <w:lang w:eastAsia="en-NZ"/>
              </w:rPr>
              <w:t>ers: We have effective and organisation-wide governance systems in place relating to continuous quality improvement that take a risk-based approach, and these systems meet the needs of people using the services and our health care and support workers.</w:t>
            </w:r>
          </w:p>
          <w:p w14:paraId="12E653B2" w14:textId="77777777" w:rsidR="00EB7645" w:rsidRPr="00BE00C7" w:rsidRDefault="00C94428" w:rsidP="00BE00C7">
            <w:pPr>
              <w:pStyle w:val="OutcomeDescription"/>
              <w:spacing w:before="120" w:after="120"/>
              <w:rPr>
                <w:rFonts w:cs="Arial"/>
                <w:lang w:eastAsia="en-NZ"/>
              </w:rPr>
            </w:pPr>
          </w:p>
        </w:tc>
        <w:tc>
          <w:tcPr>
            <w:tcW w:w="0" w:type="auto"/>
          </w:tcPr>
          <w:p w14:paraId="2925A197" w14:textId="77777777" w:rsidR="00EB7645" w:rsidRPr="00BE00C7" w:rsidRDefault="00C94428" w:rsidP="00BE00C7">
            <w:pPr>
              <w:pStyle w:val="OutcomeDescription"/>
              <w:spacing w:before="120" w:after="120"/>
              <w:rPr>
                <w:rFonts w:cs="Arial"/>
                <w:lang w:eastAsia="en-NZ"/>
              </w:rPr>
            </w:pPr>
            <w:r w:rsidRPr="00BE00C7">
              <w:rPr>
                <w:rFonts w:cs="Arial"/>
                <w:lang w:eastAsia="en-NZ"/>
              </w:rPr>
              <w:t>FA</w:t>
            </w:r>
          </w:p>
        </w:tc>
        <w:tc>
          <w:tcPr>
            <w:tcW w:w="0" w:type="auto"/>
          </w:tcPr>
          <w:p w14:paraId="23B4F41A" w14:textId="77777777" w:rsidR="00EB7645" w:rsidRPr="00BE00C7" w:rsidRDefault="00C94428" w:rsidP="00BE00C7">
            <w:pPr>
              <w:pStyle w:val="OutcomeDescription"/>
              <w:spacing w:before="120" w:after="120"/>
              <w:rPr>
                <w:rFonts w:cs="Arial"/>
                <w:lang w:eastAsia="en-NZ"/>
              </w:rPr>
            </w:pPr>
            <w:r w:rsidRPr="00BE00C7">
              <w:rPr>
                <w:rFonts w:cs="Arial"/>
                <w:lang w:eastAsia="en-NZ"/>
              </w:rPr>
              <w:t>The organisation has a planned quality and risk system that reflects the principles of continuous quality improvement. This includes management of complaints and incidents, internal audit activities, health and safety reviews, monitoring of outcomes, revie</w:t>
            </w:r>
            <w:r w:rsidRPr="00BE00C7">
              <w:rPr>
                <w:rFonts w:cs="Arial"/>
                <w:lang w:eastAsia="en-NZ"/>
              </w:rPr>
              <w:t xml:space="preserve">w of policies and procedures, and review of clinical incidents including infections and restraint. Relevant corrective actions are developed and implemented to address any shortfalls. Follow-up actions are reviewed at management and RN meetings until they </w:t>
            </w:r>
            <w:r w:rsidRPr="00BE00C7">
              <w:rPr>
                <w:rFonts w:cs="Arial"/>
                <w:lang w:eastAsia="en-NZ"/>
              </w:rPr>
              <w:t>are resolved and closed out. Annual quality indicators are documented. These contain baseline measures to meet across a range of clinical and organisational areas. Progress with these is monitored by the FM and CLN in consultation with the director.</w:t>
            </w:r>
          </w:p>
          <w:p w14:paraId="70053F8A" w14:textId="746EC14C" w:rsidR="00EB7645" w:rsidRPr="00BE00C7" w:rsidRDefault="00C94428" w:rsidP="00BE00C7">
            <w:pPr>
              <w:pStyle w:val="OutcomeDescription"/>
              <w:spacing w:before="120" w:after="120"/>
              <w:rPr>
                <w:rFonts w:cs="Arial"/>
                <w:lang w:eastAsia="en-NZ"/>
              </w:rPr>
            </w:pPr>
            <w:r w:rsidRPr="00BE00C7">
              <w:rPr>
                <w:rFonts w:cs="Arial"/>
                <w:lang w:eastAsia="en-NZ"/>
              </w:rPr>
              <w:t xml:space="preserve">Waihi </w:t>
            </w:r>
            <w:r w:rsidRPr="00BE00C7">
              <w:rPr>
                <w:rFonts w:cs="Arial"/>
                <w:lang w:eastAsia="en-NZ"/>
              </w:rPr>
              <w:t>Lifecare, along with other residential aged care services has agreed to be part of a clinical feasibility study conducted by a speciality gerontology nurse progressing a doctoral thesis at the University of Auckland. This study is trialling an assessment p</w:t>
            </w:r>
            <w:r w:rsidRPr="00BE00C7">
              <w:rPr>
                <w:rFonts w:cs="Arial"/>
                <w:lang w:eastAsia="en-NZ"/>
              </w:rPr>
              <w:t>rocess which aims to measure changes in age</w:t>
            </w:r>
            <w:r w:rsidR="00570C6D">
              <w:rPr>
                <w:rFonts w:cs="Arial"/>
                <w:lang w:eastAsia="en-NZ"/>
              </w:rPr>
              <w:t>d</w:t>
            </w:r>
            <w:r w:rsidRPr="00BE00C7">
              <w:rPr>
                <w:rFonts w:cs="Arial"/>
                <w:lang w:eastAsia="en-NZ"/>
              </w:rPr>
              <w:t xml:space="preserve"> care residents using a deteriorating early warning score (DEWS). Data gathering will begin in June 2024. </w:t>
            </w:r>
          </w:p>
          <w:p w14:paraId="146396E2" w14:textId="77777777" w:rsidR="00EB7645" w:rsidRPr="00BE00C7" w:rsidRDefault="00C94428" w:rsidP="00BE00C7">
            <w:pPr>
              <w:pStyle w:val="OutcomeDescription"/>
              <w:spacing w:before="120" w:after="120"/>
              <w:rPr>
                <w:rFonts w:cs="Arial"/>
                <w:lang w:eastAsia="en-NZ"/>
              </w:rPr>
            </w:pPr>
            <w:r w:rsidRPr="00BE00C7">
              <w:rPr>
                <w:rFonts w:cs="Arial"/>
                <w:lang w:eastAsia="en-NZ"/>
              </w:rPr>
              <w:t>An organisational risk management programme is in place.  The risk management programme covers the scope o</w:t>
            </w:r>
            <w:r w:rsidRPr="00BE00C7">
              <w:rPr>
                <w:rFonts w:cs="Arial"/>
                <w:lang w:eastAsia="en-NZ"/>
              </w:rPr>
              <w:t>f the organisation, with risk levels and mitigation strategies, including the risk of potential inequities, being documented. There is evidence that actions are being implemented, monitored, and updated as required. Health and safety policies and procedure</w:t>
            </w:r>
            <w:r w:rsidRPr="00BE00C7">
              <w:rPr>
                <w:rFonts w:cs="Arial"/>
                <w:lang w:eastAsia="en-NZ"/>
              </w:rPr>
              <w:t>s are documented, along with a hazard management programme.</w:t>
            </w:r>
          </w:p>
          <w:p w14:paraId="4BA0186B" w14:textId="77777777" w:rsidR="00EB7645" w:rsidRPr="00BE00C7" w:rsidRDefault="00C94428" w:rsidP="00BE00C7">
            <w:pPr>
              <w:pStyle w:val="OutcomeDescription"/>
              <w:spacing w:before="120" w:after="120"/>
              <w:rPr>
                <w:rFonts w:cs="Arial"/>
                <w:lang w:eastAsia="en-NZ"/>
              </w:rPr>
            </w:pPr>
            <w:r w:rsidRPr="00BE00C7">
              <w:rPr>
                <w:rFonts w:cs="Arial"/>
                <w:lang w:eastAsia="en-NZ"/>
              </w:rPr>
              <w:t>A sample of incidents forms reviewed showed these were fully completed, incidents were investigated, action plans developed, and actions followed up in a timely manner. The process for managing ad</w:t>
            </w:r>
            <w:r w:rsidRPr="00BE00C7">
              <w:rPr>
                <w:rFonts w:cs="Arial"/>
                <w:lang w:eastAsia="en-NZ"/>
              </w:rPr>
              <w:t>verse events mitigates the likelihood of repeat events occurring. The adverse events management system supports learning and improvement opportunities. Documented evidence of incidents and infections being analysed to identify trends and address shortfalls</w:t>
            </w:r>
            <w:r w:rsidRPr="00BE00C7">
              <w:rPr>
                <w:rFonts w:cs="Arial"/>
                <w:lang w:eastAsia="en-NZ"/>
              </w:rPr>
              <w:t xml:space="preserve"> was sighted. The type and number of incidents, infections and restraints are presented at </w:t>
            </w:r>
            <w:r w:rsidRPr="00BE00C7">
              <w:rPr>
                <w:rFonts w:cs="Arial"/>
                <w:lang w:eastAsia="en-NZ"/>
              </w:rPr>
              <w:lastRenderedPageBreak/>
              <w:t>weekly management meetings with the director. These are collated for trends and discussed at monthly RN meetings. This information, along with outcomes from internal</w:t>
            </w:r>
            <w:r w:rsidRPr="00BE00C7">
              <w:rPr>
                <w:rFonts w:cs="Arial"/>
                <w:lang w:eastAsia="en-NZ"/>
              </w:rPr>
              <w:t xml:space="preserve"> audits, are presented to staff at their three-monthly meetings. The data is displayed in graph form in the staff room for closer inspection by all staff. The FM also produces a monthly in-house newsletter for all staff which provides information on advers</w:t>
            </w:r>
            <w:r w:rsidRPr="00BE00C7">
              <w:rPr>
                <w:rFonts w:cs="Arial"/>
                <w:lang w:eastAsia="en-NZ"/>
              </w:rPr>
              <w:t>e events, health and safety, restraint, compliments and complaints, staffing, infection control or any other matter that needs communicating. The sample of meeting minutes and other documents reviewed on site, contained sufficient detail and information to</w:t>
            </w:r>
            <w:r w:rsidRPr="00BE00C7">
              <w:rPr>
                <w:rFonts w:cs="Arial"/>
                <w:lang w:eastAsia="en-NZ"/>
              </w:rPr>
              <w:t xml:space="preserve"> measure quality and risk and report on current performance.</w:t>
            </w:r>
          </w:p>
          <w:p w14:paraId="57D5A32D" w14:textId="77777777" w:rsidR="00EB7645" w:rsidRPr="00BE00C7" w:rsidRDefault="00C94428" w:rsidP="00BE00C7">
            <w:pPr>
              <w:pStyle w:val="OutcomeDescription"/>
              <w:spacing w:before="120" w:after="120"/>
              <w:rPr>
                <w:rFonts w:cs="Arial"/>
                <w:lang w:eastAsia="en-NZ"/>
              </w:rPr>
            </w:pPr>
            <w:r w:rsidRPr="00BE00C7">
              <w:rPr>
                <w:rFonts w:cs="Arial"/>
                <w:lang w:eastAsia="en-NZ"/>
              </w:rPr>
              <w:t>The director, FM and CLN are aware of situations in which the organisation would need to report to and notify statutory authorities.  A section 31 notification for an unstageable pressure area ha</w:t>
            </w:r>
            <w:r w:rsidRPr="00BE00C7">
              <w:rPr>
                <w:rFonts w:cs="Arial"/>
                <w:lang w:eastAsia="en-NZ"/>
              </w:rPr>
              <w:t>d been submitted since the previous audit.</w:t>
            </w:r>
          </w:p>
          <w:p w14:paraId="39E1DB2D" w14:textId="77777777" w:rsidR="00EB7645" w:rsidRPr="00BE00C7" w:rsidRDefault="00C94428" w:rsidP="00BE00C7">
            <w:pPr>
              <w:pStyle w:val="OutcomeDescription"/>
              <w:spacing w:before="120" w:after="120"/>
              <w:rPr>
                <w:rFonts w:cs="Arial"/>
                <w:lang w:eastAsia="en-NZ"/>
              </w:rPr>
            </w:pPr>
          </w:p>
        </w:tc>
      </w:tr>
      <w:tr w:rsidR="00BA1D1C" w14:paraId="38D17E7D" w14:textId="77777777">
        <w:tc>
          <w:tcPr>
            <w:tcW w:w="0" w:type="auto"/>
          </w:tcPr>
          <w:p w14:paraId="6EE8D811" w14:textId="77777777" w:rsidR="00EB7645" w:rsidRPr="00BE00C7" w:rsidRDefault="00C94428"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5B5E7FA" w14:textId="77777777" w:rsidR="00EB7645" w:rsidRPr="00BE00C7" w:rsidRDefault="00C94428"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w:t>
            </w:r>
            <w:r w:rsidRPr="00BE00C7">
              <w:rPr>
                <w:rFonts w:cs="Arial"/>
                <w:lang w:eastAsia="en-NZ"/>
              </w:rPr>
              <w:t>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w:t>
            </w:r>
            <w:r w:rsidRPr="00BE00C7">
              <w:rPr>
                <w:rFonts w:cs="Arial"/>
                <w:lang w:eastAsia="en-NZ"/>
              </w:rPr>
              <w:t xml:space="preserve"> and whānau-centred services.</w:t>
            </w:r>
          </w:p>
          <w:p w14:paraId="5E915FEC" w14:textId="77777777" w:rsidR="00EB7645" w:rsidRPr="00BE00C7" w:rsidRDefault="00C94428" w:rsidP="00BE00C7">
            <w:pPr>
              <w:pStyle w:val="OutcomeDescription"/>
              <w:spacing w:before="120" w:after="120"/>
              <w:rPr>
                <w:rFonts w:cs="Arial"/>
                <w:lang w:eastAsia="en-NZ"/>
              </w:rPr>
            </w:pPr>
          </w:p>
        </w:tc>
        <w:tc>
          <w:tcPr>
            <w:tcW w:w="0" w:type="auto"/>
          </w:tcPr>
          <w:p w14:paraId="0A19D58D" w14:textId="77777777" w:rsidR="00EB7645" w:rsidRPr="00BE00C7" w:rsidRDefault="00C94428" w:rsidP="00BE00C7">
            <w:pPr>
              <w:pStyle w:val="OutcomeDescription"/>
              <w:spacing w:before="120" w:after="120"/>
              <w:rPr>
                <w:rFonts w:cs="Arial"/>
                <w:lang w:eastAsia="en-NZ"/>
              </w:rPr>
            </w:pPr>
            <w:r w:rsidRPr="00BE00C7">
              <w:rPr>
                <w:rFonts w:cs="Arial"/>
                <w:lang w:eastAsia="en-NZ"/>
              </w:rPr>
              <w:t>FA</w:t>
            </w:r>
          </w:p>
        </w:tc>
        <w:tc>
          <w:tcPr>
            <w:tcW w:w="0" w:type="auto"/>
          </w:tcPr>
          <w:p w14:paraId="1C223C85" w14:textId="77777777" w:rsidR="00EB7645" w:rsidRPr="00BE00C7" w:rsidRDefault="00C94428"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facility adjusts staffing levels t</w:t>
            </w:r>
            <w:r w:rsidRPr="00BE00C7">
              <w:rPr>
                <w:rFonts w:cs="Arial"/>
                <w:lang w:eastAsia="en-NZ"/>
              </w:rPr>
              <w:t>o meet the changing needs of residents. Care staff reported there were adequate staff to complete the work allocated to them. Residents and whānau interviewed supported this. Two family members commented they were impressed that their hospital level care r</w:t>
            </w:r>
            <w:r w:rsidRPr="00BE00C7">
              <w:rPr>
                <w:rFonts w:cs="Arial"/>
                <w:lang w:eastAsia="en-NZ"/>
              </w:rPr>
              <w:t>elatives were always up, dressed and in the lounge every time they visited. This was also observed on audit day. See comments about staff ratios below.</w:t>
            </w:r>
          </w:p>
          <w:p w14:paraId="687879EE" w14:textId="77777777" w:rsidR="00EB7645" w:rsidRPr="00BE00C7" w:rsidRDefault="00C94428" w:rsidP="00BE00C7">
            <w:pPr>
              <w:pStyle w:val="OutcomeDescription"/>
              <w:spacing w:before="120" w:after="120"/>
              <w:rPr>
                <w:rFonts w:cs="Arial"/>
                <w:lang w:eastAsia="en-NZ"/>
              </w:rPr>
            </w:pPr>
            <w:r w:rsidRPr="00BE00C7">
              <w:rPr>
                <w:rFonts w:cs="Arial"/>
                <w:lang w:eastAsia="en-NZ"/>
              </w:rPr>
              <w:t>The FM and CNL (both registered nurses with current annual practising certificates) are on site Monday t</w:t>
            </w:r>
            <w:r w:rsidRPr="00BE00C7">
              <w:rPr>
                <w:rFonts w:cs="Arial"/>
                <w:lang w:eastAsia="en-NZ"/>
              </w:rPr>
              <w:t xml:space="preserve">o Friday and share on-call after hours and on the weekends. Whoever is on call is no further away than 15 minutes from the facility. </w:t>
            </w:r>
          </w:p>
          <w:p w14:paraId="70EA8177" w14:textId="77777777" w:rsidR="00EB7645" w:rsidRPr="00BE00C7" w:rsidRDefault="00C94428" w:rsidP="00BE00C7">
            <w:pPr>
              <w:pStyle w:val="OutcomeDescription"/>
              <w:spacing w:before="120" w:after="120"/>
              <w:rPr>
                <w:rFonts w:cs="Arial"/>
                <w:lang w:eastAsia="en-NZ"/>
              </w:rPr>
            </w:pPr>
            <w:r w:rsidRPr="00BE00C7">
              <w:rPr>
                <w:rFonts w:cs="Arial"/>
                <w:lang w:eastAsia="en-NZ"/>
              </w:rPr>
              <w:t>There was one RN on morning shift, and six health care assistants (HCAs) allocated across three wings – from 6.45 am to ei</w:t>
            </w:r>
            <w:r w:rsidRPr="00BE00C7">
              <w:rPr>
                <w:rFonts w:cs="Arial"/>
                <w:lang w:eastAsia="en-NZ"/>
              </w:rPr>
              <w:t xml:space="preserve">ther 3pm or 2pm and four to five HCAs with an RN on the afternoon shift. Three HCAs and one RN are rostered on night shift. All seven RNs (including the FM and CNL) are first aid and medication competent.  Four of these </w:t>
            </w:r>
            <w:r w:rsidRPr="00BE00C7">
              <w:rPr>
                <w:rFonts w:cs="Arial"/>
                <w:lang w:eastAsia="en-NZ"/>
              </w:rPr>
              <w:lastRenderedPageBreak/>
              <w:t>RNs (including the CNL) are interRAI</w:t>
            </w:r>
            <w:r w:rsidRPr="00BE00C7">
              <w:rPr>
                <w:rFonts w:cs="Arial"/>
                <w:lang w:eastAsia="en-NZ"/>
              </w:rPr>
              <w:t xml:space="preserve"> trained and maintaining competencies. The RNs are allocated ‘paper days’ to catch up on assessments and care plans so there is often an extra RN on site. This system has been recently thwarted by planned RN leave and unexpected sickness, which has led to </w:t>
            </w:r>
            <w:r w:rsidRPr="00BE00C7">
              <w:rPr>
                <w:rFonts w:cs="Arial"/>
                <w:lang w:eastAsia="en-NZ"/>
              </w:rPr>
              <w:t>delays in the timeliness of assessment and updating of care plans. Refer to corrective actions in subsection 3.2. There has been an RN on site 24 hours a day each day and no shortage of RNs since the beginning of 2024. One more RN who is waiting for nursin</w:t>
            </w:r>
            <w:r w:rsidRPr="00BE00C7">
              <w:rPr>
                <w:rFonts w:cs="Arial"/>
                <w:lang w:eastAsia="en-NZ"/>
              </w:rPr>
              <w:t xml:space="preserve">g council registration is already employed as an HCA. </w:t>
            </w:r>
          </w:p>
          <w:p w14:paraId="6F75A28C" w14:textId="77777777" w:rsidR="00EB7645" w:rsidRPr="00BE00C7" w:rsidRDefault="00C94428" w:rsidP="00BE00C7">
            <w:pPr>
              <w:pStyle w:val="OutcomeDescription"/>
              <w:spacing w:before="120" w:after="120"/>
              <w:rPr>
                <w:rFonts w:cs="Arial"/>
                <w:lang w:eastAsia="en-NZ"/>
              </w:rPr>
            </w:pPr>
            <w:r w:rsidRPr="00BE00C7">
              <w:rPr>
                <w:rFonts w:cs="Arial"/>
                <w:lang w:eastAsia="en-NZ"/>
              </w:rPr>
              <w:t>Adjustments to staffing (adding one extra HCA) occurred in December 2023 when two single rooms were reconfigured to double rooms with dual purpose beds. Staff said they were busy, but they were able to</w:t>
            </w:r>
            <w:r w:rsidRPr="00BE00C7">
              <w:rPr>
                <w:rFonts w:cs="Arial"/>
                <w:lang w:eastAsia="en-NZ"/>
              </w:rPr>
              <w:t xml:space="preserve"> manage the workload with the number of people rostered on to each shift. The current allocation of HCAs on morning shift approximates to a ratio of one HCA to nine residents, which doesn’t take into account the extra support required by hospital level car</w:t>
            </w:r>
            <w:r w:rsidRPr="00BE00C7">
              <w:rPr>
                <w:rFonts w:cs="Arial"/>
                <w:lang w:eastAsia="en-NZ"/>
              </w:rPr>
              <w:t>e residents. The service meets the staffing requirements in the ARCC and there is not currently an industry approved and accepted staffing formula, but the age care sector generally aims for a ratio of one to five for hospital level care – depending on ind</w:t>
            </w:r>
            <w:r w:rsidRPr="00BE00C7">
              <w:rPr>
                <w:rFonts w:cs="Arial"/>
                <w:lang w:eastAsia="en-NZ"/>
              </w:rPr>
              <w:t xml:space="preserve">ividual acuity. The FM commented that staff workload is closely monitored. Staff were observed to be working in pairs with hospital residents and the feedback from families about care was positive. The staff wellness survey in February 2024 did not reveal </w:t>
            </w:r>
            <w:r w:rsidRPr="00BE00C7">
              <w:rPr>
                <w:rFonts w:cs="Arial"/>
                <w:lang w:eastAsia="en-NZ"/>
              </w:rPr>
              <w:t>any issues or concerns about workload. There have been no complaints about care.</w:t>
            </w:r>
          </w:p>
          <w:p w14:paraId="0EE9B97E" w14:textId="77777777" w:rsidR="00EB7645" w:rsidRPr="00BE00C7" w:rsidRDefault="00C94428" w:rsidP="00BE00C7">
            <w:pPr>
              <w:pStyle w:val="OutcomeDescription"/>
              <w:spacing w:before="120" w:after="120"/>
              <w:rPr>
                <w:rFonts w:cs="Arial"/>
                <w:lang w:eastAsia="en-NZ"/>
              </w:rPr>
            </w:pPr>
            <w:r w:rsidRPr="00BE00C7">
              <w:rPr>
                <w:rFonts w:cs="Arial"/>
                <w:lang w:eastAsia="en-NZ"/>
              </w:rPr>
              <w:t>The new wing of 11 beds will be staffed by two HCAs in the morning and afternoon and one at night. Five additional health care assistants have been employed (with one more pending) to meet the needs of additional residents. Additional hours for cleaning an</w:t>
            </w:r>
            <w:r w:rsidRPr="00BE00C7">
              <w:rPr>
                <w:rFonts w:cs="Arial"/>
                <w:lang w:eastAsia="en-NZ"/>
              </w:rPr>
              <w:t xml:space="preserve">d diversional therapy have already been allocated. The previous corrective action has been resolved.  </w:t>
            </w:r>
          </w:p>
          <w:p w14:paraId="377DC827" w14:textId="77777777" w:rsidR="00EB7645" w:rsidRPr="00BE00C7" w:rsidRDefault="00C94428" w:rsidP="00BE00C7">
            <w:pPr>
              <w:pStyle w:val="OutcomeDescription"/>
              <w:spacing w:before="120" w:after="120"/>
              <w:rPr>
                <w:rFonts w:cs="Arial"/>
                <w:lang w:eastAsia="en-NZ"/>
              </w:rPr>
            </w:pPr>
            <w:r w:rsidRPr="00BE00C7">
              <w:rPr>
                <w:rFonts w:cs="Arial"/>
                <w:lang w:eastAsia="en-NZ"/>
              </w:rPr>
              <w:t>The service employs an activities team which comprises a full-time diversional therapist and part-time activities assistant. Domestic (cleaning and laund</w:t>
            </w:r>
            <w:r w:rsidRPr="00BE00C7">
              <w:rPr>
                <w:rFonts w:cs="Arial"/>
                <w:lang w:eastAsia="en-NZ"/>
              </w:rPr>
              <w:t xml:space="preserve">ry), and food services are carried out by dedicated support staff seven days per week. Support staff include a receptionist, administrator, and maintenance staff. </w:t>
            </w:r>
          </w:p>
          <w:p w14:paraId="6F744E8A" w14:textId="77777777" w:rsidR="00EB7645" w:rsidRPr="00BE00C7" w:rsidRDefault="00C94428" w:rsidP="00BE00C7">
            <w:pPr>
              <w:pStyle w:val="OutcomeDescription"/>
              <w:spacing w:before="120" w:after="120"/>
              <w:rPr>
                <w:rFonts w:cs="Arial"/>
                <w:lang w:eastAsia="en-NZ"/>
              </w:rPr>
            </w:pPr>
            <w:r w:rsidRPr="00BE00C7">
              <w:rPr>
                <w:rFonts w:cs="Arial"/>
                <w:lang w:eastAsia="en-NZ"/>
              </w:rPr>
              <w:lastRenderedPageBreak/>
              <w:t xml:space="preserve">Continuing education is planned on a biennial or annual basis, including mandatory training requirements. Related competencies are assessed and support equitable service delivery. Up-to-date training records are maintained in each staff member’s personnel </w:t>
            </w:r>
            <w:r w:rsidRPr="00BE00C7">
              <w:rPr>
                <w:rFonts w:cs="Arial"/>
                <w:lang w:eastAsia="en-NZ"/>
              </w:rPr>
              <w:t>record and attendance at mandatory training and study days is monitored by the FM and CLN.  Care staff have either completed or commenced a New Zealand Qualification Authority education programme to meet the requirements of the provider’s agreement with Te</w:t>
            </w:r>
            <w:r w:rsidRPr="00BE00C7">
              <w:rPr>
                <w:rFonts w:cs="Arial"/>
                <w:lang w:eastAsia="en-NZ"/>
              </w:rPr>
              <w:t xml:space="preserve"> Whatu Ora Waikato. Records reviewed demonstrated completion of the required training and competency assessments. </w:t>
            </w:r>
          </w:p>
          <w:p w14:paraId="5BF6042F" w14:textId="77777777" w:rsidR="00EB7645" w:rsidRPr="00BE00C7" w:rsidRDefault="00C94428" w:rsidP="00BE00C7">
            <w:pPr>
              <w:pStyle w:val="OutcomeDescription"/>
              <w:spacing w:before="120" w:after="120"/>
              <w:rPr>
                <w:rFonts w:cs="Arial"/>
                <w:lang w:eastAsia="en-NZ"/>
              </w:rPr>
            </w:pPr>
            <w:r w:rsidRPr="00BE00C7">
              <w:rPr>
                <w:rFonts w:cs="Arial"/>
                <w:lang w:eastAsia="en-NZ"/>
              </w:rPr>
              <w:t>All staff have attended specific education on equity and other training on culturally safe practices and understanding unconscious bias.</w:t>
            </w:r>
          </w:p>
          <w:p w14:paraId="080B6940" w14:textId="77777777" w:rsidR="00EB7645" w:rsidRPr="00BE00C7" w:rsidRDefault="00C94428" w:rsidP="00BE00C7">
            <w:pPr>
              <w:pStyle w:val="OutcomeDescription"/>
              <w:spacing w:before="120" w:after="120"/>
              <w:rPr>
                <w:rFonts w:cs="Arial"/>
                <w:lang w:eastAsia="en-NZ"/>
              </w:rPr>
            </w:pPr>
          </w:p>
        </w:tc>
      </w:tr>
      <w:tr w:rsidR="00BA1D1C" w14:paraId="29C0EF0F" w14:textId="77777777">
        <w:tc>
          <w:tcPr>
            <w:tcW w:w="0" w:type="auto"/>
          </w:tcPr>
          <w:p w14:paraId="57EE4AC4" w14:textId="77777777" w:rsidR="00EB7645" w:rsidRPr="00BE00C7" w:rsidRDefault="00C94428" w:rsidP="00BE00C7">
            <w:pPr>
              <w:pStyle w:val="OutcomeDescription"/>
              <w:spacing w:before="120" w:after="120"/>
              <w:rPr>
                <w:rFonts w:cs="Arial"/>
                <w:lang w:eastAsia="en-NZ"/>
              </w:rPr>
            </w:pPr>
            <w:r w:rsidRPr="00BE00C7">
              <w:rPr>
                <w:rFonts w:cs="Arial"/>
                <w:lang w:eastAsia="en-NZ"/>
              </w:rPr>
              <w:lastRenderedPageBreak/>
              <w:t>Su</w:t>
            </w:r>
            <w:r w:rsidRPr="00BE00C7">
              <w:rPr>
                <w:rFonts w:cs="Arial"/>
                <w:lang w:eastAsia="en-NZ"/>
              </w:rPr>
              <w:t>bsection 2.4: Health care and support workers</w:t>
            </w:r>
          </w:p>
          <w:p w14:paraId="6BB7145F" w14:textId="77777777" w:rsidR="00EB7645" w:rsidRPr="00BE00C7" w:rsidRDefault="00C94428"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w:t>
            </w:r>
            <w:r w:rsidRPr="00BE00C7">
              <w:rPr>
                <w:rFonts w:cs="Arial"/>
                <w:lang w:eastAsia="en-NZ"/>
              </w:rPr>
              <w:t>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w:t>
            </w:r>
            <w:r w:rsidRPr="00BE00C7">
              <w:rPr>
                <w:rFonts w:cs="Arial"/>
                <w:lang w:eastAsia="en-NZ"/>
              </w:rPr>
              <w:t>nd qualified to provide clinically and culturally safe, respectful, quality care and services.</w:t>
            </w:r>
          </w:p>
          <w:p w14:paraId="6995722D" w14:textId="77777777" w:rsidR="00EB7645" w:rsidRPr="00BE00C7" w:rsidRDefault="00C94428" w:rsidP="00BE00C7">
            <w:pPr>
              <w:pStyle w:val="OutcomeDescription"/>
              <w:spacing w:before="120" w:after="120"/>
              <w:rPr>
                <w:rFonts w:cs="Arial"/>
                <w:lang w:eastAsia="en-NZ"/>
              </w:rPr>
            </w:pPr>
          </w:p>
        </w:tc>
        <w:tc>
          <w:tcPr>
            <w:tcW w:w="0" w:type="auto"/>
          </w:tcPr>
          <w:p w14:paraId="254A1752" w14:textId="77777777" w:rsidR="00EB7645" w:rsidRPr="00BE00C7" w:rsidRDefault="00C94428" w:rsidP="00BE00C7">
            <w:pPr>
              <w:pStyle w:val="OutcomeDescription"/>
              <w:spacing w:before="120" w:after="120"/>
              <w:rPr>
                <w:rFonts w:cs="Arial"/>
                <w:lang w:eastAsia="en-NZ"/>
              </w:rPr>
            </w:pPr>
            <w:r w:rsidRPr="00BE00C7">
              <w:rPr>
                <w:rFonts w:cs="Arial"/>
                <w:lang w:eastAsia="en-NZ"/>
              </w:rPr>
              <w:t>FA</w:t>
            </w:r>
          </w:p>
        </w:tc>
        <w:tc>
          <w:tcPr>
            <w:tcW w:w="0" w:type="auto"/>
          </w:tcPr>
          <w:p w14:paraId="266D58A4" w14:textId="77777777" w:rsidR="00EB7645" w:rsidRPr="00BE00C7" w:rsidRDefault="00C94428"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and include recruitment, selection, orientat</w:t>
            </w:r>
            <w:r w:rsidRPr="00BE00C7">
              <w:rPr>
                <w:rFonts w:cs="Arial"/>
                <w:lang w:eastAsia="en-NZ"/>
              </w:rPr>
              <w:t xml:space="preserve">ion and staff training and development. There are job descriptions in place for all positions that include outcomes, accountability, responsibilities, authority, and functions to be achieved in each position. A record of all employed and contracted health </w:t>
            </w:r>
            <w:r w:rsidRPr="00BE00C7">
              <w:rPr>
                <w:rFonts w:cs="Arial"/>
                <w:lang w:eastAsia="en-NZ"/>
              </w:rPr>
              <w:t>professionals’ current practising certificates is maintained. These were all sighted as current.</w:t>
            </w:r>
          </w:p>
          <w:p w14:paraId="4BEE59BA" w14:textId="77777777" w:rsidR="00EB7645" w:rsidRPr="00BE00C7" w:rsidRDefault="00C94428" w:rsidP="00BE00C7">
            <w:pPr>
              <w:pStyle w:val="OutcomeDescription"/>
              <w:spacing w:before="120" w:after="120"/>
              <w:rPr>
                <w:rFonts w:cs="Arial"/>
                <w:lang w:eastAsia="en-NZ"/>
              </w:rPr>
            </w:pPr>
            <w:r w:rsidRPr="00BE00C7">
              <w:rPr>
                <w:rFonts w:cs="Arial"/>
                <w:lang w:eastAsia="en-NZ"/>
              </w:rPr>
              <w:t>The sample of five staff records contained evidence of the recruitment process, signed employment agreements, reference checking, police vetting, COVID-19 vacc</w:t>
            </w:r>
            <w:r w:rsidRPr="00BE00C7">
              <w:rPr>
                <w:rFonts w:cs="Arial"/>
                <w:lang w:eastAsia="en-NZ"/>
              </w:rPr>
              <w:t>ination status, and completed orientation.  New staff said their orientation provided them with sufficient knowledge and that their competency with understanding emergency systems was assessed as part of this. The orientation programme is comprehensive, sp</w:t>
            </w:r>
            <w:r w:rsidRPr="00BE00C7">
              <w:rPr>
                <w:rFonts w:cs="Arial"/>
                <w:lang w:eastAsia="en-NZ"/>
              </w:rPr>
              <w:t xml:space="preserve">ecific to each role and covers all the tasks expected, including responsibilities and delegated authority.  </w:t>
            </w:r>
          </w:p>
          <w:p w14:paraId="11F51FB9" w14:textId="77777777" w:rsidR="00EB7645" w:rsidRPr="00BE00C7" w:rsidRDefault="00C94428" w:rsidP="00BE00C7">
            <w:pPr>
              <w:pStyle w:val="OutcomeDescription"/>
              <w:spacing w:before="120" w:after="120"/>
              <w:rPr>
                <w:rFonts w:cs="Arial"/>
                <w:lang w:eastAsia="en-NZ"/>
              </w:rPr>
            </w:pPr>
            <w:r w:rsidRPr="00BE00C7">
              <w:rPr>
                <w:rFonts w:cs="Arial"/>
                <w:lang w:eastAsia="en-NZ"/>
              </w:rPr>
              <w:t>The records showed that staff performance is being reviewed annually and that new staff meet with the FM to discuss their performance and any addit</w:t>
            </w:r>
            <w:r w:rsidRPr="00BE00C7">
              <w:rPr>
                <w:rFonts w:cs="Arial"/>
                <w:lang w:eastAsia="en-NZ"/>
              </w:rPr>
              <w:t xml:space="preserve">ional support they may require 90 days after they commence employment.  </w:t>
            </w:r>
          </w:p>
          <w:p w14:paraId="03CEA5F2" w14:textId="77777777" w:rsidR="00EB7645" w:rsidRPr="00BE00C7" w:rsidRDefault="00C94428" w:rsidP="00BE00C7">
            <w:pPr>
              <w:pStyle w:val="OutcomeDescription"/>
              <w:spacing w:before="120" w:after="120"/>
              <w:rPr>
                <w:rFonts w:cs="Arial"/>
                <w:lang w:eastAsia="en-NZ"/>
              </w:rPr>
            </w:pPr>
          </w:p>
        </w:tc>
      </w:tr>
      <w:tr w:rsidR="00BA1D1C" w14:paraId="5155CF0D" w14:textId="77777777">
        <w:tc>
          <w:tcPr>
            <w:tcW w:w="0" w:type="auto"/>
          </w:tcPr>
          <w:p w14:paraId="699FEA7D" w14:textId="77777777" w:rsidR="00EB7645" w:rsidRPr="00BE00C7" w:rsidRDefault="00C94428"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36F3A7A9" w14:textId="77777777" w:rsidR="00EB7645" w:rsidRPr="00BE00C7" w:rsidRDefault="00C94428"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 xml:space="preserve">Te </w:t>
            </w:r>
            <w:r w:rsidRPr="00BE00C7">
              <w:rPr>
                <w:rFonts w:cs="Arial"/>
                <w:lang w:eastAsia="en-NZ"/>
              </w:rPr>
              <w:t>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C73C79A" w14:textId="77777777" w:rsidR="00EB7645" w:rsidRPr="00BE00C7" w:rsidRDefault="00C94428" w:rsidP="00BE00C7">
            <w:pPr>
              <w:pStyle w:val="OutcomeDescription"/>
              <w:spacing w:before="120" w:after="120"/>
              <w:rPr>
                <w:rFonts w:cs="Arial"/>
                <w:lang w:eastAsia="en-NZ"/>
              </w:rPr>
            </w:pPr>
          </w:p>
        </w:tc>
        <w:tc>
          <w:tcPr>
            <w:tcW w:w="0" w:type="auto"/>
          </w:tcPr>
          <w:p w14:paraId="40BD242E" w14:textId="77777777" w:rsidR="00EB7645" w:rsidRPr="00BE00C7" w:rsidRDefault="00C94428" w:rsidP="00BE00C7">
            <w:pPr>
              <w:pStyle w:val="OutcomeDescription"/>
              <w:spacing w:before="120" w:after="120"/>
              <w:rPr>
                <w:rFonts w:cs="Arial"/>
                <w:lang w:eastAsia="en-NZ"/>
              </w:rPr>
            </w:pPr>
            <w:r w:rsidRPr="00BE00C7">
              <w:rPr>
                <w:rFonts w:cs="Arial"/>
                <w:lang w:eastAsia="en-NZ"/>
              </w:rPr>
              <w:t>PA Moderate</w:t>
            </w:r>
          </w:p>
        </w:tc>
        <w:tc>
          <w:tcPr>
            <w:tcW w:w="0" w:type="auto"/>
          </w:tcPr>
          <w:p w14:paraId="3321CC42" w14:textId="77777777" w:rsidR="00EB7645" w:rsidRPr="00BE00C7" w:rsidRDefault="00C94428" w:rsidP="00BE00C7">
            <w:pPr>
              <w:pStyle w:val="OutcomeDescription"/>
              <w:spacing w:before="120" w:after="120"/>
              <w:rPr>
                <w:rFonts w:cs="Arial"/>
                <w:lang w:eastAsia="en-NZ"/>
              </w:rPr>
            </w:pPr>
            <w:r w:rsidRPr="00BE00C7">
              <w:rPr>
                <w:rFonts w:cs="Arial"/>
                <w:lang w:eastAsia="en-NZ"/>
              </w:rPr>
              <w:t>The registe</w:t>
            </w:r>
            <w:r w:rsidRPr="00BE00C7">
              <w:rPr>
                <w:rFonts w:cs="Arial"/>
                <w:lang w:eastAsia="en-NZ"/>
              </w:rPr>
              <w:t>red nurses (RNs) complete admission assessments, care plans and care plan evaluations. However, not all assessments were completed in a timely manner, and a shortfall has been raised in relation to this. Te Whare Tapa Whā model of care is utilised for resi</w:t>
            </w:r>
            <w:r w:rsidRPr="00BE00C7">
              <w:rPr>
                <w:rFonts w:cs="Arial"/>
                <w:lang w:eastAsia="en-NZ"/>
              </w:rPr>
              <w:t>dents who identify as Māori, when required. The Māori health care plan utilised for Māori residents includes Māori healing methodologies, such as karakia, mirimiri, rongoā and special instructions for taonga. Management of specific medical conditions was w</w:t>
            </w:r>
            <w:r w:rsidRPr="00BE00C7">
              <w:rPr>
                <w:rFonts w:cs="Arial"/>
                <w:lang w:eastAsia="en-NZ"/>
              </w:rPr>
              <w:t>ell documented in the care plans, with evidence of systematic monitoring and regular evaluation of responses to planned care.</w:t>
            </w:r>
          </w:p>
          <w:p w14:paraId="32A5C7C2" w14:textId="77777777" w:rsidR="00EB7645" w:rsidRPr="00BE00C7" w:rsidRDefault="00C94428" w:rsidP="00BE00C7">
            <w:pPr>
              <w:pStyle w:val="OutcomeDescription"/>
              <w:spacing w:before="120" w:after="120"/>
              <w:rPr>
                <w:rFonts w:cs="Arial"/>
                <w:lang w:eastAsia="en-NZ"/>
              </w:rPr>
            </w:pPr>
            <w:r w:rsidRPr="00BE00C7">
              <w:rPr>
                <w:rFonts w:cs="Arial"/>
                <w:lang w:eastAsia="en-NZ"/>
              </w:rPr>
              <w:t>Changes in residents’ health were escalated to the general practitioner (GP) and the nurse practitioner (NP). Timely referrals to relevant specialist services as indicated, were completed. The interviewed GP confirmed satisfaction with the care being provi</w:t>
            </w:r>
            <w:r w:rsidRPr="00BE00C7">
              <w:rPr>
                <w:rFonts w:cs="Arial"/>
                <w:lang w:eastAsia="en-NZ"/>
              </w:rPr>
              <w:t xml:space="preserve">ded.  Medical assessments and routine medical reviews were completed regularly, with the frequency increased as determined by the resident’s condition.  </w:t>
            </w:r>
          </w:p>
          <w:p w14:paraId="1CED37C5" w14:textId="77777777" w:rsidR="00EB7645" w:rsidRPr="00BE00C7" w:rsidRDefault="00C94428" w:rsidP="00BE00C7">
            <w:pPr>
              <w:pStyle w:val="OutcomeDescription"/>
              <w:spacing w:before="120" w:after="120"/>
              <w:rPr>
                <w:rFonts w:cs="Arial"/>
                <w:lang w:eastAsia="en-NZ"/>
              </w:rPr>
            </w:pPr>
            <w:r w:rsidRPr="00BE00C7">
              <w:rPr>
                <w:rFonts w:cs="Arial"/>
                <w:lang w:eastAsia="en-NZ"/>
              </w:rPr>
              <w:t>Residents’ care was evaluated on each shift and reported in the progress notes by the care staff. Chan</w:t>
            </w:r>
            <w:r w:rsidRPr="00BE00C7">
              <w:rPr>
                <w:rFonts w:cs="Arial"/>
                <w:lang w:eastAsia="en-NZ"/>
              </w:rPr>
              <w:t>ges noted were reported to the RNs, as verified in the records sampled. Some long-term care plans and six-monthly interRAI assessments were not consistently completed in a timely manner (Refer to 3.2.5). Short-term care plans were completed for acute condi</w:t>
            </w:r>
            <w:r w:rsidRPr="00BE00C7">
              <w:rPr>
                <w:rFonts w:cs="Arial"/>
                <w:lang w:eastAsia="en-NZ"/>
              </w:rPr>
              <w:t xml:space="preserve">tions, and these were reviewed regularly and closed off when the acute conditions resolved. Where progress was different from expected, the service, in collaboration with the resident, and family/whānau, responded by initiating changes to the care plan. </w:t>
            </w:r>
          </w:p>
          <w:p w14:paraId="53812F52" w14:textId="77777777" w:rsidR="00EB7645" w:rsidRPr="00BE00C7" w:rsidRDefault="00C94428" w:rsidP="00BE00C7">
            <w:pPr>
              <w:pStyle w:val="OutcomeDescription"/>
              <w:spacing w:before="120" w:after="120"/>
              <w:rPr>
                <w:rFonts w:cs="Arial"/>
                <w:lang w:eastAsia="en-NZ"/>
              </w:rPr>
            </w:pPr>
            <w:r w:rsidRPr="00BE00C7">
              <w:rPr>
                <w:rFonts w:cs="Arial"/>
                <w:lang w:eastAsia="en-NZ"/>
              </w:rPr>
              <w:t>R</w:t>
            </w:r>
            <w:r w:rsidRPr="00BE00C7">
              <w:rPr>
                <w:rFonts w:cs="Arial"/>
                <w:lang w:eastAsia="en-NZ"/>
              </w:rPr>
              <w:t>esidents’ records, observations, and interviews verified that care provided to residents was consistent with their assessed needs, and aspirations. Residents, and family/whānau confirmed being involved in evaluation of progress and any resulting changes. I</w:t>
            </w:r>
            <w:r w:rsidRPr="00BE00C7">
              <w:rPr>
                <w:rFonts w:cs="Arial"/>
                <w:lang w:eastAsia="en-NZ"/>
              </w:rPr>
              <w:t>nterviewed staff understood processes to support residents and whānau when required.</w:t>
            </w:r>
          </w:p>
          <w:p w14:paraId="6780C015" w14:textId="77777777" w:rsidR="00EB7645" w:rsidRPr="00BE00C7" w:rsidRDefault="00C94428" w:rsidP="009C46AB">
            <w:pPr>
              <w:pStyle w:val="OutcomeDescription"/>
              <w:spacing w:before="120" w:after="120"/>
              <w:rPr>
                <w:rFonts w:cs="Arial"/>
                <w:lang w:eastAsia="en-NZ"/>
              </w:rPr>
            </w:pPr>
          </w:p>
        </w:tc>
      </w:tr>
      <w:tr w:rsidR="00BA1D1C" w14:paraId="15DA63BB" w14:textId="77777777">
        <w:tc>
          <w:tcPr>
            <w:tcW w:w="0" w:type="auto"/>
          </w:tcPr>
          <w:p w14:paraId="63F5155D" w14:textId="77777777" w:rsidR="00EB7645" w:rsidRPr="00BE00C7" w:rsidRDefault="00C94428" w:rsidP="00BE00C7">
            <w:pPr>
              <w:pStyle w:val="OutcomeDescription"/>
              <w:spacing w:before="120" w:after="120"/>
              <w:rPr>
                <w:rFonts w:cs="Arial"/>
                <w:lang w:eastAsia="en-NZ"/>
              </w:rPr>
            </w:pPr>
            <w:r w:rsidRPr="00BE00C7">
              <w:rPr>
                <w:rFonts w:cs="Arial"/>
                <w:lang w:eastAsia="en-NZ"/>
              </w:rPr>
              <w:t>Subsection 3.4: My medication</w:t>
            </w:r>
          </w:p>
          <w:p w14:paraId="4C41835A" w14:textId="77777777" w:rsidR="00EB7645" w:rsidRPr="00BE00C7" w:rsidRDefault="00C94428"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r>
            <w:r w:rsidRPr="00BE00C7">
              <w:rPr>
                <w:rFonts w:cs="Arial"/>
                <w:lang w:eastAsia="en-NZ"/>
              </w:rPr>
              <w:lastRenderedPageBreak/>
              <w:t xml:space="preserve">Te Tiriti: Service providers shall support and advocate </w:t>
            </w:r>
            <w:r w:rsidRPr="00BE00C7">
              <w:rPr>
                <w:rFonts w:cs="Arial"/>
                <w:lang w:eastAsia="en-NZ"/>
              </w:rPr>
              <w:t>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858E31F" w14:textId="77777777" w:rsidR="00EB7645" w:rsidRPr="00BE00C7" w:rsidRDefault="00C94428" w:rsidP="00BE00C7">
            <w:pPr>
              <w:pStyle w:val="OutcomeDescription"/>
              <w:spacing w:before="120" w:after="120"/>
              <w:rPr>
                <w:rFonts w:cs="Arial"/>
                <w:lang w:eastAsia="en-NZ"/>
              </w:rPr>
            </w:pPr>
          </w:p>
        </w:tc>
        <w:tc>
          <w:tcPr>
            <w:tcW w:w="0" w:type="auto"/>
          </w:tcPr>
          <w:p w14:paraId="550DE46B" w14:textId="77777777" w:rsidR="00EB7645" w:rsidRPr="00BE00C7" w:rsidRDefault="00C9442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100B3A4" w14:textId="77777777" w:rsidR="00EB7645" w:rsidRPr="00BE00C7" w:rsidRDefault="00C94428" w:rsidP="00BE00C7">
            <w:pPr>
              <w:pStyle w:val="OutcomeDescription"/>
              <w:spacing w:before="120" w:after="120"/>
              <w:rPr>
                <w:rFonts w:cs="Arial"/>
                <w:lang w:eastAsia="en-NZ"/>
              </w:rPr>
            </w:pPr>
            <w:r w:rsidRPr="00BE00C7">
              <w:rPr>
                <w:rFonts w:cs="Arial"/>
                <w:lang w:eastAsia="en-NZ"/>
              </w:rPr>
              <w:t xml:space="preserve">An electronic medication management system is utilised. The medicine management system is appropriate to the scope of the service. All staff who administer medicines had a current medication administration </w:t>
            </w:r>
            <w:r w:rsidRPr="00BE00C7">
              <w:rPr>
                <w:rFonts w:cs="Arial"/>
                <w:lang w:eastAsia="en-NZ"/>
              </w:rPr>
              <w:lastRenderedPageBreak/>
              <w:t>competency. Appropriate medication administrat</w:t>
            </w:r>
            <w:r w:rsidRPr="00BE00C7">
              <w:rPr>
                <w:rFonts w:cs="Arial"/>
                <w:lang w:eastAsia="en-NZ"/>
              </w:rPr>
              <w:t xml:space="preserve">ion processes were observed. </w:t>
            </w:r>
          </w:p>
          <w:p w14:paraId="62F85B17" w14:textId="77777777" w:rsidR="00EB7645" w:rsidRPr="00BE00C7" w:rsidRDefault="00C94428" w:rsidP="00BE00C7">
            <w:pPr>
              <w:pStyle w:val="OutcomeDescription"/>
              <w:spacing w:before="120" w:after="120"/>
              <w:rPr>
                <w:rFonts w:cs="Arial"/>
                <w:lang w:eastAsia="en-NZ"/>
              </w:rPr>
            </w:pPr>
            <w:r w:rsidRPr="00BE00C7">
              <w:rPr>
                <w:rFonts w:cs="Arial"/>
                <w:lang w:eastAsia="en-NZ"/>
              </w:rPr>
              <w:t xml:space="preserve">Medicine allergies and sensitivities were documented on the resident’s chart where applicable. Standing orders are used and appropriate procedures are in place to ensure this is managed in a safe manner.  </w:t>
            </w:r>
          </w:p>
          <w:p w14:paraId="6CCB6A41" w14:textId="77777777" w:rsidR="00EB7645" w:rsidRPr="00BE00C7" w:rsidRDefault="00C94428" w:rsidP="00BE00C7">
            <w:pPr>
              <w:pStyle w:val="OutcomeDescription"/>
              <w:spacing w:before="120" w:after="120"/>
              <w:rPr>
                <w:rFonts w:cs="Arial"/>
                <w:lang w:eastAsia="en-NZ"/>
              </w:rPr>
            </w:pPr>
            <w:r w:rsidRPr="00BE00C7">
              <w:rPr>
                <w:rFonts w:cs="Arial"/>
                <w:lang w:eastAsia="en-NZ"/>
              </w:rPr>
              <w:t>The medication and a</w:t>
            </w:r>
            <w:r w:rsidRPr="00BE00C7">
              <w:rPr>
                <w:rFonts w:cs="Arial"/>
                <w:lang w:eastAsia="en-NZ"/>
              </w:rPr>
              <w:t>ssociated documentation were stored safely. Medication reconciliation occurs as required. The records of temperatures for the medicine fridge and the medication room sampled were within the recommended range.  Medicine sighted in the medication room and tr</w:t>
            </w:r>
            <w:r w:rsidRPr="00BE00C7">
              <w:rPr>
                <w:rFonts w:cs="Arial"/>
                <w:lang w:eastAsia="en-NZ"/>
              </w:rPr>
              <w:t xml:space="preserve">olley were within current use-by dates. </w:t>
            </w:r>
          </w:p>
          <w:p w14:paraId="52B824D7" w14:textId="77777777" w:rsidR="00EB7645" w:rsidRPr="00BE00C7" w:rsidRDefault="00C94428" w:rsidP="00BE00C7">
            <w:pPr>
              <w:pStyle w:val="OutcomeDescription"/>
              <w:spacing w:before="120" w:after="120"/>
              <w:rPr>
                <w:rFonts w:cs="Arial"/>
                <w:lang w:eastAsia="en-NZ"/>
              </w:rPr>
            </w:pPr>
            <w:r w:rsidRPr="00BE00C7">
              <w:rPr>
                <w:rFonts w:cs="Arial"/>
                <w:lang w:eastAsia="en-NZ"/>
              </w:rPr>
              <w:t xml:space="preserve">Controlled drugs were stored securely in accordance with requirements and checked by two staff for accuracy when administering. The controlled drug registers provided evidence of weekly and six-monthly stock checks </w:t>
            </w:r>
            <w:r w:rsidRPr="00BE00C7">
              <w:rPr>
                <w:rFonts w:cs="Arial"/>
                <w:lang w:eastAsia="en-NZ"/>
              </w:rPr>
              <w:t xml:space="preserve">and accurate entries.   </w:t>
            </w:r>
          </w:p>
          <w:p w14:paraId="7D6A353A" w14:textId="77777777" w:rsidR="00EB7645" w:rsidRPr="00BE00C7" w:rsidRDefault="00C94428" w:rsidP="00BE00C7">
            <w:pPr>
              <w:pStyle w:val="OutcomeDescription"/>
              <w:spacing w:before="120" w:after="120"/>
              <w:rPr>
                <w:rFonts w:cs="Arial"/>
                <w:lang w:eastAsia="en-NZ"/>
              </w:rPr>
            </w:pPr>
            <w:r w:rsidRPr="00BE00C7">
              <w:rPr>
                <w:rFonts w:cs="Arial"/>
                <w:lang w:eastAsia="en-NZ"/>
              </w:rPr>
              <w:t xml:space="preserve">Appropriate processes were in place to support self-medication administration for competent residents. Staff understood the requirements.    </w:t>
            </w:r>
          </w:p>
          <w:p w14:paraId="6E88EC33" w14:textId="77777777" w:rsidR="00EB7645" w:rsidRPr="00BE00C7" w:rsidRDefault="00C94428" w:rsidP="00BE00C7">
            <w:pPr>
              <w:pStyle w:val="OutcomeDescription"/>
              <w:spacing w:before="120" w:after="120"/>
              <w:rPr>
                <w:rFonts w:cs="Arial"/>
                <w:lang w:eastAsia="en-NZ"/>
              </w:rPr>
            </w:pPr>
          </w:p>
        </w:tc>
      </w:tr>
      <w:tr w:rsidR="00BA1D1C" w14:paraId="5E627CAD" w14:textId="77777777">
        <w:tc>
          <w:tcPr>
            <w:tcW w:w="0" w:type="auto"/>
          </w:tcPr>
          <w:p w14:paraId="7630B281" w14:textId="77777777" w:rsidR="00EB7645" w:rsidRPr="00BE00C7" w:rsidRDefault="00C94428"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53CFA32" w14:textId="77777777" w:rsidR="00EB7645" w:rsidRPr="00BE00C7" w:rsidRDefault="00C94428" w:rsidP="00BE00C7">
            <w:pPr>
              <w:pStyle w:val="OutcomeDescription"/>
              <w:spacing w:before="120" w:after="120"/>
              <w:rPr>
                <w:rFonts w:cs="Arial"/>
                <w:lang w:eastAsia="en-NZ"/>
              </w:rPr>
            </w:pPr>
            <w:r w:rsidRPr="00BE00C7">
              <w:rPr>
                <w:rFonts w:cs="Arial"/>
                <w:lang w:eastAsia="en-NZ"/>
              </w:rPr>
              <w:t xml:space="preserve">The people: Service providers meet my </w:t>
            </w:r>
            <w:r w:rsidRPr="00BE00C7">
              <w:rPr>
                <w:rFonts w:cs="Arial"/>
                <w:lang w:eastAsia="en-NZ"/>
              </w:rPr>
              <w:t>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w:t>
            </w:r>
            <w:r w:rsidRPr="00BE00C7">
              <w:rPr>
                <w:rFonts w:cs="Arial"/>
                <w:lang w:eastAsia="en-NZ"/>
              </w:rPr>
              <w:t>s are met to promote and maintain their health and wellbeing.</w:t>
            </w:r>
          </w:p>
          <w:p w14:paraId="4F572967" w14:textId="77777777" w:rsidR="00EB7645" w:rsidRPr="00BE00C7" w:rsidRDefault="00C94428" w:rsidP="00BE00C7">
            <w:pPr>
              <w:pStyle w:val="OutcomeDescription"/>
              <w:spacing w:before="120" w:after="120"/>
              <w:rPr>
                <w:rFonts w:cs="Arial"/>
                <w:lang w:eastAsia="en-NZ"/>
              </w:rPr>
            </w:pPr>
          </w:p>
        </w:tc>
        <w:tc>
          <w:tcPr>
            <w:tcW w:w="0" w:type="auto"/>
          </w:tcPr>
          <w:p w14:paraId="5DDC3B11" w14:textId="77777777" w:rsidR="00EB7645" w:rsidRPr="00BE00C7" w:rsidRDefault="00C94428" w:rsidP="00BE00C7">
            <w:pPr>
              <w:pStyle w:val="OutcomeDescription"/>
              <w:spacing w:before="120" w:after="120"/>
              <w:rPr>
                <w:rFonts w:cs="Arial"/>
                <w:lang w:eastAsia="en-NZ"/>
              </w:rPr>
            </w:pPr>
            <w:r w:rsidRPr="00BE00C7">
              <w:rPr>
                <w:rFonts w:cs="Arial"/>
                <w:lang w:eastAsia="en-NZ"/>
              </w:rPr>
              <w:t>FA</w:t>
            </w:r>
          </w:p>
        </w:tc>
        <w:tc>
          <w:tcPr>
            <w:tcW w:w="0" w:type="auto"/>
          </w:tcPr>
          <w:p w14:paraId="64D2F588" w14:textId="77777777" w:rsidR="00EB7645" w:rsidRPr="00BE00C7" w:rsidRDefault="00C94428" w:rsidP="00BE00C7">
            <w:pPr>
              <w:pStyle w:val="OutcomeDescription"/>
              <w:spacing w:before="120" w:after="120"/>
              <w:rPr>
                <w:rFonts w:cs="Arial"/>
                <w:lang w:eastAsia="en-NZ"/>
              </w:rPr>
            </w:pPr>
            <w:r w:rsidRPr="00BE00C7">
              <w:rPr>
                <w:rFonts w:cs="Arial"/>
                <w:lang w:eastAsia="en-NZ"/>
              </w:rPr>
              <w:t>Residents’ nutritional requirements are assessed on admission to the service in consultation with the residents and family/whānau. The assessment identifies residents’ personal food preferen</w:t>
            </w:r>
            <w:r w:rsidRPr="00BE00C7">
              <w:rPr>
                <w:rFonts w:cs="Arial"/>
                <w:lang w:eastAsia="en-NZ"/>
              </w:rPr>
              <w:t>ces, allergies, intolerances, any special diets, cultural preferences, and modified texture requirements. Special food requirements are accommodated in daily meal plans. The menu was reviewed by a dietitian in July 2023. Residents expressed satisfaction wi</w:t>
            </w:r>
            <w:r w:rsidRPr="00BE00C7">
              <w:rPr>
                <w:rFonts w:cs="Arial"/>
                <w:lang w:eastAsia="en-NZ"/>
              </w:rPr>
              <w:t>th the meal service.</w:t>
            </w:r>
          </w:p>
          <w:p w14:paraId="0C225400" w14:textId="77777777" w:rsidR="00EB7645" w:rsidRPr="00BE00C7" w:rsidRDefault="00C94428" w:rsidP="00BE00C7">
            <w:pPr>
              <w:pStyle w:val="OutcomeDescription"/>
              <w:spacing w:before="120" w:after="120"/>
              <w:rPr>
                <w:rFonts w:cs="Arial"/>
                <w:lang w:eastAsia="en-NZ"/>
              </w:rPr>
            </w:pPr>
            <w:r w:rsidRPr="00BE00C7">
              <w:rPr>
                <w:rFonts w:cs="Arial"/>
                <w:lang w:eastAsia="en-NZ"/>
              </w:rPr>
              <w:t>The service operates with a current template food control plan that expires in June 2024.</w:t>
            </w:r>
          </w:p>
          <w:p w14:paraId="1BFD4591" w14:textId="77777777" w:rsidR="00EB7645" w:rsidRPr="00BE00C7" w:rsidRDefault="00C94428" w:rsidP="00BE00C7">
            <w:pPr>
              <w:pStyle w:val="OutcomeDescription"/>
              <w:spacing w:before="120" w:after="120"/>
              <w:rPr>
                <w:rFonts w:cs="Arial"/>
                <w:lang w:eastAsia="en-NZ"/>
              </w:rPr>
            </w:pPr>
          </w:p>
        </w:tc>
      </w:tr>
      <w:tr w:rsidR="00BA1D1C" w14:paraId="22BC5A25" w14:textId="77777777">
        <w:tc>
          <w:tcPr>
            <w:tcW w:w="0" w:type="auto"/>
          </w:tcPr>
          <w:p w14:paraId="0355F11D" w14:textId="77777777" w:rsidR="00EB7645" w:rsidRPr="00BE00C7" w:rsidRDefault="00C94428"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130F871B" w14:textId="77777777" w:rsidR="00EB7645" w:rsidRPr="00BE00C7" w:rsidRDefault="00C94428"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know what matters to me, and </w:t>
            </w:r>
            <w:r w:rsidRPr="00BE00C7">
              <w:rPr>
                <w:rFonts w:cs="Arial"/>
                <w:lang w:eastAsia="en-NZ"/>
              </w:rPr>
              <w:t>we can decide what best supports my wellbeing when I leave the service.</w:t>
            </w:r>
            <w:r w:rsidRPr="00BE00C7">
              <w:rPr>
                <w:rFonts w:cs="Arial"/>
                <w:lang w:eastAsia="en-NZ"/>
              </w:rPr>
              <w:br/>
            </w:r>
            <w:r w:rsidRPr="00BE00C7">
              <w:rPr>
                <w:rFonts w:cs="Arial"/>
                <w:lang w:eastAsia="en-NZ"/>
              </w:rPr>
              <w:lastRenderedPageBreak/>
              <w:t>Te Tiriti: Service providers advocate for Māori to ensure they and whānau receive the necessary support during their transition, transfer, and discharge.</w:t>
            </w:r>
            <w:r w:rsidRPr="00BE00C7">
              <w:rPr>
                <w:rFonts w:cs="Arial"/>
                <w:lang w:eastAsia="en-NZ"/>
              </w:rPr>
              <w:br/>
              <w:t>As service providers: We ensur</w:t>
            </w:r>
            <w:r w:rsidRPr="00BE00C7">
              <w:rPr>
                <w:rFonts w:cs="Arial"/>
                <w:lang w:eastAsia="en-NZ"/>
              </w:rPr>
              <w:t>e the people using our service experience consistency and continuity when leaving our services. We work alongside each person and whānau to provide and coordinate a supported transition of care or support.</w:t>
            </w:r>
          </w:p>
          <w:p w14:paraId="55BED8AB" w14:textId="77777777" w:rsidR="00EB7645" w:rsidRPr="00BE00C7" w:rsidRDefault="00C94428" w:rsidP="00BE00C7">
            <w:pPr>
              <w:pStyle w:val="OutcomeDescription"/>
              <w:spacing w:before="120" w:after="120"/>
              <w:rPr>
                <w:rFonts w:cs="Arial"/>
                <w:lang w:eastAsia="en-NZ"/>
              </w:rPr>
            </w:pPr>
          </w:p>
        </w:tc>
        <w:tc>
          <w:tcPr>
            <w:tcW w:w="0" w:type="auto"/>
          </w:tcPr>
          <w:p w14:paraId="158B0B5D" w14:textId="77777777" w:rsidR="00EB7645" w:rsidRPr="00BE00C7" w:rsidRDefault="00C9442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23FB033" w14:textId="77777777" w:rsidR="00EB7645" w:rsidRPr="00BE00C7" w:rsidRDefault="00C94428" w:rsidP="00BE00C7">
            <w:pPr>
              <w:pStyle w:val="OutcomeDescription"/>
              <w:spacing w:before="120" w:after="120"/>
              <w:rPr>
                <w:rFonts w:cs="Arial"/>
                <w:lang w:eastAsia="en-NZ"/>
              </w:rPr>
            </w:pPr>
            <w:r w:rsidRPr="00BE00C7">
              <w:rPr>
                <w:rFonts w:cs="Arial"/>
                <w:lang w:eastAsia="en-NZ"/>
              </w:rPr>
              <w:t xml:space="preserve">A documented transfer and discharge policy is </w:t>
            </w:r>
            <w:r w:rsidRPr="00BE00C7">
              <w:rPr>
                <w:rFonts w:cs="Arial"/>
                <w:lang w:eastAsia="en-NZ"/>
              </w:rPr>
              <w:t>in place to guide staff practice. Transfer or discharge from the service is planned and managed safely with coordination between services and in collaboration with the resident and family/whānau or legal representative. Residents’ current needs and risk ma</w:t>
            </w:r>
            <w:r w:rsidRPr="00BE00C7">
              <w:rPr>
                <w:rFonts w:cs="Arial"/>
                <w:lang w:eastAsia="en-NZ"/>
              </w:rPr>
              <w:t xml:space="preserve">nagement strategies are documented, where </w:t>
            </w:r>
            <w:r w:rsidRPr="00BE00C7">
              <w:rPr>
                <w:rFonts w:cs="Arial"/>
                <w:lang w:eastAsia="en-NZ"/>
              </w:rPr>
              <w:lastRenderedPageBreak/>
              <w:t xml:space="preserve">applicable. Residents’ family/whānau reported being kept well informed during the transfer of their relative.  </w:t>
            </w:r>
          </w:p>
          <w:p w14:paraId="30575DF5" w14:textId="77777777" w:rsidR="00EB7645" w:rsidRPr="00BE00C7" w:rsidRDefault="00C94428" w:rsidP="00BE00C7">
            <w:pPr>
              <w:pStyle w:val="OutcomeDescription"/>
              <w:spacing w:before="120" w:after="120"/>
              <w:rPr>
                <w:rFonts w:cs="Arial"/>
                <w:lang w:eastAsia="en-NZ"/>
              </w:rPr>
            </w:pPr>
          </w:p>
        </w:tc>
      </w:tr>
      <w:tr w:rsidR="00BA1D1C" w14:paraId="003A75C2" w14:textId="77777777">
        <w:tc>
          <w:tcPr>
            <w:tcW w:w="0" w:type="auto"/>
          </w:tcPr>
          <w:p w14:paraId="2EDB04A0" w14:textId="77777777" w:rsidR="00EB7645" w:rsidRPr="00BE00C7" w:rsidRDefault="00C94428" w:rsidP="00BE00C7">
            <w:pPr>
              <w:pStyle w:val="OutcomeDescription"/>
              <w:spacing w:before="120" w:after="120"/>
              <w:rPr>
                <w:rFonts w:cs="Arial"/>
                <w:lang w:eastAsia="en-NZ"/>
              </w:rPr>
            </w:pPr>
            <w:r w:rsidRPr="00BE00C7">
              <w:rPr>
                <w:rFonts w:cs="Arial"/>
                <w:lang w:eastAsia="en-NZ"/>
              </w:rPr>
              <w:lastRenderedPageBreak/>
              <w:t>Subsection 4.1: The facility</w:t>
            </w:r>
          </w:p>
          <w:p w14:paraId="234D3708" w14:textId="77777777" w:rsidR="00EB7645" w:rsidRPr="00BE00C7" w:rsidRDefault="00C94428" w:rsidP="00BE00C7">
            <w:pPr>
              <w:pStyle w:val="OutcomeDescription"/>
              <w:spacing w:before="120" w:after="120"/>
              <w:rPr>
                <w:rFonts w:cs="Arial"/>
                <w:lang w:eastAsia="en-NZ"/>
              </w:rPr>
            </w:pPr>
            <w:r w:rsidRPr="00BE00C7">
              <w:rPr>
                <w:rFonts w:cs="Arial"/>
                <w:lang w:eastAsia="en-NZ"/>
              </w:rPr>
              <w:t>The people: I feel the environment is designed in a way that is safe an</w:t>
            </w:r>
            <w:r w:rsidRPr="00BE00C7">
              <w:rPr>
                <w:rFonts w:cs="Arial"/>
                <w:lang w:eastAsia="en-NZ"/>
              </w:rPr>
              <w:t>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w:t>
            </w:r>
            <w:r w:rsidRPr="00BE00C7">
              <w:rPr>
                <w:rFonts w:cs="Arial"/>
                <w:lang w:eastAsia="en-NZ"/>
              </w:rPr>
              <w:t>vironment is safe, well maintained, tidy, and comfortable and accessible, and the people we deliver services to can move independently and freely throughout. The physical environment optimises people’s sense of belonging, independence, interaction, and fun</w:t>
            </w:r>
            <w:r w:rsidRPr="00BE00C7">
              <w:rPr>
                <w:rFonts w:cs="Arial"/>
                <w:lang w:eastAsia="en-NZ"/>
              </w:rPr>
              <w:t>ction.</w:t>
            </w:r>
          </w:p>
          <w:p w14:paraId="6444FDA1" w14:textId="77777777" w:rsidR="00EB7645" w:rsidRPr="00BE00C7" w:rsidRDefault="00C94428" w:rsidP="00BE00C7">
            <w:pPr>
              <w:pStyle w:val="OutcomeDescription"/>
              <w:spacing w:before="120" w:after="120"/>
              <w:rPr>
                <w:rFonts w:cs="Arial"/>
                <w:lang w:eastAsia="en-NZ"/>
              </w:rPr>
            </w:pPr>
          </w:p>
        </w:tc>
        <w:tc>
          <w:tcPr>
            <w:tcW w:w="0" w:type="auto"/>
          </w:tcPr>
          <w:p w14:paraId="45C2ED84" w14:textId="77777777" w:rsidR="00EB7645" w:rsidRPr="00BE00C7" w:rsidRDefault="00C94428" w:rsidP="00BE00C7">
            <w:pPr>
              <w:pStyle w:val="OutcomeDescription"/>
              <w:spacing w:before="120" w:after="120"/>
              <w:rPr>
                <w:rFonts w:cs="Arial"/>
                <w:lang w:eastAsia="en-NZ"/>
              </w:rPr>
            </w:pPr>
            <w:r w:rsidRPr="00BE00C7">
              <w:rPr>
                <w:rFonts w:cs="Arial"/>
                <w:lang w:eastAsia="en-NZ"/>
              </w:rPr>
              <w:t>FA</w:t>
            </w:r>
          </w:p>
        </w:tc>
        <w:tc>
          <w:tcPr>
            <w:tcW w:w="0" w:type="auto"/>
          </w:tcPr>
          <w:p w14:paraId="621ECD99" w14:textId="77777777" w:rsidR="00EB7645" w:rsidRPr="00BE00C7" w:rsidRDefault="00C94428" w:rsidP="00BE00C7">
            <w:pPr>
              <w:pStyle w:val="OutcomeDescription"/>
              <w:spacing w:before="120" w:after="120"/>
              <w:rPr>
                <w:rFonts w:cs="Arial"/>
                <w:lang w:eastAsia="en-NZ"/>
              </w:rPr>
            </w:pPr>
            <w:r w:rsidRPr="00BE00C7">
              <w:rPr>
                <w:rFonts w:cs="Arial"/>
                <w:lang w:eastAsia="en-NZ"/>
              </w:rPr>
              <w:t>Appropriate systems are in place to ensure the residents’ physical environment and facilities (internal and external) are fit for their purpose and meet legislative requirements. There is a current building warrant of fitness (expires 24 April 2024), medic</w:t>
            </w:r>
            <w:r w:rsidRPr="00BE00C7">
              <w:rPr>
                <w:rFonts w:cs="Arial"/>
                <w:lang w:eastAsia="en-NZ"/>
              </w:rPr>
              <w:t xml:space="preserve">al, personal and mobility equipment is being checked, electrical equipment test and tagging is up to date and a maintenance schedule is in place. </w:t>
            </w:r>
          </w:p>
          <w:p w14:paraId="52C24EF5" w14:textId="77777777" w:rsidR="00EB7645" w:rsidRPr="00BE00C7" w:rsidRDefault="00C94428" w:rsidP="00BE00C7">
            <w:pPr>
              <w:pStyle w:val="OutcomeDescription"/>
              <w:spacing w:before="120" w:after="120"/>
              <w:rPr>
                <w:rFonts w:cs="Arial"/>
                <w:lang w:eastAsia="en-NZ"/>
              </w:rPr>
            </w:pPr>
            <w:r w:rsidRPr="00BE00C7">
              <w:rPr>
                <w:rFonts w:cs="Arial"/>
                <w:lang w:eastAsia="en-NZ"/>
              </w:rPr>
              <w:t>The previous corrective actions about the reconfigured environment are resolved. A disability accessible ramp has been installed outside the main entrance. New bedroom, lounge and dining furniture plus linen, and consumables are on site. Additional lifting</w:t>
            </w:r>
            <w:r w:rsidRPr="00BE00C7">
              <w:rPr>
                <w:rFonts w:cs="Arial"/>
                <w:lang w:eastAsia="en-NZ"/>
              </w:rPr>
              <w:t xml:space="preserve"> equipment (hoists) and mobility aids have been installed in the new wing. Handrails and floor surfaces promote safe mobility.  There is a sufficient number of disability accessible bathrooms and toilets in the new wing to meet the needs of 11 residents. </w:t>
            </w:r>
          </w:p>
          <w:p w14:paraId="035BE7D2" w14:textId="77777777" w:rsidR="00EB7645" w:rsidRPr="00BE00C7" w:rsidRDefault="00C94428" w:rsidP="00BE00C7">
            <w:pPr>
              <w:pStyle w:val="OutcomeDescription"/>
              <w:spacing w:before="120" w:after="120"/>
              <w:rPr>
                <w:rFonts w:cs="Arial"/>
                <w:lang w:eastAsia="en-NZ"/>
              </w:rPr>
            </w:pPr>
            <w:r w:rsidRPr="00BE00C7">
              <w:rPr>
                <w:rFonts w:cs="Arial"/>
                <w:lang w:eastAsia="en-NZ"/>
              </w:rPr>
              <w:t>Pursuant to Manatū Hauora approval to reconfigure two single rooms to double dual purpose bedrooms in December 2023, these rooms have been used to occupy two residents who require either hospital or rest home level care. Both bedrooms were assessed as bein</w:t>
            </w:r>
            <w:r w:rsidRPr="00BE00C7">
              <w:rPr>
                <w:rFonts w:cs="Arial"/>
                <w:lang w:eastAsia="en-NZ"/>
              </w:rPr>
              <w:t>g of a sufficient size to allow safe manoeuvrability of equipment and extra people to assist with mobilising residents.  There were separate handbasins and privacy curtains in place.</w:t>
            </w:r>
          </w:p>
          <w:p w14:paraId="77D91C75" w14:textId="77777777" w:rsidR="00EB7645" w:rsidRPr="00BE00C7" w:rsidRDefault="00C94428" w:rsidP="00BE00C7">
            <w:pPr>
              <w:pStyle w:val="OutcomeDescription"/>
              <w:spacing w:before="120" w:after="120"/>
              <w:rPr>
                <w:rFonts w:cs="Arial"/>
                <w:lang w:eastAsia="en-NZ"/>
              </w:rPr>
            </w:pPr>
            <w:r w:rsidRPr="00BE00C7">
              <w:rPr>
                <w:rFonts w:cs="Arial"/>
                <w:lang w:eastAsia="en-NZ"/>
              </w:rPr>
              <w:t>The previous corrective action relating to the disability ramp has been r</w:t>
            </w:r>
            <w:r w:rsidRPr="00BE00C7">
              <w:rPr>
                <w:rFonts w:cs="Arial"/>
                <w:lang w:eastAsia="en-NZ"/>
              </w:rPr>
              <w:t>esolved. A new disability accessible ramp has been installed outside the main door to the reconfigured wing. The width, slope gradient and landing area at the top and bottom of the ramp meets the regulations specified by Whaikaha-Ministry for Disabled Peop</w:t>
            </w:r>
            <w:r w:rsidRPr="00BE00C7">
              <w:rPr>
                <w:rFonts w:cs="Arial"/>
                <w:lang w:eastAsia="en-NZ"/>
              </w:rPr>
              <w:t xml:space="preserve">le. </w:t>
            </w:r>
          </w:p>
          <w:p w14:paraId="5F25A50B" w14:textId="77777777" w:rsidR="00EB7645" w:rsidRPr="00BE00C7" w:rsidRDefault="00C94428" w:rsidP="00BE00C7">
            <w:pPr>
              <w:pStyle w:val="OutcomeDescription"/>
              <w:spacing w:before="120" w:after="120"/>
              <w:rPr>
                <w:rFonts w:cs="Arial"/>
                <w:lang w:eastAsia="en-NZ"/>
              </w:rPr>
            </w:pPr>
            <w:r w:rsidRPr="00BE00C7">
              <w:rPr>
                <w:rFonts w:cs="Arial"/>
                <w:lang w:eastAsia="en-NZ"/>
              </w:rPr>
              <w:lastRenderedPageBreak/>
              <w:t>All internal areas have been fitted with handrails and the floor surfaces and spaces within the wing promote safe mobility and independence. The provider has purchased two lifting hoists (one standing, one sling hoist) which were installed in the reco</w:t>
            </w:r>
            <w:r w:rsidRPr="00BE00C7">
              <w:rPr>
                <w:rFonts w:cs="Arial"/>
                <w:lang w:eastAsia="en-NZ"/>
              </w:rPr>
              <w:t>nfigured wing. Residents will be transported in wheelchairs for regular weighing using the wheelchair scale in the main facility.  Each bedroom has handbasins installed at heights that support safe accessibility. New electric beds are on site along with an</w:t>
            </w:r>
            <w:r w:rsidRPr="00BE00C7">
              <w:rPr>
                <w:rFonts w:cs="Arial"/>
                <w:lang w:eastAsia="en-NZ"/>
              </w:rPr>
              <w:t xml:space="preserve"> adequate supply of bed linen and other consumables.  Sufficient and suitable lounge and dining furniture for 11 residents was observed on site.       </w:t>
            </w:r>
          </w:p>
          <w:p w14:paraId="4239909B" w14:textId="77777777" w:rsidR="00EB7645" w:rsidRPr="00BE00C7" w:rsidRDefault="00C94428" w:rsidP="00BE00C7">
            <w:pPr>
              <w:pStyle w:val="OutcomeDescription"/>
              <w:spacing w:before="120" w:after="120"/>
              <w:rPr>
                <w:rFonts w:cs="Arial"/>
                <w:lang w:eastAsia="en-NZ"/>
              </w:rPr>
            </w:pPr>
            <w:r w:rsidRPr="00BE00C7">
              <w:rPr>
                <w:rFonts w:cs="Arial"/>
                <w:lang w:eastAsia="en-NZ"/>
              </w:rPr>
              <w:t>The previous corrective action about the accessibility of the bathrooms has been resolved. Two new disab</w:t>
            </w:r>
            <w:r w:rsidRPr="00BE00C7">
              <w:rPr>
                <w:rFonts w:cs="Arial"/>
                <w:lang w:eastAsia="en-NZ"/>
              </w:rPr>
              <w:t>ility accessible bathrooms have been installed. These include call bells, heating, privacy curtains, handrails, shower chairs and over-toilet commodes. Each bathroom has a toilet and there is an additional separate toilet for resident use. These are locate</w:t>
            </w:r>
            <w:r w:rsidRPr="00BE00C7">
              <w:rPr>
                <w:rFonts w:cs="Arial"/>
                <w:lang w:eastAsia="en-NZ"/>
              </w:rPr>
              <w:t>d within easy walking distance of residents’ bedrooms. A visitors/staff toilet is also available. A lockable sluice room is fitted out with a new sanitiser and space for storage of cleaning chemicals and the cleaning trolley.</w:t>
            </w:r>
          </w:p>
          <w:p w14:paraId="356D5C95" w14:textId="77777777" w:rsidR="00EB7645" w:rsidRPr="00BE00C7" w:rsidRDefault="00C94428" w:rsidP="00BE00C7">
            <w:pPr>
              <w:pStyle w:val="OutcomeDescription"/>
              <w:spacing w:before="120" w:after="120"/>
              <w:rPr>
                <w:rFonts w:cs="Arial"/>
                <w:lang w:eastAsia="en-NZ"/>
              </w:rPr>
            </w:pPr>
            <w:r w:rsidRPr="00BE00C7">
              <w:rPr>
                <w:rFonts w:cs="Arial"/>
                <w:lang w:eastAsia="en-NZ"/>
              </w:rPr>
              <w:t>All other areas within the hom</w:t>
            </w:r>
            <w:r w:rsidRPr="00BE00C7">
              <w:rPr>
                <w:rFonts w:cs="Arial"/>
                <w:lang w:eastAsia="en-NZ"/>
              </w:rPr>
              <w:t>e were comfortable and accessible and inclusive of different peoples’ cultures. New signs were being installed during the audit. Residents and whānau were complementary about the internal and external environment, including furniture and décor, heating, ve</w:t>
            </w:r>
            <w:r w:rsidRPr="00BE00C7">
              <w:rPr>
                <w:rFonts w:cs="Arial"/>
                <w:lang w:eastAsia="en-NZ"/>
              </w:rPr>
              <w:t>ntilation and privacy.</w:t>
            </w:r>
          </w:p>
          <w:p w14:paraId="3F85848A" w14:textId="77777777" w:rsidR="00EB7645" w:rsidRPr="00BE00C7" w:rsidRDefault="00C94428" w:rsidP="00BE00C7">
            <w:pPr>
              <w:pStyle w:val="OutcomeDescription"/>
              <w:spacing w:before="120" w:after="120"/>
              <w:rPr>
                <w:rFonts w:cs="Arial"/>
                <w:lang w:eastAsia="en-NZ"/>
              </w:rPr>
            </w:pPr>
          </w:p>
        </w:tc>
      </w:tr>
      <w:tr w:rsidR="00BA1D1C" w14:paraId="129180D8" w14:textId="77777777">
        <w:tc>
          <w:tcPr>
            <w:tcW w:w="0" w:type="auto"/>
          </w:tcPr>
          <w:p w14:paraId="5DC43BDD" w14:textId="77777777" w:rsidR="00EB7645" w:rsidRPr="00BE00C7" w:rsidRDefault="00C94428"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C396374" w14:textId="77777777" w:rsidR="00EB7645" w:rsidRPr="00BE00C7" w:rsidRDefault="00C94428"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w:t>
            </w:r>
            <w:r w:rsidRPr="00BE00C7">
              <w:rPr>
                <w:rFonts w:cs="Arial"/>
                <w:lang w:eastAsia="en-NZ"/>
              </w:rPr>
              <w:t>gements to Māori and whānau.</w:t>
            </w:r>
            <w:r w:rsidRPr="00BE00C7">
              <w:rPr>
                <w:rFonts w:cs="Arial"/>
                <w:lang w:eastAsia="en-NZ"/>
              </w:rPr>
              <w:br/>
              <w:t>As service providers: We deliver care and support in a planned and safe way, including during an emergency or unexpected event.</w:t>
            </w:r>
          </w:p>
          <w:p w14:paraId="50A93D05" w14:textId="77777777" w:rsidR="00EB7645" w:rsidRPr="00BE00C7" w:rsidRDefault="00C94428" w:rsidP="00BE00C7">
            <w:pPr>
              <w:pStyle w:val="OutcomeDescription"/>
              <w:spacing w:before="120" w:after="120"/>
              <w:rPr>
                <w:rFonts w:cs="Arial"/>
                <w:lang w:eastAsia="en-NZ"/>
              </w:rPr>
            </w:pPr>
          </w:p>
        </w:tc>
        <w:tc>
          <w:tcPr>
            <w:tcW w:w="0" w:type="auto"/>
          </w:tcPr>
          <w:p w14:paraId="0796C788" w14:textId="77777777" w:rsidR="00EB7645" w:rsidRPr="00BE00C7" w:rsidRDefault="00C94428" w:rsidP="00BE00C7">
            <w:pPr>
              <w:pStyle w:val="OutcomeDescription"/>
              <w:spacing w:before="120" w:after="120"/>
              <w:rPr>
                <w:rFonts w:cs="Arial"/>
                <w:lang w:eastAsia="en-NZ"/>
              </w:rPr>
            </w:pPr>
            <w:r w:rsidRPr="00BE00C7">
              <w:rPr>
                <w:rFonts w:cs="Arial"/>
                <w:lang w:eastAsia="en-NZ"/>
              </w:rPr>
              <w:t>PA Low</w:t>
            </w:r>
          </w:p>
        </w:tc>
        <w:tc>
          <w:tcPr>
            <w:tcW w:w="0" w:type="auto"/>
          </w:tcPr>
          <w:p w14:paraId="3E71504C" w14:textId="77777777" w:rsidR="00EB7645" w:rsidRPr="00BE00C7" w:rsidRDefault="00C94428" w:rsidP="00BE00C7">
            <w:pPr>
              <w:pStyle w:val="OutcomeDescription"/>
              <w:spacing w:before="120" w:after="120"/>
              <w:rPr>
                <w:rFonts w:cs="Arial"/>
                <w:lang w:eastAsia="en-NZ"/>
              </w:rPr>
            </w:pPr>
            <w:r w:rsidRPr="00BE00C7">
              <w:rPr>
                <w:rFonts w:cs="Arial"/>
                <w:lang w:eastAsia="en-NZ"/>
              </w:rPr>
              <w:t xml:space="preserve">The current evacuation plan has not been reviewed by Fire and Emergency New Zealand (FENZ) </w:t>
            </w:r>
            <w:r w:rsidRPr="00BE00C7">
              <w:rPr>
                <w:rFonts w:cs="Arial"/>
                <w:lang w:eastAsia="en-NZ"/>
              </w:rPr>
              <w:t xml:space="preserve">to determine if it requires changes. The local fire service was expected to visit to make this determination within seven days of the audit. This previous corrective action is ongoing until documented evidence of an approved evacuation plan is submitted.  </w:t>
            </w:r>
          </w:p>
          <w:p w14:paraId="1C224DAD" w14:textId="77777777" w:rsidR="00EB7645" w:rsidRPr="00BE00C7" w:rsidRDefault="00C94428" w:rsidP="00BE00C7">
            <w:pPr>
              <w:pStyle w:val="OutcomeDescription"/>
              <w:spacing w:before="120" w:after="120"/>
              <w:rPr>
                <w:rFonts w:cs="Arial"/>
                <w:lang w:eastAsia="en-NZ"/>
              </w:rPr>
            </w:pPr>
            <w:r w:rsidRPr="00BE00C7">
              <w:rPr>
                <w:rFonts w:cs="Arial"/>
                <w:lang w:eastAsia="en-NZ"/>
              </w:rPr>
              <w:t>The call system has been updated, with alert buttons installed within easy reach for residents in each of the bedrooms, bathrooms and communal areas. The system has been tested as effective. Two display screens are located in different areas of the wing t</w:t>
            </w:r>
            <w:r w:rsidRPr="00BE00C7">
              <w:rPr>
                <w:rFonts w:cs="Arial"/>
                <w:lang w:eastAsia="en-NZ"/>
              </w:rPr>
              <w:t xml:space="preserve">o enable quick </w:t>
            </w:r>
            <w:r w:rsidRPr="00BE00C7">
              <w:rPr>
                <w:rFonts w:cs="Arial"/>
                <w:lang w:eastAsia="en-NZ"/>
              </w:rPr>
              <w:lastRenderedPageBreak/>
              <w:t>identification of the alert location. The previous corrective action is resolved.</w:t>
            </w:r>
          </w:p>
          <w:p w14:paraId="6B0AA60F" w14:textId="77777777" w:rsidR="00EB7645" w:rsidRPr="00BE00C7" w:rsidRDefault="00C94428" w:rsidP="00BE00C7">
            <w:pPr>
              <w:pStyle w:val="OutcomeDescription"/>
              <w:spacing w:before="120" w:after="120"/>
              <w:rPr>
                <w:rFonts w:cs="Arial"/>
                <w:lang w:eastAsia="en-NZ"/>
              </w:rPr>
            </w:pPr>
          </w:p>
        </w:tc>
      </w:tr>
      <w:tr w:rsidR="00BA1D1C" w14:paraId="2DE7C8D6" w14:textId="77777777">
        <w:tc>
          <w:tcPr>
            <w:tcW w:w="0" w:type="auto"/>
          </w:tcPr>
          <w:p w14:paraId="73088774" w14:textId="77777777" w:rsidR="00EB7645" w:rsidRPr="00BE00C7" w:rsidRDefault="00C94428"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294154B1" w14:textId="77777777" w:rsidR="00EB7645" w:rsidRPr="00BE00C7" w:rsidRDefault="00C94428"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w:t>
            </w:r>
            <w:r w:rsidRPr="00BE00C7">
              <w:rPr>
                <w:rFonts w:cs="Arial"/>
                <w:lang w:eastAsia="en-NZ"/>
              </w:rPr>
              <w:t>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w:t>
            </w:r>
            <w:r w:rsidRPr="00BE00C7">
              <w:rPr>
                <w:rFonts w:cs="Arial"/>
                <w:lang w:eastAsia="en-NZ"/>
              </w:rPr>
              <w:t xml:space="preserve"> infection prevention programme that is appropriate to the needs, size, and scope of our services.</w:t>
            </w:r>
          </w:p>
          <w:p w14:paraId="4A5AE557" w14:textId="77777777" w:rsidR="00EB7645" w:rsidRPr="00BE00C7" w:rsidRDefault="00C94428" w:rsidP="00BE00C7">
            <w:pPr>
              <w:pStyle w:val="OutcomeDescription"/>
              <w:spacing w:before="120" w:after="120"/>
              <w:rPr>
                <w:rFonts w:cs="Arial"/>
                <w:lang w:eastAsia="en-NZ"/>
              </w:rPr>
            </w:pPr>
          </w:p>
        </w:tc>
        <w:tc>
          <w:tcPr>
            <w:tcW w:w="0" w:type="auto"/>
          </w:tcPr>
          <w:p w14:paraId="1C1D08AF" w14:textId="77777777" w:rsidR="00EB7645" w:rsidRPr="00BE00C7" w:rsidRDefault="00C94428" w:rsidP="00BE00C7">
            <w:pPr>
              <w:pStyle w:val="OutcomeDescription"/>
              <w:spacing w:before="120" w:after="120"/>
              <w:rPr>
                <w:rFonts w:cs="Arial"/>
                <w:lang w:eastAsia="en-NZ"/>
              </w:rPr>
            </w:pPr>
            <w:r w:rsidRPr="00BE00C7">
              <w:rPr>
                <w:rFonts w:cs="Arial"/>
                <w:lang w:eastAsia="en-NZ"/>
              </w:rPr>
              <w:t>PA Low</w:t>
            </w:r>
          </w:p>
        </w:tc>
        <w:tc>
          <w:tcPr>
            <w:tcW w:w="0" w:type="auto"/>
          </w:tcPr>
          <w:p w14:paraId="20E2DF64" w14:textId="77777777" w:rsidR="00EB7645" w:rsidRPr="00BE00C7" w:rsidRDefault="00C94428" w:rsidP="00BE00C7">
            <w:pPr>
              <w:pStyle w:val="OutcomeDescription"/>
              <w:spacing w:before="120" w:after="120"/>
              <w:rPr>
                <w:rFonts w:cs="Arial"/>
                <w:lang w:eastAsia="en-NZ"/>
              </w:rPr>
            </w:pPr>
            <w:r w:rsidRPr="00BE00C7">
              <w:rPr>
                <w:rFonts w:cs="Arial"/>
                <w:lang w:eastAsia="en-NZ"/>
              </w:rPr>
              <w:t xml:space="preserve">The infection prevention (IP) programme is led by the RN who is the nominated infection prevention and control coordinator. The annual review of the IP programme was overdue.   </w:t>
            </w:r>
          </w:p>
          <w:p w14:paraId="3AA0D38C" w14:textId="77777777" w:rsidR="00EB7645" w:rsidRPr="00BE00C7" w:rsidRDefault="00C94428" w:rsidP="00BE00C7">
            <w:pPr>
              <w:pStyle w:val="OutcomeDescription"/>
              <w:spacing w:before="120" w:after="120"/>
              <w:rPr>
                <w:rFonts w:cs="Arial"/>
                <w:lang w:eastAsia="en-NZ"/>
              </w:rPr>
            </w:pPr>
            <w:r w:rsidRPr="00BE00C7">
              <w:rPr>
                <w:rFonts w:cs="Arial"/>
                <w:lang w:eastAsia="en-NZ"/>
              </w:rPr>
              <w:t>Staff have received relevant education in IP at orientation and through ongoin</w:t>
            </w:r>
            <w:r w:rsidRPr="00BE00C7">
              <w:rPr>
                <w:rFonts w:cs="Arial"/>
                <w:lang w:eastAsia="en-NZ"/>
              </w:rPr>
              <w:t>g annual education sessions. Education with residents was on an individual basis when an infection was identified, and through group education in residents’ meetings. Hand hygiene posters were posted around the facility.</w:t>
            </w:r>
          </w:p>
          <w:p w14:paraId="46E081FE" w14:textId="77777777" w:rsidR="00EB7645" w:rsidRPr="00BE00C7" w:rsidRDefault="00C94428" w:rsidP="00BE00C7">
            <w:pPr>
              <w:pStyle w:val="OutcomeDescription"/>
              <w:spacing w:before="120" w:after="120"/>
              <w:rPr>
                <w:rFonts w:cs="Arial"/>
                <w:lang w:eastAsia="en-NZ"/>
              </w:rPr>
            </w:pPr>
          </w:p>
        </w:tc>
      </w:tr>
      <w:tr w:rsidR="00BA1D1C" w14:paraId="484224C5" w14:textId="77777777">
        <w:tc>
          <w:tcPr>
            <w:tcW w:w="0" w:type="auto"/>
          </w:tcPr>
          <w:p w14:paraId="3010923C" w14:textId="77777777" w:rsidR="00EB7645" w:rsidRPr="00BE00C7" w:rsidRDefault="00C94428" w:rsidP="00BE00C7">
            <w:pPr>
              <w:pStyle w:val="OutcomeDescription"/>
              <w:spacing w:before="120" w:after="120"/>
              <w:rPr>
                <w:rFonts w:cs="Arial"/>
                <w:lang w:eastAsia="en-NZ"/>
              </w:rPr>
            </w:pPr>
            <w:r w:rsidRPr="00BE00C7">
              <w:rPr>
                <w:rFonts w:cs="Arial"/>
                <w:lang w:eastAsia="en-NZ"/>
              </w:rPr>
              <w:t>Subsection 5.4: Surveillance of h</w:t>
            </w:r>
            <w:r w:rsidRPr="00BE00C7">
              <w:rPr>
                <w:rFonts w:cs="Arial"/>
                <w:lang w:eastAsia="en-NZ"/>
              </w:rPr>
              <w:t>ealth care-associated infection (HAI)</w:t>
            </w:r>
          </w:p>
          <w:p w14:paraId="06C6CF22" w14:textId="77777777" w:rsidR="00EB7645" w:rsidRPr="00BE00C7" w:rsidRDefault="00C94428"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w:t>
            </w:r>
            <w:r w:rsidRPr="00BE00C7">
              <w:rPr>
                <w:rFonts w:cs="Arial"/>
                <w:lang w:eastAsia="en-NZ"/>
              </w:rPr>
              <w:t xml:space="preserve"> multi-drug-resistant organisms in accordance with national and regional surveillance programmes, agreed objectives, priorities, and methods specified in the infection prevention programme, and with an equity focus.</w:t>
            </w:r>
          </w:p>
          <w:p w14:paraId="1404FBD5" w14:textId="77777777" w:rsidR="00EB7645" w:rsidRPr="00BE00C7" w:rsidRDefault="00C94428" w:rsidP="00BE00C7">
            <w:pPr>
              <w:pStyle w:val="OutcomeDescription"/>
              <w:spacing w:before="120" w:after="120"/>
              <w:rPr>
                <w:rFonts w:cs="Arial"/>
                <w:lang w:eastAsia="en-NZ"/>
              </w:rPr>
            </w:pPr>
          </w:p>
        </w:tc>
        <w:tc>
          <w:tcPr>
            <w:tcW w:w="0" w:type="auto"/>
          </w:tcPr>
          <w:p w14:paraId="1E3DE1DD" w14:textId="77777777" w:rsidR="00EB7645" w:rsidRPr="00BE00C7" w:rsidRDefault="00C94428" w:rsidP="00BE00C7">
            <w:pPr>
              <w:pStyle w:val="OutcomeDescription"/>
              <w:spacing w:before="120" w:after="120"/>
              <w:rPr>
                <w:rFonts w:cs="Arial"/>
                <w:lang w:eastAsia="en-NZ"/>
              </w:rPr>
            </w:pPr>
            <w:r w:rsidRPr="00BE00C7">
              <w:rPr>
                <w:rFonts w:cs="Arial"/>
                <w:lang w:eastAsia="en-NZ"/>
              </w:rPr>
              <w:t>FA</w:t>
            </w:r>
          </w:p>
        </w:tc>
        <w:tc>
          <w:tcPr>
            <w:tcW w:w="0" w:type="auto"/>
          </w:tcPr>
          <w:p w14:paraId="470E99B3" w14:textId="77777777" w:rsidR="00EB7645" w:rsidRPr="00BE00C7" w:rsidRDefault="00C94428" w:rsidP="00BE00C7">
            <w:pPr>
              <w:pStyle w:val="OutcomeDescription"/>
              <w:spacing w:before="120" w:after="120"/>
              <w:rPr>
                <w:rFonts w:cs="Arial"/>
                <w:lang w:eastAsia="en-NZ"/>
              </w:rPr>
            </w:pPr>
            <w:r w:rsidRPr="00BE00C7">
              <w:rPr>
                <w:rFonts w:cs="Arial"/>
                <w:lang w:eastAsia="en-NZ"/>
              </w:rPr>
              <w:t>Surveillance of health care-associat</w:t>
            </w:r>
            <w:r w:rsidRPr="00BE00C7">
              <w:rPr>
                <w:rFonts w:cs="Arial"/>
                <w:lang w:eastAsia="en-NZ"/>
              </w:rPr>
              <w:t xml:space="preserve">ed infections (HAIs) is appropriate for the size and complexity of the service. It is in line with priorities defined in the infection prevention surveillance programme. Surveillance methods, tools, documentation, and analysis are described and documented </w:t>
            </w:r>
            <w:r w:rsidRPr="00BE00C7">
              <w:rPr>
                <w:rFonts w:cs="Arial"/>
                <w:lang w:eastAsia="en-NZ"/>
              </w:rPr>
              <w:t xml:space="preserve">using standardised surveillance definitions. Infection data is collected, monitored, and reviewed monthly. Ethnicity information is included in surveillance data. Surveillance data is reported to the governance body in monthly reports. </w:t>
            </w:r>
          </w:p>
          <w:p w14:paraId="162B4DA2" w14:textId="77777777" w:rsidR="00EB7645" w:rsidRPr="00BE00C7" w:rsidRDefault="00C94428" w:rsidP="00BE00C7">
            <w:pPr>
              <w:pStyle w:val="OutcomeDescription"/>
              <w:spacing w:before="120" w:after="120"/>
              <w:rPr>
                <w:rFonts w:cs="Arial"/>
                <w:lang w:eastAsia="en-NZ"/>
              </w:rPr>
            </w:pPr>
            <w:r w:rsidRPr="00BE00C7">
              <w:rPr>
                <w:rFonts w:cs="Arial"/>
                <w:lang w:eastAsia="en-NZ"/>
              </w:rPr>
              <w:t>Infection preventio</w:t>
            </w:r>
            <w:r w:rsidRPr="00BE00C7">
              <w:rPr>
                <w:rFonts w:cs="Arial"/>
                <w:lang w:eastAsia="en-NZ"/>
              </w:rPr>
              <w:t>n audits were completed with relevant corrective actions implemented where required. Staff were informed of infection rates and regular audit outcomes at staff meetings and through compiled reports, as confirmed in interviews with staff. New infections wer</w:t>
            </w:r>
            <w:r w:rsidRPr="00BE00C7">
              <w:rPr>
                <w:rFonts w:cs="Arial"/>
                <w:lang w:eastAsia="en-NZ"/>
              </w:rPr>
              <w:t xml:space="preserve">e discussed at shift handovers for early interventions to be implemented.  </w:t>
            </w:r>
          </w:p>
          <w:p w14:paraId="164DFF05" w14:textId="77777777" w:rsidR="00EB7645" w:rsidRPr="00BE00C7" w:rsidRDefault="00C94428" w:rsidP="00BE00C7">
            <w:pPr>
              <w:pStyle w:val="OutcomeDescription"/>
              <w:spacing w:before="120" w:after="120"/>
              <w:rPr>
                <w:rFonts w:cs="Arial"/>
                <w:lang w:eastAsia="en-NZ"/>
              </w:rPr>
            </w:pPr>
            <w:r w:rsidRPr="00BE00C7">
              <w:rPr>
                <w:rFonts w:cs="Arial"/>
                <w:lang w:eastAsia="en-NZ"/>
              </w:rPr>
              <w:t xml:space="preserve">Infection outbreak reported since the previous audit was managed effectively with appropriate notification completed.  </w:t>
            </w:r>
          </w:p>
          <w:p w14:paraId="493D1B03" w14:textId="77777777" w:rsidR="00EB7645" w:rsidRPr="00BE00C7" w:rsidRDefault="00C94428" w:rsidP="00BE00C7">
            <w:pPr>
              <w:pStyle w:val="OutcomeDescription"/>
              <w:spacing w:before="120" w:after="120"/>
              <w:rPr>
                <w:rFonts w:cs="Arial"/>
                <w:lang w:eastAsia="en-NZ"/>
              </w:rPr>
            </w:pPr>
          </w:p>
        </w:tc>
      </w:tr>
      <w:tr w:rsidR="00BA1D1C" w14:paraId="620587FC" w14:textId="77777777">
        <w:tc>
          <w:tcPr>
            <w:tcW w:w="0" w:type="auto"/>
          </w:tcPr>
          <w:p w14:paraId="2C897BE0" w14:textId="77777777" w:rsidR="00EB7645" w:rsidRPr="00BE00C7" w:rsidRDefault="00C94428" w:rsidP="00BE00C7">
            <w:pPr>
              <w:pStyle w:val="OutcomeDescription"/>
              <w:spacing w:before="120" w:after="120"/>
              <w:rPr>
                <w:rFonts w:cs="Arial"/>
                <w:lang w:eastAsia="en-NZ"/>
              </w:rPr>
            </w:pPr>
            <w:r w:rsidRPr="00BE00C7">
              <w:rPr>
                <w:rFonts w:cs="Arial"/>
                <w:lang w:eastAsia="en-NZ"/>
              </w:rPr>
              <w:lastRenderedPageBreak/>
              <w:t>Subsection 5.5: Environment</w:t>
            </w:r>
          </w:p>
          <w:p w14:paraId="3161FFD7" w14:textId="77777777" w:rsidR="00EB7645" w:rsidRPr="00BE00C7" w:rsidRDefault="00C94428" w:rsidP="00BE00C7">
            <w:pPr>
              <w:pStyle w:val="OutcomeDescription"/>
              <w:spacing w:before="120" w:after="120"/>
              <w:rPr>
                <w:rFonts w:cs="Arial"/>
                <w:lang w:eastAsia="en-NZ"/>
              </w:rPr>
            </w:pPr>
            <w:r w:rsidRPr="00BE00C7">
              <w:rPr>
                <w:rFonts w:cs="Arial"/>
                <w:lang w:eastAsia="en-NZ"/>
              </w:rPr>
              <w:t>The people: I trust health car</w:t>
            </w:r>
            <w:r w:rsidRPr="00BE00C7">
              <w:rPr>
                <w:rFonts w:cs="Arial"/>
                <w:lang w:eastAsia="en-NZ"/>
              </w:rPr>
              <w:t>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w:t>
            </w:r>
            <w:r w:rsidRPr="00BE00C7">
              <w:rPr>
                <w:rFonts w:cs="Arial"/>
                <w:lang w:eastAsia="en-NZ"/>
              </w:rPr>
              <w:t xml:space="preserve">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17A0AF2E" w14:textId="77777777" w:rsidR="00EB7645" w:rsidRPr="00BE00C7" w:rsidRDefault="00C94428" w:rsidP="00BE00C7">
            <w:pPr>
              <w:pStyle w:val="OutcomeDescription"/>
              <w:spacing w:before="120" w:after="120"/>
              <w:rPr>
                <w:rFonts w:cs="Arial"/>
                <w:lang w:eastAsia="en-NZ"/>
              </w:rPr>
            </w:pPr>
          </w:p>
        </w:tc>
        <w:tc>
          <w:tcPr>
            <w:tcW w:w="0" w:type="auto"/>
          </w:tcPr>
          <w:p w14:paraId="0A6D238C" w14:textId="77777777" w:rsidR="00EB7645" w:rsidRPr="00BE00C7" w:rsidRDefault="00C94428" w:rsidP="00BE00C7">
            <w:pPr>
              <w:pStyle w:val="OutcomeDescription"/>
              <w:spacing w:before="120" w:after="120"/>
              <w:rPr>
                <w:rFonts w:cs="Arial"/>
                <w:lang w:eastAsia="en-NZ"/>
              </w:rPr>
            </w:pPr>
            <w:r w:rsidRPr="00BE00C7">
              <w:rPr>
                <w:rFonts w:cs="Arial"/>
                <w:lang w:eastAsia="en-NZ"/>
              </w:rPr>
              <w:t>FA</w:t>
            </w:r>
          </w:p>
        </w:tc>
        <w:tc>
          <w:tcPr>
            <w:tcW w:w="0" w:type="auto"/>
          </w:tcPr>
          <w:p w14:paraId="572FB4B6" w14:textId="58570769" w:rsidR="00EB7645" w:rsidRPr="00BE00C7" w:rsidRDefault="00C94428" w:rsidP="00BE00C7">
            <w:pPr>
              <w:pStyle w:val="OutcomeDescription"/>
              <w:spacing w:before="120" w:after="120"/>
              <w:rPr>
                <w:rFonts w:cs="Arial"/>
                <w:lang w:eastAsia="en-NZ"/>
              </w:rPr>
            </w:pPr>
            <w:r w:rsidRPr="00BE00C7">
              <w:rPr>
                <w:rFonts w:cs="Arial"/>
                <w:lang w:eastAsia="en-NZ"/>
              </w:rPr>
              <w:t>There is a designated area and equipment for safe handling of waste or hazardous substances outside the new wing. The previous corrective action has been addressed.</w:t>
            </w:r>
          </w:p>
          <w:p w14:paraId="5C349EDB" w14:textId="77777777" w:rsidR="00EB7645" w:rsidRPr="00BE00C7" w:rsidRDefault="00C94428" w:rsidP="00BE00C7">
            <w:pPr>
              <w:pStyle w:val="OutcomeDescription"/>
              <w:spacing w:before="120" w:after="120"/>
              <w:rPr>
                <w:rFonts w:cs="Arial"/>
                <w:lang w:eastAsia="en-NZ"/>
              </w:rPr>
            </w:pPr>
            <w:r w:rsidRPr="00BE00C7">
              <w:rPr>
                <w:rFonts w:cs="Arial"/>
                <w:lang w:eastAsia="en-NZ"/>
              </w:rPr>
              <w:t>There is a designated secure chemical storage room and cleaners’ rooms in the new wing. T</w:t>
            </w:r>
            <w:r w:rsidRPr="00BE00C7">
              <w:rPr>
                <w:rFonts w:cs="Arial"/>
                <w:lang w:eastAsia="en-NZ"/>
              </w:rPr>
              <w:t>he previous corrective action has been addressed.</w:t>
            </w:r>
          </w:p>
          <w:p w14:paraId="69BF113F" w14:textId="77777777" w:rsidR="00EB7645" w:rsidRPr="00BE00C7" w:rsidRDefault="00C94428" w:rsidP="00BE00C7">
            <w:pPr>
              <w:pStyle w:val="OutcomeDescription"/>
              <w:spacing w:before="120" w:after="120"/>
              <w:rPr>
                <w:rFonts w:cs="Arial"/>
                <w:lang w:eastAsia="en-NZ"/>
              </w:rPr>
            </w:pPr>
          </w:p>
        </w:tc>
      </w:tr>
      <w:tr w:rsidR="00BA1D1C" w14:paraId="7CE8CA9A" w14:textId="77777777">
        <w:tc>
          <w:tcPr>
            <w:tcW w:w="0" w:type="auto"/>
          </w:tcPr>
          <w:p w14:paraId="093EB02F" w14:textId="77777777" w:rsidR="00EB7645" w:rsidRPr="00BE00C7" w:rsidRDefault="00C94428" w:rsidP="00BE00C7">
            <w:pPr>
              <w:pStyle w:val="OutcomeDescription"/>
              <w:spacing w:before="120" w:after="120"/>
              <w:rPr>
                <w:rFonts w:cs="Arial"/>
                <w:lang w:eastAsia="en-NZ"/>
              </w:rPr>
            </w:pPr>
            <w:r w:rsidRPr="00BE00C7">
              <w:rPr>
                <w:rFonts w:cs="Arial"/>
                <w:lang w:eastAsia="en-NZ"/>
              </w:rPr>
              <w:t>Subsection 6.1: A process of restraint</w:t>
            </w:r>
          </w:p>
          <w:p w14:paraId="44F9A230" w14:textId="77777777" w:rsidR="00EB7645" w:rsidRPr="00BE00C7" w:rsidRDefault="00C94428"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 xml:space="preserve">Te Tiriti: Service </w:t>
            </w:r>
            <w:r w:rsidRPr="00BE00C7">
              <w:rPr>
                <w:rFonts w:cs="Arial"/>
                <w:lang w:eastAsia="en-NZ"/>
              </w:rPr>
              <w:t>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7CFDE3C" w14:textId="77777777" w:rsidR="00EB7645" w:rsidRPr="00BE00C7" w:rsidRDefault="00C94428" w:rsidP="00BE00C7">
            <w:pPr>
              <w:pStyle w:val="OutcomeDescription"/>
              <w:spacing w:before="120" w:after="120"/>
              <w:rPr>
                <w:rFonts w:cs="Arial"/>
                <w:lang w:eastAsia="en-NZ"/>
              </w:rPr>
            </w:pPr>
          </w:p>
        </w:tc>
        <w:tc>
          <w:tcPr>
            <w:tcW w:w="0" w:type="auto"/>
          </w:tcPr>
          <w:p w14:paraId="3C8D729F" w14:textId="77777777" w:rsidR="00EB7645" w:rsidRPr="00BE00C7" w:rsidRDefault="00C94428" w:rsidP="00BE00C7">
            <w:pPr>
              <w:pStyle w:val="OutcomeDescription"/>
              <w:spacing w:before="120" w:after="120"/>
              <w:rPr>
                <w:rFonts w:cs="Arial"/>
                <w:lang w:eastAsia="en-NZ"/>
              </w:rPr>
            </w:pPr>
            <w:r w:rsidRPr="00BE00C7">
              <w:rPr>
                <w:rFonts w:cs="Arial"/>
                <w:lang w:eastAsia="en-NZ"/>
              </w:rPr>
              <w:t>FA</w:t>
            </w:r>
          </w:p>
        </w:tc>
        <w:tc>
          <w:tcPr>
            <w:tcW w:w="0" w:type="auto"/>
          </w:tcPr>
          <w:p w14:paraId="19731AE6" w14:textId="77777777" w:rsidR="00EB7645" w:rsidRPr="00BE00C7" w:rsidRDefault="00C94428" w:rsidP="00BE00C7">
            <w:pPr>
              <w:pStyle w:val="OutcomeDescription"/>
              <w:spacing w:before="120" w:after="120"/>
              <w:rPr>
                <w:rFonts w:cs="Arial"/>
                <w:lang w:eastAsia="en-NZ"/>
              </w:rPr>
            </w:pPr>
            <w:r w:rsidRPr="00BE00C7">
              <w:rPr>
                <w:rFonts w:cs="Arial"/>
                <w:lang w:eastAsia="en-NZ"/>
              </w:rPr>
              <w:t>Waihi Lifecare aim</w:t>
            </w:r>
            <w:r w:rsidRPr="00BE00C7">
              <w:rPr>
                <w:rFonts w:cs="Arial"/>
                <w:lang w:eastAsia="en-NZ"/>
              </w:rPr>
              <w:t>s to maintain a restraint-free environment. The directors and senior managers demonstrated a commitment toward eliminating restraint via the service’s values, policy and procedure sign off and funding relevant training. At the time of audit three residents</w:t>
            </w:r>
            <w:r w:rsidRPr="00BE00C7">
              <w:rPr>
                <w:rFonts w:cs="Arial"/>
                <w:lang w:eastAsia="en-NZ"/>
              </w:rPr>
              <w:t xml:space="preserve"> were using bedrails as a restraint. Two of these residents also required lap belts to be applied when they were sitting, for safety reasons.</w:t>
            </w:r>
          </w:p>
          <w:p w14:paraId="6FDBBAED" w14:textId="77777777" w:rsidR="00EB7645" w:rsidRPr="00BE00C7" w:rsidRDefault="00C94428" w:rsidP="00BE00C7">
            <w:pPr>
              <w:pStyle w:val="OutcomeDescription"/>
              <w:spacing w:before="120" w:after="120"/>
              <w:rPr>
                <w:rFonts w:cs="Arial"/>
                <w:lang w:eastAsia="en-NZ"/>
              </w:rPr>
            </w:pPr>
            <w:r w:rsidRPr="00BE00C7">
              <w:rPr>
                <w:rFonts w:cs="Arial"/>
                <w:lang w:eastAsia="en-NZ"/>
              </w:rPr>
              <w:t>Policies and procedures meet the requirements of the standards and include a role description for the restraint co</w:t>
            </w:r>
            <w:r w:rsidRPr="00BE00C7">
              <w:rPr>
                <w:rFonts w:cs="Arial"/>
                <w:lang w:eastAsia="en-NZ"/>
              </w:rPr>
              <w:t xml:space="preserve">ordinator. A senior RN is the restraint coordinator. This person provides support and oversight for restraint management and reports on its use to the management team, which includes the director. Staff have been trained in the least restrictive practice, </w:t>
            </w:r>
            <w:r w:rsidRPr="00BE00C7">
              <w:rPr>
                <w:rFonts w:cs="Arial"/>
                <w:lang w:eastAsia="en-NZ"/>
              </w:rPr>
              <w:t>safe restraint practice, alternative cultural-specific interventions, and de-escalation techniques.</w:t>
            </w:r>
          </w:p>
          <w:p w14:paraId="5B9EF9FA" w14:textId="77777777" w:rsidR="00EB7645" w:rsidRPr="00BE00C7" w:rsidRDefault="00C94428" w:rsidP="00BE00C7">
            <w:pPr>
              <w:pStyle w:val="OutcomeDescription"/>
              <w:spacing w:before="120" w:after="120"/>
              <w:rPr>
                <w:rFonts w:cs="Arial"/>
                <w:lang w:eastAsia="en-NZ"/>
              </w:rPr>
            </w:pPr>
          </w:p>
        </w:tc>
      </w:tr>
    </w:tbl>
    <w:p w14:paraId="09B16D89" w14:textId="77777777" w:rsidR="00EB7645" w:rsidRPr="00BE00C7" w:rsidRDefault="00C94428" w:rsidP="00BE00C7">
      <w:pPr>
        <w:pStyle w:val="OutcomeDescription"/>
        <w:spacing w:before="120" w:after="120"/>
        <w:rPr>
          <w:rFonts w:cs="Arial"/>
          <w:lang w:eastAsia="en-NZ"/>
        </w:rPr>
      </w:pPr>
      <w:bookmarkStart w:id="56" w:name="AuditSummaryAttainment"/>
      <w:bookmarkEnd w:id="56"/>
    </w:p>
    <w:p w14:paraId="76C3D059" w14:textId="77777777" w:rsidR="00460D43" w:rsidRDefault="00C94428">
      <w:pPr>
        <w:pStyle w:val="Heading1"/>
        <w:rPr>
          <w:rFonts w:cs="Arial"/>
        </w:rPr>
      </w:pPr>
      <w:r>
        <w:rPr>
          <w:rFonts w:cs="Arial"/>
        </w:rPr>
        <w:lastRenderedPageBreak/>
        <w:t>Specific results for criterion where corrective actions are required</w:t>
      </w:r>
    </w:p>
    <w:p w14:paraId="511CCD48" w14:textId="77777777" w:rsidR="00460D43" w:rsidRDefault="00C94428">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58FC332C" w14:textId="77777777" w:rsidR="00460D43" w:rsidRDefault="00C94428">
      <w:pPr>
        <w:pStyle w:val="OutcomeDescription"/>
        <w:spacing w:before="240"/>
        <w:rPr>
          <w:rFonts w:cs="Arial"/>
          <w:sz w:val="24"/>
          <w:lang w:eastAsia="en-NZ"/>
        </w:rPr>
      </w:pPr>
      <w:r>
        <w:rPr>
          <w:rFonts w:cs="Arial"/>
          <w:sz w:val="24"/>
          <w:lang w:eastAsia="en-NZ"/>
        </w:rPr>
        <w:t>Criterion can be linked to</w:t>
      </w:r>
      <w:r>
        <w:rPr>
          <w:rFonts w:cs="Arial"/>
          <w:sz w:val="24"/>
          <w:lang w:eastAsia="en-NZ"/>
        </w:rPr>
        <w:t xml:space="preserve">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w:t>
      </w:r>
      <w:r w:rsidRPr="00FB778F">
        <w:rPr>
          <w:rFonts w:cs="Arial"/>
          <w:sz w:val="24"/>
          <w:lang w:eastAsia="en-NZ"/>
        </w:rPr>
        <w:t xml:space="preserve">cognising mana motuhake) relates to subsection 1.1: Pae ora healthy futures in Section 1 Our rights. </w:t>
      </w:r>
    </w:p>
    <w:p w14:paraId="5E440E07" w14:textId="77777777" w:rsidR="00460D43" w:rsidRDefault="00C94428">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8"/>
        <w:gridCol w:w="1322"/>
        <w:gridCol w:w="4273"/>
        <w:gridCol w:w="2331"/>
        <w:gridCol w:w="2794"/>
      </w:tblGrid>
      <w:tr w:rsidR="00BA1D1C" w14:paraId="14313091" w14:textId="77777777">
        <w:tc>
          <w:tcPr>
            <w:tcW w:w="0" w:type="auto"/>
          </w:tcPr>
          <w:p w14:paraId="73DB03B9" w14:textId="77777777" w:rsidR="00EB7645" w:rsidRPr="00BE00C7" w:rsidRDefault="00C94428" w:rsidP="00BE00C7">
            <w:pPr>
              <w:pStyle w:val="OutcomeDescription"/>
              <w:spacing w:before="120" w:after="120"/>
              <w:rPr>
                <w:rFonts w:cs="Arial"/>
                <w:lang w:eastAsia="en-NZ"/>
              </w:rPr>
            </w:pPr>
            <w:r w:rsidRPr="00BE00C7">
              <w:rPr>
                <w:rFonts w:cs="Arial"/>
                <w:b/>
                <w:lang w:eastAsia="en-NZ"/>
              </w:rPr>
              <w:t xml:space="preserve">Criterion with desired </w:t>
            </w:r>
            <w:r w:rsidRPr="00BE00C7">
              <w:rPr>
                <w:rFonts w:cs="Arial"/>
                <w:b/>
                <w:lang w:eastAsia="en-NZ"/>
              </w:rPr>
              <w:t>outcome</w:t>
            </w:r>
          </w:p>
        </w:tc>
        <w:tc>
          <w:tcPr>
            <w:tcW w:w="0" w:type="auto"/>
          </w:tcPr>
          <w:p w14:paraId="342AC09A" w14:textId="77777777" w:rsidR="00EB7645" w:rsidRPr="00BE00C7" w:rsidRDefault="00C94428"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72B991A" w14:textId="77777777" w:rsidR="00EB7645" w:rsidRPr="00BE00C7" w:rsidRDefault="00C94428"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E9D6D63" w14:textId="77777777" w:rsidR="00EB7645" w:rsidRPr="00BE00C7" w:rsidRDefault="00C94428"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487A3ADE" w14:textId="77777777" w:rsidR="00EB7645" w:rsidRPr="00BE00C7" w:rsidRDefault="00C94428"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BA1D1C" w14:paraId="285620A4" w14:textId="77777777">
        <w:tc>
          <w:tcPr>
            <w:tcW w:w="0" w:type="auto"/>
          </w:tcPr>
          <w:p w14:paraId="3E20DCF4" w14:textId="77777777" w:rsidR="00EB7645" w:rsidRPr="00BE00C7" w:rsidRDefault="00C94428" w:rsidP="00BE00C7">
            <w:pPr>
              <w:pStyle w:val="OutcomeDescription"/>
              <w:spacing w:before="120" w:after="120"/>
              <w:rPr>
                <w:rFonts w:cs="Arial"/>
                <w:lang w:eastAsia="en-NZ"/>
              </w:rPr>
            </w:pPr>
            <w:r w:rsidRPr="00BE00C7">
              <w:rPr>
                <w:rFonts w:cs="Arial"/>
                <w:lang w:eastAsia="en-NZ"/>
              </w:rPr>
              <w:t>Criterion 3.2.1</w:t>
            </w:r>
          </w:p>
          <w:p w14:paraId="0DC951EA" w14:textId="77777777" w:rsidR="00EB7645" w:rsidRPr="00BE00C7" w:rsidRDefault="00C94428" w:rsidP="00BE00C7">
            <w:pPr>
              <w:pStyle w:val="OutcomeDescription"/>
              <w:spacing w:before="120" w:after="120"/>
              <w:rPr>
                <w:rFonts w:cs="Arial"/>
                <w:lang w:eastAsia="en-NZ"/>
              </w:rPr>
            </w:pPr>
            <w:r w:rsidRPr="00BE00C7">
              <w:rPr>
                <w:rFonts w:cs="Arial"/>
                <w:lang w:eastAsia="en-NZ"/>
              </w:rPr>
              <w:t xml:space="preserve">Service providers shall engage with people receiving services to assess and develop their individual care or </w:t>
            </w:r>
            <w:r w:rsidRPr="00BE00C7">
              <w:rPr>
                <w:rFonts w:cs="Arial"/>
                <w:lang w:eastAsia="en-NZ"/>
              </w:rPr>
              <w:t>support plan in a timely manner. Whānau shall be involved when the person receiving services requests this.</w:t>
            </w:r>
          </w:p>
        </w:tc>
        <w:tc>
          <w:tcPr>
            <w:tcW w:w="0" w:type="auto"/>
          </w:tcPr>
          <w:p w14:paraId="7F58263E" w14:textId="77777777" w:rsidR="00EB7645" w:rsidRPr="00BE00C7" w:rsidRDefault="00C94428" w:rsidP="00BE00C7">
            <w:pPr>
              <w:pStyle w:val="OutcomeDescription"/>
              <w:spacing w:before="120" w:after="120"/>
              <w:rPr>
                <w:rFonts w:cs="Arial"/>
                <w:lang w:eastAsia="en-NZ"/>
              </w:rPr>
            </w:pPr>
            <w:r w:rsidRPr="00BE00C7">
              <w:rPr>
                <w:rFonts w:cs="Arial"/>
                <w:lang w:eastAsia="en-NZ"/>
              </w:rPr>
              <w:t>PA Low</w:t>
            </w:r>
          </w:p>
        </w:tc>
        <w:tc>
          <w:tcPr>
            <w:tcW w:w="0" w:type="auto"/>
          </w:tcPr>
          <w:p w14:paraId="73C0071D" w14:textId="77777777" w:rsidR="00EB7645" w:rsidRPr="00BE00C7" w:rsidRDefault="00C94428" w:rsidP="00BE00C7">
            <w:pPr>
              <w:pStyle w:val="OutcomeDescription"/>
              <w:spacing w:before="120" w:after="120"/>
              <w:rPr>
                <w:rFonts w:cs="Arial"/>
                <w:lang w:eastAsia="en-NZ"/>
              </w:rPr>
            </w:pPr>
            <w:r w:rsidRPr="00BE00C7">
              <w:rPr>
                <w:rFonts w:cs="Arial"/>
                <w:lang w:eastAsia="en-NZ"/>
              </w:rPr>
              <w:t>Long-term care plans were developed in consultation with residents and their family/whānau where applicable. InterRAI outcome scores and othe</w:t>
            </w:r>
            <w:r w:rsidRPr="00BE00C7">
              <w:rPr>
                <w:rFonts w:cs="Arial"/>
                <w:lang w:eastAsia="en-NZ"/>
              </w:rPr>
              <w:t>r clinical assessment outcomes supported care plan goals and interventions. Residents’ choices were considered in the development of care plans. However, initial interRAI assessments and long-term care plans were not consistently completed within three wee</w:t>
            </w:r>
            <w:r w:rsidRPr="00BE00C7">
              <w:rPr>
                <w:rFonts w:cs="Arial"/>
                <w:lang w:eastAsia="en-NZ"/>
              </w:rPr>
              <w:t>ks of admission.</w:t>
            </w:r>
          </w:p>
          <w:p w14:paraId="28DDE7A3" w14:textId="77777777" w:rsidR="00EB7645" w:rsidRPr="00BE00C7" w:rsidRDefault="00C94428" w:rsidP="00BE00C7">
            <w:pPr>
              <w:pStyle w:val="OutcomeDescription"/>
              <w:spacing w:before="120" w:after="120"/>
              <w:rPr>
                <w:rFonts w:cs="Arial"/>
                <w:lang w:eastAsia="en-NZ"/>
              </w:rPr>
            </w:pPr>
          </w:p>
        </w:tc>
        <w:tc>
          <w:tcPr>
            <w:tcW w:w="0" w:type="auto"/>
          </w:tcPr>
          <w:p w14:paraId="640C14AE" w14:textId="77777777" w:rsidR="00EB7645" w:rsidRPr="00BE00C7" w:rsidRDefault="00C94428" w:rsidP="00BE00C7">
            <w:pPr>
              <w:pStyle w:val="OutcomeDescription"/>
              <w:spacing w:before="120" w:after="120"/>
              <w:rPr>
                <w:rFonts w:cs="Arial"/>
                <w:lang w:eastAsia="en-NZ"/>
              </w:rPr>
            </w:pPr>
            <w:r w:rsidRPr="00BE00C7">
              <w:rPr>
                <w:rFonts w:cs="Arial"/>
                <w:lang w:eastAsia="en-NZ"/>
              </w:rPr>
              <w:t>In three of the six files reviewed, initial interRAI assessments and initial care plans were not developed in a timely manner.</w:t>
            </w:r>
          </w:p>
          <w:p w14:paraId="3E824774" w14:textId="77777777" w:rsidR="00EB7645" w:rsidRPr="00BE00C7" w:rsidRDefault="00C94428" w:rsidP="00BE00C7">
            <w:pPr>
              <w:pStyle w:val="OutcomeDescription"/>
              <w:spacing w:before="120" w:after="120"/>
              <w:rPr>
                <w:rFonts w:cs="Arial"/>
                <w:lang w:eastAsia="en-NZ"/>
              </w:rPr>
            </w:pPr>
          </w:p>
        </w:tc>
        <w:tc>
          <w:tcPr>
            <w:tcW w:w="0" w:type="auto"/>
          </w:tcPr>
          <w:p w14:paraId="26FC0ABA" w14:textId="77777777" w:rsidR="00EB7645" w:rsidRPr="00BE00C7" w:rsidRDefault="00C94428" w:rsidP="00BE00C7">
            <w:pPr>
              <w:pStyle w:val="OutcomeDescription"/>
              <w:spacing w:before="120" w:after="120"/>
              <w:rPr>
                <w:rFonts w:cs="Arial"/>
                <w:lang w:eastAsia="en-NZ"/>
              </w:rPr>
            </w:pPr>
            <w:r w:rsidRPr="00BE00C7">
              <w:rPr>
                <w:rFonts w:cs="Arial"/>
                <w:lang w:eastAsia="en-NZ"/>
              </w:rPr>
              <w:t>Ensure all assessments are completed in a timely manner.</w:t>
            </w:r>
          </w:p>
          <w:p w14:paraId="2E345664" w14:textId="77777777" w:rsidR="00EB7645" w:rsidRPr="00BE00C7" w:rsidRDefault="00C94428" w:rsidP="00BE00C7">
            <w:pPr>
              <w:pStyle w:val="OutcomeDescription"/>
              <w:spacing w:before="120" w:after="120"/>
              <w:rPr>
                <w:rFonts w:cs="Arial"/>
                <w:lang w:eastAsia="en-NZ"/>
              </w:rPr>
            </w:pPr>
          </w:p>
          <w:p w14:paraId="28E3057C" w14:textId="77777777" w:rsidR="00EB7645" w:rsidRPr="00BE00C7" w:rsidRDefault="00C94428" w:rsidP="00BE00C7">
            <w:pPr>
              <w:pStyle w:val="OutcomeDescription"/>
              <w:spacing w:before="120" w:after="120"/>
              <w:rPr>
                <w:rFonts w:cs="Arial"/>
                <w:lang w:eastAsia="en-NZ"/>
              </w:rPr>
            </w:pPr>
            <w:r w:rsidRPr="00BE00C7">
              <w:rPr>
                <w:rFonts w:cs="Arial"/>
                <w:lang w:eastAsia="en-NZ"/>
              </w:rPr>
              <w:t>180 days</w:t>
            </w:r>
          </w:p>
        </w:tc>
      </w:tr>
      <w:tr w:rsidR="00BA1D1C" w14:paraId="198975E1" w14:textId="77777777">
        <w:tc>
          <w:tcPr>
            <w:tcW w:w="0" w:type="auto"/>
          </w:tcPr>
          <w:p w14:paraId="0B2F0F12" w14:textId="77777777" w:rsidR="00EB7645" w:rsidRPr="00BE00C7" w:rsidRDefault="00C94428" w:rsidP="00BE00C7">
            <w:pPr>
              <w:pStyle w:val="OutcomeDescription"/>
              <w:spacing w:before="120" w:after="120"/>
              <w:rPr>
                <w:rFonts w:cs="Arial"/>
                <w:lang w:eastAsia="en-NZ"/>
              </w:rPr>
            </w:pPr>
            <w:r w:rsidRPr="00BE00C7">
              <w:rPr>
                <w:rFonts w:cs="Arial"/>
                <w:lang w:eastAsia="en-NZ"/>
              </w:rPr>
              <w:t>Criterion 3.2.3</w:t>
            </w:r>
          </w:p>
          <w:p w14:paraId="2761D0B3" w14:textId="77777777" w:rsidR="00EB7645" w:rsidRPr="00BE00C7" w:rsidRDefault="00C94428" w:rsidP="00BE00C7">
            <w:pPr>
              <w:pStyle w:val="OutcomeDescription"/>
              <w:spacing w:before="120" w:after="120"/>
              <w:rPr>
                <w:rFonts w:cs="Arial"/>
                <w:lang w:eastAsia="en-NZ"/>
              </w:rPr>
            </w:pPr>
            <w:r w:rsidRPr="00BE00C7">
              <w:rPr>
                <w:rFonts w:cs="Arial"/>
                <w:lang w:eastAsia="en-NZ"/>
              </w:rPr>
              <w:t>Fundamental to the develop</w:t>
            </w:r>
            <w:r w:rsidRPr="00BE00C7">
              <w:rPr>
                <w:rFonts w:cs="Arial"/>
                <w:lang w:eastAsia="en-NZ"/>
              </w:rPr>
              <w:t>ment of a care or support plan shall be that:</w:t>
            </w:r>
            <w:r w:rsidRPr="00BE00C7">
              <w:rPr>
                <w:rFonts w:cs="Arial"/>
                <w:lang w:eastAsia="en-NZ"/>
              </w:rPr>
              <w:br/>
              <w:t>(a) Informed choice is an underpinning principle;</w:t>
            </w:r>
            <w:r w:rsidRPr="00BE00C7">
              <w:rPr>
                <w:rFonts w:cs="Arial"/>
                <w:lang w:eastAsia="en-NZ"/>
              </w:rPr>
              <w:br/>
            </w:r>
            <w:r w:rsidRPr="00BE00C7">
              <w:rPr>
                <w:rFonts w:cs="Arial"/>
                <w:lang w:eastAsia="en-NZ"/>
              </w:rPr>
              <w:lastRenderedPageBreak/>
              <w:t>(b) A suitably qualified, skilled, and experienced health care or support worker undertakes the development of the care or support plan;</w:t>
            </w:r>
            <w:r w:rsidRPr="00BE00C7">
              <w:rPr>
                <w:rFonts w:cs="Arial"/>
                <w:lang w:eastAsia="en-NZ"/>
              </w:rPr>
              <w:br/>
              <w:t>(c) Comprehensive asses</w:t>
            </w:r>
            <w:r w:rsidRPr="00BE00C7">
              <w:rPr>
                <w:rFonts w:cs="Arial"/>
                <w:lang w:eastAsia="en-NZ"/>
              </w:rPr>
              <w:t>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w:t>
            </w:r>
            <w:r w:rsidRPr="00BE00C7">
              <w:rPr>
                <w:rFonts w:cs="Arial"/>
                <w:lang w:eastAsia="en-NZ"/>
              </w:rPr>
              <w:t>aditional healing practitioners as well as rākau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w:t>
            </w:r>
            <w:r w:rsidRPr="00BE00C7">
              <w:rPr>
                <w:rFonts w:cs="Arial"/>
                <w:lang w:eastAsia="en-NZ"/>
              </w:rPr>
              <w:t>)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6E902E7A" w14:textId="77777777" w:rsidR="00EB7645" w:rsidRPr="00BE00C7" w:rsidRDefault="00C94428" w:rsidP="00BE00C7">
            <w:pPr>
              <w:pStyle w:val="OutcomeDescription"/>
              <w:spacing w:before="120" w:after="120"/>
              <w:rPr>
                <w:rFonts w:cs="Arial"/>
                <w:lang w:eastAsia="en-NZ"/>
              </w:rPr>
            </w:pPr>
          </w:p>
        </w:tc>
        <w:tc>
          <w:tcPr>
            <w:tcW w:w="0" w:type="auto"/>
          </w:tcPr>
          <w:p w14:paraId="2C53FB27" w14:textId="77777777" w:rsidR="00EB7645" w:rsidRPr="00BE00C7" w:rsidRDefault="00C94428"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2CD6D253" w14:textId="77777777" w:rsidR="00EB7645" w:rsidRPr="00BE00C7" w:rsidRDefault="00C94428" w:rsidP="00BE00C7">
            <w:pPr>
              <w:pStyle w:val="OutcomeDescription"/>
              <w:spacing w:before="120" w:after="120"/>
              <w:rPr>
                <w:rFonts w:cs="Arial"/>
                <w:lang w:eastAsia="en-NZ"/>
              </w:rPr>
            </w:pPr>
            <w:r w:rsidRPr="00BE00C7">
              <w:rPr>
                <w:rFonts w:cs="Arial"/>
                <w:lang w:eastAsia="en-NZ"/>
              </w:rPr>
              <w:t>Assessment tools that include consideration of residents’ lived experiences, cultural needs, values, and beliefs were used. Staff have received cultural safety training. Cultural needs assessment of residents is not included on the assessment tool utilised</w:t>
            </w:r>
            <w:r w:rsidRPr="00BE00C7">
              <w:rPr>
                <w:rFonts w:cs="Arial"/>
                <w:lang w:eastAsia="en-NZ"/>
              </w:rPr>
              <w:t xml:space="preserve">. </w:t>
            </w:r>
            <w:r w:rsidRPr="00BE00C7">
              <w:rPr>
                <w:rFonts w:cs="Arial"/>
                <w:lang w:eastAsia="en-NZ"/>
              </w:rPr>
              <w:lastRenderedPageBreak/>
              <w:t>Residents’ strengths and aspirations that align with the residents’ values and beliefs were described in the care plans. The support required to achieve these was documented. Most of the identified needs were reflected in the care plans, apart from the c</w:t>
            </w:r>
            <w:r w:rsidRPr="00BE00C7">
              <w:rPr>
                <w:rFonts w:cs="Arial"/>
                <w:lang w:eastAsia="en-NZ"/>
              </w:rPr>
              <w:t>ultural needs. Residents’ goals of care were not consistently documented in the long-term care plans reviewed. Early warning signs and risks that may affect a resident’s wellbeing, were documented where applicable. Staff have received training on how to co</w:t>
            </w:r>
            <w:r w:rsidRPr="00BE00C7">
              <w:rPr>
                <w:rFonts w:cs="Arial"/>
                <w:lang w:eastAsia="en-NZ"/>
              </w:rPr>
              <w:t>mplete care plans appropriately and the clinical nurse lead is closely monitoring the progress.</w:t>
            </w:r>
          </w:p>
          <w:p w14:paraId="484F74BF" w14:textId="77777777" w:rsidR="00EB7645" w:rsidRPr="00BE00C7" w:rsidRDefault="00C94428" w:rsidP="00BE00C7">
            <w:pPr>
              <w:pStyle w:val="OutcomeDescription"/>
              <w:spacing w:before="120" w:after="120"/>
              <w:rPr>
                <w:rFonts w:cs="Arial"/>
                <w:lang w:eastAsia="en-NZ"/>
              </w:rPr>
            </w:pPr>
          </w:p>
        </w:tc>
        <w:tc>
          <w:tcPr>
            <w:tcW w:w="0" w:type="auto"/>
          </w:tcPr>
          <w:p w14:paraId="2B3E9EE0" w14:textId="77777777" w:rsidR="00EB7645" w:rsidRPr="00BE00C7" w:rsidRDefault="00C94428" w:rsidP="00BE00C7">
            <w:pPr>
              <w:pStyle w:val="OutcomeDescription"/>
              <w:spacing w:before="120" w:after="120"/>
              <w:rPr>
                <w:rFonts w:cs="Arial"/>
                <w:lang w:eastAsia="en-NZ"/>
              </w:rPr>
            </w:pPr>
            <w:r w:rsidRPr="00BE00C7">
              <w:rPr>
                <w:rFonts w:cs="Arial"/>
                <w:lang w:eastAsia="en-NZ"/>
              </w:rPr>
              <w:lastRenderedPageBreak/>
              <w:t>The assessment tool utilised does not include cultural needs assessment.</w:t>
            </w:r>
          </w:p>
          <w:p w14:paraId="1C61C8E6" w14:textId="77777777" w:rsidR="00EB7645" w:rsidRPr="00BE00C7" w:rsidRDefault="00C94428" w:rsidP="00BE00C7">
            <w:pPr>
              <w:pStyle w:val="OutcomeDescription"/>
              <w:spacing w:before="120" w:after="120"/>
              <w:rPr>
                <w:rFonts w:cs="Arial"/>
                <w:lang w:eastAsia="en-NZ"/>
              </w:rPr>
            </w:pPr>
            <w:r w:rsidRPr="00BE00C7">
              <w:rPr>
                <w:rFonts w:cs="Arial"/>
                <w:lang w:eastAsia="en-NZ"/>
              </w:rPr>
              <w:t xml:space="preserve">Goals of care were not consistently </w:t>
            </w:r>
            <w:r w:rsidRPr="00BE00C7">
              <w:rPr>
                <w:rFonts w:cs="Arial"/>
                <w:lang w:eastAsia="en-NZ"/>
              </w:rPr>
              <w:lastRenderedPageBreak/>
              <w:t xml:space="preserve">documented in the care plans in 50% of the </w:t>
            </w:r>
            <w:r w:rsidRPr="00BE00C7">
              <w:rPr>
                <w:rFonts w:cs="Arial"/>
                <w:lang w:eastAsia="en-NZ"/>
              </w:rPr>
              <w:t>files reviewed.</w:t>
            </w:r>
          </w:p>
          <w:p w14:paraId="6E64EB01" w14:textId="77777777" w:rsidR="00EB7645" w:rsidRPr="00BE00C7" w:rsidRDefault="00C94428" w:rsidP="00BE00C7">
            <w:pPr>
              <w:pStyle w:val="OutcomeDescription"/>
              <w:spacing w:before="120" w:after="120"/>
              <w:rPr>
                <w:rFonts w:cs="Arial"/>
                <w:lang w:eastAsia="en-NZ"/>
              </w:rPr>
            </w:pPr>
          </w:p>
        </w:tc>
        <w:tc>
          <w:tcPr>
            <w:tcW w:w="0" w:type="auto"/>
          </w:tcPr>
          <w:p w14:paraId="30988232" w14:textId="77777777" w:rsidR="00EB7645" w:rsidRPr="00BE00C7" w:rsidRDefault="00C94428" w:rsidP="00BE00C7">
            <w:pPr>
              <w:pStyle w:val="OutcomeDescription"/>
              <w:spacing w:before="120" w:after="120"/>
              <w:rPr>
                <w:rFonts w:cs="Arial"/>
                <w:lang w:eastAsia="en-NZ"/>
              </w:rPr>
            </w:pPr>
            <w:r w:rsidRPr="00BE00C7">
              <w:rPr>
                <w:rFonts w:cs="Arial"/>
                <w:lang w:eastAsia="en-NZ"/>
              </w:rPr>
              <w:lastRenderedPageBreak/>
              <w:t>Ensure cultural needs assessments are completed to meet the criterion requirements.</w:t>
            </w:r>
          </w:p>
          <w:p w14:paraId="65C78351" w14:textId="77777777" w:rsidR="00EB7645" w:rsidRPr="00BE00C7" w:rsidRDefault="00C94428" w:rsidP="00BE00C7">
            <w:pPr>
              <w:pStyle w:val="OutcomeDescription"/>
              <w:spacing w:before="120" w:after="120"/>
              <w:rPr>
                <w:rFonts w:cs="Arial"/>
                <w:lang w:eastAsia="en-NZ"/>
              </w:rPr>
            </w:pPr>
            <w:r w:rsidRPr="00BE00C7">
              <w:rPr>
                <w:rFonts w:cs="Arial"/>
                <w:lang w:eastAsia="en-NZ"/>
              </w:rPr>
              <w:t xml:space="preserve">Ensure residents’ goals of care are consistently </w:t>
            </w:r>
            <w:r w:rsidRPr="00BE00C7">
              <w:rPr>
                <w:rFonts w:cs="Arial"/>
                <w:lang w:eastAsia="en-NZ"/>
              </w:rPr>
              <w:lastRenderedPageBreak/>
              <w:t>indicated in the care plans to meet the criterion requirements.</w:t>
            </w:r>
          </w:p>
          <w:p w14:paraId="32059B62" w14:textId="77777777" w:rsidR="00EB7645" w:rsidRPr="00BE00C7" w:rsidRDefault="00C94428" w:rsidP="00BE00C7">
            <w:pPr>
              <w:pStyle w:val="OutcomeDescription"/>
              <w:spacing w:before="120" w:after="120"/>
              <w:rPr>
                <w:rFonts w:cs="Arial"/>
                <w:lang w:eastAsia="en-NZ"/>
              </w:rPr>
            </w:pPr>
          </w:p>
          <w:p w14:paraId="1C26DA17" w14:textId="77777777" w:rsidR="00EB7645" w:rsidRPr="00BE00C7" w:rsidRDefault="00C94428" w:rsidP="00BE00C7">
            <w:pPr>
              <w:pStyle w:val="OutcomeDescription"/>
              <w:spacing w:before="120" w:after="120"/>
              <w:rPr>
                <w:rFonts w:cs="Arial"/>
                <w:lang w:eastAsia="en-NZ"/>
              </w:rPr>
            </w:pPr>
            <w:r w:rsidRPr="00BE00C7">
              <w:rPr>
                <w:rFonts w:cs="Arial"/>
                <w:lang w:eastAsia="en-NZ"/>
              </w:rPr>
              <w:t>180 days</w:t>
            </w:r>
          </w:p>
        </w:tc>
      </w:tr>
      <w:tr w:rsidR="00BA1D1C" w14:paraId="4DBD522F" w14:textId="77777777">
        <w:tc>
          <w:tcPr>
            <w:tcW w:w="0" w:type="auto"/>
          </w:tcPr>
          <w:p w14:paraId="497C0431" w14:textId="77777777" w:rsidR="00EB7645" w:rsidRPr="00BE00C7" w:rsidRDefault="00C94428" w:rsidP="00BE00C7">
            <w:pPr>
              <w:pStyle w:val="OutcomeDescription"/>
              <w:spacing w:before="120" w:after="120"/>
              <w:rPr>
                <w:rFonts w:cs="Arial"/>
                <w:lang w:eastAsia="en-NZ"/>
              </w:rPr>
            </w:pPr>
            <w:r w:rsidRPr="00BE00C7">
              <w:rPr>
                <w:rFonts w:cs="Arial"/>
                <w:lang w:eastAsia="en-NZ"/>
              </w:rPr>
              <w:lastRenderedPageBreak/>
              <w:t>Criterion 3.2.5</w:t>
            </w:r>
          </w:p>
          <w:p w14:paraId="35B9A245" w14:textId="77777777" w:rsidR="00EB7645" w:rsidRPr="00BE00C7" w:rsidRDefault="00C94428" w:rsidP="00BE00C7">
            <w:pPr>
              <w:pStyle w:val="OutcomeDescription"/>
              <w:spacing w:before="120" w:after="120"/>
              <w:rPr>
                <w:rFonts w:cs="Arial"/>
                <w:lang w:eastAsia="en-NZ"/>
              </w:rPr>
            </w:pPr>
            <w:r w:rsidRPr="00BE00C7">
              <w:rPr>
                <w:rFonts w:cs="Arial"/>
                <w:lang w:eastAsia="en-NZ"/>
              </w:rPr>
              <w:t xml:space="preserve">Planned review </w:t>
            </w:r>
            <w:r w:rsidRPr="00BE00C7">
              <w:rPr>
                <w:rFonts w:cs="Arial"/>
                <w:lang w:eastAsia="en-NZ"/>
              </w:rPr>
              <w:t>of a person’s care or support plan shall:</w:t>
            </w:r>
            <w:r w:rsidRPr="00BE00C7">
              <w:rPr>
                <w:rFonts w:cs="Arial"/>
                <w:lang w:eastAsia="en-NZ"/>
              </w:rPr>
              <w:br/>
            </w:r>
            <w:r w:rsidRPr="00BE00C7">
              <w:rPr>
                <w:rFonts w:cs="Arial"/>
                <w:lang w:eastAsia="en-NZ"/>
              </w:rPr>
              <w:lastRenderedPageBreak/>
              <w:t>(a) Be undertaken at defined 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w:t>
            </w:r>
            <w:r w:rsidRPr="00BE00C7">
              <w:rPr>
                <w:rFonts w:cs="Arial"/>
                <w:lang w:eastAsia="en-NZ"/>
              </w:rPr>
              <w:t>t against the person’s agreed goals and aspiration as well as whānau goals and aspirations;</w:t>
            </w:r>
            <w:r w:rsidRPr="00BE00C7">
              <w:rPr>
                <w:rFonts w:cs="Arial"/>
                <w:lang w:eastAsia="en-NZ"/>
              </w:rPr>
              <w:br/>
              <w:t>(d) Identify changes to the person’s care or support plan, which are agreed collaboratively through the ongoing re-assessment and review process, and ensure changes</w:t>
            </w:r>
            <w:r w:rsidRPr="00BE00C7">
              <w:rPr>
                <w:rFonts w:cs="Arial"/>
                <w:lang w:eastAsia="en-NZ"/>
              </w:rPr>
              <w:t xml:space="preserve"> are implemented;</w:t>
            </w:r>
            <w:r w:rsidRPr="00BE00C7">
              <w:rPr>
                <w:rFonts w:cs="Arial"/>
                <w:lang w:eastAsia="en-NZ"/>
              </w:rPr>
              <w:br/>
              <w:t>(e) Ensure that, where progress is different from expected, the service provider in collaboration with the person receiving services and whānau responds by initiating changes to the care or support plan.</w:t>
            </w:r>
          </w:p>
          <w:p w14:paraId="2D92FC12" w14:textId="77777777" w:rsidR="00EB7645" w:rsidRPr="00BE00C7" w:rsidRDefault="00C94428" w:rsidP="00BE00C7">
            <w:pPr>
              <w:pStyle w:val="OutcomeDescription"/>
              <w:spacing w:before="120" w:after="120"/>
              <w:rPr>
                <w:rFonts w:cs="Arial"/>
                <w:lang w:eastAsia="en-NZ"/>
              </w:rPr>
            </w:pPr>
          </w:p>
        </w:tc>
        <w:tc>
          <w:tcPr>
            <w:tcW w:w="0" w:type="auto"/>
          </w:tcPr>
          <w:p w14:paraId="7ADD118E" w14:textId="77777777" w:rsidR="00EB7645" w:rsidRPr="00BE00C7" w:rsidRDefault="00C94428"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0DF77EAF" w14:textId="77777777" w:rsidR="00EB7645" w:rsidRPr="00BE00C7" w:rsidRDefault="00C94428"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 xml:space="preserve">organisation’s policy requires long-term care plans to be reviewed routinely every six months and whenever required for significant </w:t>
            </w:r>
            <w:r w:rsidRPr="00BE00C7">
              <w:rPr>
                <w:rFonts w:cs="Arial"/>
                <w:lang w:eastAsia="en-NZ"/>
              </w:rPr>
              <w:lastRenderedPageBreak/>
              <w:t>changes. The care plans include use of a range of outcome scores. Not all routine six-monthly interRAI reassessment and care</w:t>
            </w:r>
            <w:r w:rsidRPr="00BE00C7">
              <w:rPr>
                <w:rFonts w:cs="Arial"/>
                <w:lang w:eastAsia="en-NZ"/>
              </w:rPr>
              <w:t xml:space="preserve"> plan evaluations were completed in a timely manner. Four of six care plan evaluations were overdue. Short-term care plans were completed for any resident where acute care needs were identified. Short-term care plans were reviewed weekly or earlier if clin</w:t>
            </w:r>
            <w:r w:rsidRPr="00BE00C7">
              <w:rPr>
                <w:rFonts w:cs="Arial"/>
                <w:lang w:eastAsia="en-NZ"/>
              </w:rPr>
              <w:t>ically indicated. Where progress was different from expected, the service, in collaboration with the resident or family/whānau, responded by initiating changes to the care plan.</w:t>
            </w:r>
          </w:p>
          <w:p w14:paraId="6AC3AA0E" w14:textId="77777777" w:rsidR="00EB7645" w:rsidRPr="00BE00C7" w:rsidRDefault="00C94428" w:rsidP="00BE00C7">
            <w:pPr>
              <w:pStyle w:val="OutcomeDescription"/>
              <w:spacing w:before="120" w:after="120"/>
              <w:rPr>
                <w:rFonts w:cs="Arial"/>
                <w:lang w:eastAsia="en-NZ"/>
              </w:rPr>
            </w:pPr>
          </w:p>
        </w:tc>
        <w:tc>
          <w:tcPr>
            <w:tcW w:w="0" w:type="auto"/>
          </w:tcPr>
          <w:p w14:paraId="6F5FDAE9" w14:textId="77777777" w:rsidR="00EB7645" w:rsidRPr="00BE00C7" w:rsidRDefault="00C94428" w:rsidP="00BE00C7">
            <w:pPr>
              <w:pStyle w:val="OutcomeDescription"/>
              <w:spacing w:before="120" w:after="120"/>
              <w:rPr>
                <w:rFonts w:cs="Arial"/>
                <w:lang w:eastAsia="en-NZ"/>
              </w:rPr>
            </w:pPr>
            <w:r w:rsidRPr="00BE00C7">
              <w:rPr>
                <w:rFonts w:cs="Arial"/>
                <w:lang w:eastAsia="en-NZ"/>
              </w:rPr>
              <w:lastRenderedPageBreak/>
              <w:t xml:space="preserve">Six-monthly interRAI assessments and long-term care plan </w:t>
            </w:r>
            <w:r w:rsidRPr="00BE00C7">
              <w:rPr>
                <w:rFonts w:cs="Arial"/>
                <w:lang w:eastAsia="en-NZ"/>
              </w:rPr>
              <w:lastRenderedPageBreak/>
              <w:t>evaluations were ove</w:t>
            </w:r>
            <w:r w:rsidRPr="00BE00C7">
              <w:rPr>
                <w:rFonts w:cs="Arial"/>
                <w:lang w:eastAsia="en-NZ"/>
              </w:rPr>
              <w:t>rdue in four of the six files reviewed.</w:t>
            </w:r>
          </w:p>
          <w:p w14:paraId="4B5E1833" w14:textId="77777777" w:rsidR="00EB7645" w:rsidRPr="00BE00C7" w:rsidRDefault="00C94428" w:rsidP="00BE00C7">
            <w:pPr>
              <w:pStyle w:val="OutcomeDescription"/>
              <w:spacing w:before="120" w:after="120"/>
              <w:rPr>
                <w:rFonts w:cs="Arial"/>
                <w:lang w:eastAsia="en-NZ"/>
              </w:rPr>
            </w:pPr>
          </w:p>
        </w:tc>
        <w:tc>
          <w:tcPr>
            <w:tcW w:w="0" w:type="auto"/>
          </w:tcPr>
          <w:p w14:paraId="73D34A98" w14:textId="77777777" w:rsidR="00EB7645" w:rsidRPr="00BE00C7" w:rsidRDefault="00C94428" w:rsidP="00BE00C7">
            <w:pPr>
              <w:pStyle w:val="OutcomeDescription"/>
              <w:spacing w:before="120" w:after="120"/>
              <w:rPr>
                <w:rFonts w:cs="Arial"/>
                <w:lang w:eastAsia="en-NZ"/>
              </w:rPr>
            </w:pPr>
            <w:r w:rsidRPr="00BE00C7">
              <w:rPr>
                <w:rFonts w:cs="Arial"/>
                <w:lang w:eastAsia="en-NZ"/>
              </w:rPr>
              <w:lastRenderedPageBreak/>
              <w:t>Ensure all reviews are completed in a timely manner.</w:t>
            </w:r>
          </w:p>
          <w:p w14:paraId="0BE1A2E8" w14:textId="77777777" w:rsidR="00EB7645" w:rsidRPr="00BE00C7" w:rsidRDefault="00C94428" w:rsidP="00BE00C7">
            <w:pPr>
              <w:pStyle w:val="OutcomeDescription"/>
              <w:spacing w:before="120" w:after="120"/>
              <w:rPr>
                <w:rFonts w:cs="Arial"/>
                <w:lang w:eastAsia="en-NZ"/>
              </w:rPr>
            </w:pPr>
          </w:p>
          <w:p w14:paraId="6A335128" w14:textId="77777777" w:rsidR="00EB7645" w:rsidRPr="00BE00C7" w:rsidRDefault="00C94428" w:rsidP="00BE00C7">
            <w:pPr>
              <w:pStyle w:val="OutcomeDescription"/>
              <w:spacing w:before="120" w:after="120"/>
              <w:rPr>
                <w:rFonts w:cs="Arial"/>
                <w:lang w:eastAsia="en-NZ"/>
              </w:rPr>
            </w:pPr>
            <w:r w:rsidRPr="00BE00C7">
              <w:rPr>
                <w:rFonts w:cs="Arial"/>
                <w:lang w:eastAsia="en-NZ"/>
              </w:rPr>
              <w:t>90 days</w:t>
            </w:r>
          </w:p>
        </w:tc>
      </w:tr>
      <w:tr w:rsidR="00BA1D1C" w14:paraId="7FF510C2" w14:textId="77777777">
        <w:tc>
          <w:tcPr>
            <w:tcW w:w="0" w:type="auto"/>
          </w:tcPr>
          <w:p w14:paraId="7306A911" w14:textId="77777777" w:rsidR="00EB7645" w:rsidRPr="00BE00C7" w:rsidRDefault="00C94428" w:rsidP="00BE00C7">
            <w:pPr>
              <w:pStyle w:val="OutcomeDescription"/>
              <w:spacing w:before="120" w:after="120"/>
              <w:rPr>
                <w:rFonts w:cs="Arial"/>
                <w:lang w:eastAsia="en-NZ"/>
              </w:rPr>
            </w:pPr>
            <w:r w:rsidRPr="00BE00C7">
              <w:rPr>
                <w:rFonts w:cs="Arial"/>
                <w:lang w:eastAsia="en-NZ"/>
              </w:rPr>
              <w:lastRenderedPageBreak/>
              <w:t>Criterion 4.2.1</w:t>
            </w:r>
          </w:p>
          <w:p w14:paraId="6190E2C4" w14:textId="77777777" w:rsidR="00EB7645" w:rsidRPr="00BE00C7" w:rsidRDefault="00C94428" w:rsidP="00BE00C7">
            <w:pPr>
              <w:pStyle w:val="OutcomeDescription"/>
              <w:spacing w:before="120" w:after="120"/>
              <w:rPr>
                <w:rFonts w:cs="Arial"/>
                <w:lang w:eastAsia="en-NZ"/>
              </w:rPr>
            </w:pPr>
            <w:r w:rsidRPr="00BE00C7">
              <w:rPr>
                <w:rFonts w:cs="Arial"/>
                <w:lang w:eastAsia="en-NZ"/>
              </w:rPr>
              <w:t>Where required by legislation, there shall be a Fire and Emergency New Zealand- approved evacuation plan.</w:t>
            </w:r>
          </w:p>
        </w:tc>
        <w:tc>
          <w:tcPr>
            <w:tcW w:w="0" w:type="auto"/>
          </w:tcPr>
          <w:p w14:paraId="0E586122" w14:textId="77777777" w:rsidR="00EB7645" w:rsidRPr="00BE00C7" w:rsidRDefault="00C94428" w:rsidP="00BE00C7">
            <w:pPr>
              <w:pStyle w:val="OutcomeDescription"/>
              <w:spacing w:before="120" w:after="120"/>
              <w:rPr>
                <w:rFonts w:cs="Arial"/>
                <w:lang w:eastAsia="en-NZ"/>
              </w:rPr>
            </w:pPr>
            <w:r w:rsidRPr="00BE00C7">
              <w:rPr>
                <w:rFonts w:cs="Arial"/>
                <w:lang w:eastAsia="en-NZ"/>
              </w:rPr>
              <w:t>PA Low</w:t>
            </w:r>
          </w:p>
        </w:tc>
        <w:tc>
          <w:tcPr>
            <w:tcW w:w="0" w:type="auto"/>
          </w:tcPr>
          <w:p w14:paraId="6F93065A" w14:textId="77777777" w:rsidR="00EB7645" w:rsidRPr="00BE00C7" w:rsidRDefault="00C94428" w:rsidP="00BE00C7">
            <w:pPr>
              <w:pStyle w:val="OutcomeDescription"/>
              <w:spacing w:before="120" w:after="120"/>
              <w:rPr>
                <w:rFonts w:cs="Arial"/>
                <w:lang w:eastAsia="en-NZ"/>
              </w:rPr>
            </w:pPr>
            <w:r w:rsidRPr="00BE00C7">
              <w:rPr>
                <w:rFonts w:cs="Arial"/>
                <w:lang w:eastAsia="en-NZ"/>
              </w:rPr>
              <w:t xml:space="preserve">The service is </w:t>
            </w:r>
            <w:r w:rsidRPr="00BE00C7">
              <w:rPr>
                <w:rFonts w:cs="Arial"/>
                <w:lang w:eastAsia="en-NZ"/>
              </w:rPr>
              <w:t>waiting for Fire and Emergency New Zealand to complete a site inspection and review the current fire evacuation plan. It is anticipated this will occur before 16 March 2024.</w:t>
            </w:r>
          </w:p>
          <w:p w14:paraId="7667A2F4" w14:textId="77777777" w:rsidR="00EB7645" w:rsidRPr="00BE00C7" w:rsidRDefault="00C94428" w:rsidP="00BE00C7">
            <w:pPr>
              <w:pStyle w:val="OutcomeDescription"/>
              <w:spacing w:before="120" w:after="120"/>
              <w:rPr>
                <w:rFonts w:cs="Arial"/>
                <w:lang w:eastAsia="en-NZ"/>
              </w:rPr>
            </w:pPr>
          </w:p>
        </w:tc>
        <w:tc>
          <w:tcPr>
            <w:tcW w:w="0" w:type="auto"/>
          </w:tcPr>
          <w:p w14:paraId="00E35904" w14:textId="77777777" w:rsidR="00EB7645" w:rsidRPr="00BE00C7" w:rsidRDefault="00C94428" w:rsidP="00BE00C7">
            <w:pPr>
              <w:pStyle w:val="OutcomeDescription"/>
              <w:spacing w:before="120" w:after="120"/>
              <w:rPr>
                <w:rFonts w:cs="Arial"/>
                <w:lang w:eastAsia="en-NZ"/>
              </w:rPr>
            </w:pPr>
            <w:r w:rsidRPr="00BE00C7">
              <w:rPr>
                <w:rFonts w:cs="Arial"/>
                <w:lang w:eastAsia="en-NZ"/>
              </w:rPr>
              <w:t>The current evacuation plan has not been reviewed by Fire and Emergency New Zeala</w:t>
            </w:r>
            <w:r w:rsidRPr="00BE00C7">
              <w:rPr>
                <w:rFonts w:cs="Arial"/>
                <w:lang w:eastAsia="en-NZ"/>
              </w:rPr>
              <w:t>nd to determine if it requires changes</w:t>
            </w:r>
          </w:p>
          <w:p w14:paraId="2CDA90FF" w14:textId="77777777" w:rsidR="00EB7645" w:rsidRPr="00BE00C7" w:rsidRDefault="00C94428" w:rsidP="00BE00C7">
            <w:pPr>
              <w:pStyle w:val="OutcomeDescription"/>
              <w:spacing w:before="120" w:after="120"/>
              <w:rPr>
                <w:rFonts w:cs="Arial"/>
                <w:lang w:eastAsia="en-NZ"/>
              </w:rPr>
            </w:pPr>
          </w:p>
        </w:tc>
        <w:tc>
          <w:tcPr>
            <w:tcW w:w="0" w:type="auto"/>
          </w:tcPr>
          <w:p w14:paraId="57F9565C" w14:textId="77777777" w:rsidR="00EB7645" w:rsidRPr="00BE00C7" w:rsidRDefault="00C94428" w:rsidP="00BE00C7">
            <w:pPr>
              <w:pStyle w:val="OutcomeDescription"/>
              <w:spacing w:before="120" w:after="120"/>
              <w:rPr>
                <w:rFonts w:cs="Arial"/>
                <w:lang w:eastAsia="en-NZ"/>
              </w:rPr>
            </w:pPr>
            <w:r w:rsidRPr="00BE00C7">
              <w:rPr>
                <w:rFonts w:cs="Arial"/>
                <w:lang w:eastAsia="en-NZ"/>
              </w:rPr>
              <w:t>Submit documented evidence that Fire and Emergency New Zealand have reviewed and approved a fire evacuation plan that takes into account any physical changes to the new wing.</w:t>
            </w:r>
          </w:p>
          <w:p w14:paraId="1372F6F5" w14:textId="77777777" w:rsidR="00EB7645" w:rsidRPr="00BE00C7" w:rsidRDefault="00C94428" w:rsidP="00BE00C7">
            <w:pPr>
              <w:pStyle w:val="OutcomeDescription"/>
              <w:spacing w:before="120" w:after="120"/>
              <w:rPr>
                <w:rFonts w:cs="Arial"/>
                <w:lang w:eastAsia="en-NZ"/>
              </w:rPr>
            </w:pPr>
          </w:p>
          <w:p w14:paraId="3C78C39C" w14:textId="77777777" w:rsidR="00EB7645" w:rsidRPr="00BE00C7" w:rsidRDefault="00C94428" w:rsidP="00BE00C7">
            <w:pPr>
              <w:pStyle w:val="OutcomeDescription"/>
              <w:spacing w:before="120" w:after="120"/>
              <w:rPr>
                <w:rFonts w:cs="Arial"/>
                <w:lang w:eastAsia="en-NZ"/>
              </w:rPr>
            </w:pPr>
            <w:r w:rsidRPr="00BE00C7">
              <w:rPr>
                <w:rFonts w:cs="Arial"/>
                <w:lang w:eastAsia="en-NZ"/>
              </w:rPr>
              <w:lastRenderedPageBreak/>
              <w:t>Prior to occupancy days</w:t>
            </w:r>
          </w:p>
        </w:tc>
      </w:tr>
      <w:tr w:rsidR="00BA1D1C" w14:paraId="011D945F" w14:textId="77777777">
        <w:tc>
          <w:tcPr>
            <w:tcW w:w="0" w:type="auto"/>
          </w:tcPr>
          <w:p w14:paraId="7790E18D" w14:textId="77777777" w:rsidR="00EB7645" w:rsidRPr="00BE00C7" w:rsidRDefault="00C94428" w:rsidP="00BE00C7">
            <w:pPr>
              <w:pStyle w:val="OutcomeDescription"/>
              <w:spacing w:before="120" w:after="120"/>
              <w:rPr>
                <w:rFonts w:cs="Arial"/>
                <w:lang w:eastAsia="en-NZ"/>
              </w:rPr>
            </w:pPr>
            <w:r w:rsidRPr="00BE00C7">
              <w:rPr>
                <w:rFonts w:cs="Arial"/>
                <w:lang w:eastAsia="en-NZ"/>
              </w:rPr>
              <w:lastRenderedPageBreak/>
              <w:t>Criterion 5.2.2</w:t>
            </w:r>
          </w:p>
          <w:p w14:paraId="0C29E0D3" w14:textId="77777777" w:rsidR="00EB7645" w:rsidRPr="00BE00C7" w:rsidRDefault="00C94428" w:rsidP="00BE00C7">
            <w:pPr>
              <w:pStyle w:val="OutcomeDescription"/>
              <w:spacing w:before="120" w:after="120"/>
              <w:rPr>
                <w:rFonts w:cs="Arial"/>
                <w:lang w:eastAsia="en-NZ"/>
              </w:rPr>
            </w:pPr>
            <w:r w:rsidRPr="00BE00C7">
              <w:rPr>
                <w:rFonts w:cs="Arial"/>
                <w:lang w:eastAsia="en-NZ"/>
              </w:rPr>
              <w:t>Service providers shall have a clearly defined and documented IP programme that shall be:</w:t>
            </w:r>
            <w:r w:rsidRPr="00BE00C7">
              <w:rPr>
                <w:rFonts w:cs="Arial"/>
                <w:lang w:eastAsia="en-NZ"/>
              </w:rPr>
              <w:br/>
              <w:t>(a) Developed by those with IP expertise;</w:t>
            </w:r>
            <w:r w:rsidRPr="00BE00C7">
              <w:rPr>
                <w:rFonts w:cs="Arial"/>
                <w:lang w:eastAsia="en-NZ"/>
              </w:rPr>
              <w:br/>
              <w:t>(b) Approved by the governance body;</w:t>
            </w:r>
            <w:r w:rsidRPr="00BE00C7">
              <w:rPr>
                <w:rFonts w:cs="Arial"/>
                <w:lang w:eastAsia="en-NZ"/>
              </w:rPr>
              <w:br/>
              <w:t>(c) Linked to the quality improvement programme; and</w:t>
            </w:r>
            <w:r w:rsidRPr="00BE00C7">
              <w:rPr>
                <w:rFonts w:cs="Arial"/>
                <w:lang w:eastAsia="en-NZ"/>
              </w:rPr>
              <w:br/>
              <w:t>(d) Reviewed and reported on annu</w:t>
            </w:r>
            <w:r w:rsidRPr="00BE00C7">
              <w:rPr>
                <w:rFonts w:cs="Arial"/>
                <w:lang w:eastAsia="en-NZ"/>
              </w:rPr>
              <w:t>ally.</w:t>
            </w:r>
          </w:p>
          <w:p w14:paraId="3DA2C935" w14:textId="77777777" w:rsidR="00EB7645" w:rsidRPr="00BE00C7" w:rsidRDefault="00C94428" w:rsidP="00BE00C7">
            <w:pPr>
              <w:pStyle w:val="OutcomeDescription"/>
              <w:spacing w:before="120" w:after="120"/>
              <w:rPr>
                <w:rFonts w:cs="Arial"/>
                <w:lang w:eastAsia="en-NZ"/>
              </w:rPr>
            </w:pPr>
          </w:p>
        </w:tc>
        <w:tc>
          <w:tcPr>
            <w:tcW w:w="0" w:type="auto"/>
          </w:tcPr>
          <w:p w14:paraId="290DC5D4" w14:textId="77777777" w:rsidR="00EB7645" w:rsidRPr="00BE00C7" w:rsidRDefault="00C94428" w:rsidP="00BE00C7">
            <w:pPr>
              <w:pStyle w:val="OutcomeDescription"/>
              <w:spacing w:before="120" w:after="120"/>
              <w:rPr>
                <w:rFonts w:cs="Arial"/>
                <w:lang w:eastAsia="en-NZ"/>
              </w:rPr>
            </w:pPr>
            <w:r w:rsidRPr="00BE00C7">
              <w:rPr>
                <w:rFonts w:cs="Arial"/>
                <w:lang w:eastAsia="en-NZ"/>
              </w:rPr>
              <w:t>PA Low</w:t>
            </w:r>
          </w:p>
        </w:tc>
        <w:tc>
          <w:tcPr>
            <w:tcW w:w="0" w:type="auto"/>
          </w:tcPr>
          <w:p w14:paraId="106B2C1D" w14:textId="77777777" w:rsidR="00EB7645" w:rsidRPr="00BE00C7" w:rsidRDefault="00C94428" w:rsidP="00BE00C7">
            <w:pPr>
              <w:pStyle w:val="OutcomeDescription"/>
              <w:spacing w:before="120" w:after="120"/>
              <w:rPr>
                <w:rFonts w:cs="Arial"/>
                <w:lang w:eastAsia="en-NZ"/>
              </w:rPr>
            </w:pPr>
            <w:r w:rsidRPr="00BE00C7">
              <w:rPr>
                <w:rFonts w:cs="Arial"/>
                <w:lang w:eastAsia="en-NZ"/>
              </w:rPr>
              <w:t xml:space="preserve">The IP programme is clearly defined and documented. It has been developed by those with IP expertise. The IP programme was approved by the governance body and is linked to the quality improvement programme. The IP programme was last reviewed </w:t>
            </w:r>
            <w:r w:rsidRPr="00BE00C7">
              <w:rPr>
                <w:rFonts w:cs="Arial"/>
                <w:lang w:eastAsia="en-NZ"/>
              </w:rPr>
              <w:t>in January 2023.</w:t>
            </w:r>
          </w:p>
          <w:p w14:paraId="7A87FCB2" w14:textId="77777777" w:rsidR="00EB7645" w:rsidRPr="00BE00C7" w:rsidRDefault="00C94428" w:rsidP="00BE00C7">
            <w:pPr>
              <w:pStyle w:val="OutcomeDescription"/>
              <w:spacing w:before="120" w:after="120"/>
              <w:rPr>
                <w:rFonts w:cs="Arial"/>
                <w:lang w:eastAsia="en-NZ"/>
              </w:rPr>
            </w:pPr>
          </w:p>
        </w:tc>
        <w:tc>
          <w:tcPr>
            <w:tcW w:w="0" w:type="auto"/>
          </w:tcPr>
          <w:p w14:paraId="4DF6204A" w14:textId="77777777" w:rsidR="00EB7645" w:rsidRPr="00BE00C7" w:rsidRDefault="00C94428" w:rsidP="00BE00C7">
            <w:pPr>
              <w:pStyle w:val="OutcomeDescription"/>
              <w:spacing w:before="120" w:after="120"/>
              <w:rPr>
                <w:rFonts w:cs="Arial"/>
                <w:lang w:eastAsia="en-NZ"/>
              </w:rPr>
            </w:pPr>
            <w:r w:rsidRPr="00BE00C7">
              <w:rPr>
                <w:rFonts w:cs="Arial"/>
                <w:lang w:eastAsia="en-NZ"/>
              </w:rPr>
              <w:t>The IP programme was not reviewed annually as per the organisation’s IP programme requirements.</w:t>
            </w:r>
          </w:p>
          <w:p w14:paraId="764198D0" w14:textId="77777777" w:rsidR="00EB7645" w:rsidRPr="00BE00C7" w:rsidRDefault="00C94428" w:rsidP="00BE00C7">
            <w:pPr>
              <w:pStyle w:val="OutcomeDescription"/>
              <w:spacing w:before="120" w:after="120"/>
              <w:rPr>
                <w:rFonts w:cs="Arial"/>
                <w:lang w:eastAsia="en-NZ"/>
              </w:rPr>
            </w:pPr>
          </w:p>
        </w:tc>
        <w:tc>
          <w:tcPr>
            <w:tcW w:w="0" w:type="auto"/>
          </w:tcPr>
          <w:p w14:paraId="4D904CE9" w14:textId="77777777" w:rsidR="00EB7645" w:rsidRPr="00BE00C7" w:rsidRDefault="00C94428" w:rsidP="00BE00C7">
            <w:pPr>
              <w:pStyle w:val="OutcomeDescription"/>
              <w:spacing w:before="120" w:after="120"/>
              <w:rPr>
                <w:rFonts w:cs="Arial"/>
                <w:lang w:eastAsia="en-NZ"/>
              </w:rPr>
            </w:pPr>
            <w:r w:rsidRPr="00BE00C7">
              <w:rPr>
                <w:rFonts w:cs="Arial"/>
                <w:lang w:eastAsia="en-NZ"/>
              </w:rPr>
              <w:t>Ensure the IP programme is reviewed annually to meet the requirements of this criterion.</w:t>
            </w:r>
          </w:p>
          <w:p w14:paraId="33E36F78" w14:textId="77777777" w:rsidR="00EB7645" w:rsidRPr="00BE00C7" w:rsidRDefault="00C94428" w:rsidP="00BE00C7">
            <w:pPr>
              <w:pStyle w:val="OutcomeDescription"/>
              <w:spacing w:before="120" w:after="120"/>
              <w:rPr>
                <w:rFonts w:cs="Arial"/>
                <w:lang w:eastAsia="en-NZ"/>
              </w:rPr>
            </w:pPr>
          </w:p>
          <w:p w14:paraId="37382CDB" w14:textId="77777777" w:rsidR="00EB7645" w:rsidRPr="00BE00C7" w:rsidRDefault="00C94428" w:rsidP="00BE00C7">
            <w:pPr>
              <w:pStyle w:val="OutcomeDescription"/>
              <w:spacing w:before="120" w:after="120"/>
              <w:rPr>
                <w:rFonts w:cs="Arial"/>
                <w:lang w:eastAsia="en-NZ"/>
              </w:rPr>
            </w:pPr>
            <w:r w:rsidRPr="00BE00C7">
              <w:rPr>
                <w:rFonts w:cs="Arial"/>
                <w:lang w:eastAsia="en-NZ"/>
              </w:rPr>
              <w:t>180 days</w:t>
            </w:r>
          </w:p>
        </w:tc>
      </w:tr>
    </w:tbl>
    <w:p w14:paraId="66D1A693" w14:textId="77777777" w:rsidR="00EB7645" w:rsidRPr="00BE00C7" w:rsidRDefault="00C94428" w:rsidP="00BE00C7">
      <w:pPr>
        <w:pStyle w:val="OutcomeDescription"/>
        <w:spacing w:before="120" w:after="120"/>
        <w:rPr>
          <w:rFonts w:cs="Arial"/>
          <w:lang w:eastAsia="en-NZ"/>
        </w:rPr>
      </w:pPr>
      <w:bookmarkStart w:id="57" w:name="AuditSummaryCAMCriterion"/>
      <w:bookmarkEnd w:id="57"/>
    </w:p>
    <w:p w14:paraId="13F039BC" w14:textId="77777777" w:rsidR="00460D43" w:rsidRDefault="00C94428">
      <w:pPr>
        <w:pStyle w:val="Heading1"/>
        <w:rPr>
          <w:rFonts w:cs="Arial"/>
        </w:rPr>
      </w:pPr>
      <w:r>
        <w:rPr>
          <w:rFonts w:cs="Arial"/>
        </w:rPr>
        <w:lastRenderedPageBreak/>
        <w:t xml:space="preserve">Specific results for criterion </w:t>
      </w:r>
      <w:r>
        <w:rPr>
          <w:rFonts w:cs="Arial"/>
        </w:rPr>
        <w:t>where a continuous improvement has been recorded</w:t>
      </w:r>
    </w:p>
    <w:p w14:paraId="01E3A88F" w14:textId="77777777" w:rsidR="00460D43" w:rsidRDefault="00C94428">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w:t>
      </w:r>
      <w:r>
        <w:rPr>
          <w:rFonts w:cs="Arial"/>
          <w:sz w:val="24"/>
          <w:lang w:eastAsia="en-NZ"/>
        </w:rPr>
        <w:t>nd the level required for full attainment.  The following table contains the criterion where the provider has been rated as having made corrective actions have been recorded.</w:t>
      </w:r>
    </w:p>
    <w:p w14:paraId="15C61F76" w14:textId="77777777" w:rsidR="00460D43" w:rsidRDefault="00C94428">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criterion can be linked to the relevant subsection by looking at the co</w:t>
      </w:r>
      <w:r w:rsidRPr="00FB778F">
        <w:rPr>
          <w:rFonts w:cs="Arial"/>
          <w:sz w:val="24"/>
          <w:lang w:eastAsia="en-NZ"/>
        </w:rPr>
        <w:t xml:space="preserve">de.  For example,  Criterion 1.1.1 relates to subsection 1.1: Pae ora healthy futures in Section 1: Our rights. </w:t>
      </w:r>
    </w:p>
    <w:p w14:paraId="6CB1BD78" w14:textId="77777777" w:rsidR="00460D43" w:rsidRDefault="00C94428">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BA1D1C" w14:paraId="210D0023" w14:textId="77777777">
        <w:tc>
          <w:tcPr>
            <w:tcW w:w="0" w:type="auto"/>
          </w:tcPr>
          <w:p w14:paraId="79BE9FFF" w14:textId="77777777" w:rsidR="00EB7645" w:rsidRPr="00BE00C7" w:rsidRDefault="00C94428" w:rsidP="00BE00C7">
            <w:pPr>
              <w:pStyle w:val="OutcomeDescription"/>
              <w:spacing w:before="120" w:after="120"/>
              <w:rPr>
                <w:rFonts w:cs="Arial"/>
                <w:lang w:eastAsia="en-NZ"/>
              </w:rPr>
            </w:pPr>
            <w:r w:rsidRPr="00BE00C7">
              <w:rPr>
                <w:rFonts w:cs="Arial"/>
                <w:lang w:eastAsia="en-NZ"/>
              </w:rPr>
              <w:t>No data to</w:t>
            </w:r>
            <w:r w:rsidRPr="00BE00C7">
              <w:rPr>
                <w:rFonts w:cs="Arial"/>
                <w:lang w:eastAsia="en-NZ"/>
              </w:rPr>
              <w:t xml:space="preserve"> display</w:t>
            </w:r>
          </w:p>
        </w:tc>
      </w:tr>
    </w:tbl>
    <w:p w14:paraId="0ACAF3FE" w14:textId="77777777" w:rsidR="00EB7645" w:rsidRPr="00BE00C7" w:rsidRDefault="00C94428" w:rsidP="00BE00C7">
      <w:pPr>
        <w:pStyle w:val="OutcomeDescription"/>
        <w:spacing w:before="120" w:after="120"/>
        <w:rPr>
          <w:rFonts w:cs="Arial"/>
          <w:lang w:eastAsia="en-NZ"/>
        </w:rPr>
      </w:pPr>
      <w:bookmarkStart w:id="58" w:name="AuditSummaryCAMImprovment"/>
      <w:bookmarkEnd w:id="58"/>
    </w:p>
    <w:p w14:paraId="26FF105F" w14:textId="77777777" w:rsidR="008F3634" w:rsidRDefault="00C94428">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382BE" w14:textId="77777777" w:rsidR="00000000" w:rsidRDefault="00C94428">
      <w:r>
        <w:separator/>
      </w:r>
    </w:p>
  </w:endnote>
  <w:endnote w:type="continuationSeparator" w:id="0">
    <w:p w14:paraId="5EC4F863" w14:textId="77777777" w:rsidR="00000000" w:rsidRDefault="00C94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7479E" w14:textId="77777777" w:rsidR="000B00BC" w:rsidRDefault="00C94428">
    <w:pPr>
      <w:pStyle w:val="Footer"/>
    </w:pPr>
  </w:p>
  <w:p w14:paraId="69035DD9" w14:textId="77777777" w:rsidR="005A4A55" w:rsidRDefault="00C94428"/>
  <w:p w14:paraId="41344BC9" w14:textId="77777777" w:rsidR="005A4A55" w:rsidRDefault="00C94428"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90E39" w14:textId="77777777" w:rsidR="000B00BC" w:rsidRPr="000B00BC" w:rsidRDefault="00C94428"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Waihi Lifecare (2018) Limited - Waihi Lifecare</w:t>
    </w:r>
    <w:bookmarkEnd w:id="59"/>
    <w:r>
      <w:rPr>
        <w:rFonts w:cs="Arial"/>
        <w:sz w:val="16"/>
        <w:szCs w:val="20"/>
      </w:rPr>
      <w:tab/>
      <w:t xml:space="preserve">Date of Audit: </w:t>
    </w:r>
    <w:bookmarkStart w:id="60" w:name="AuditStartDate1"/>
    <w:r>
      <w:rPr>
        <w:rFonts w:cs="Arial"/>
        <w:sz w:val="16"/>
        <w:szCs w:val="20"/>
      </w:rPr>
      <w:t>7 March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3A363B1" w14:textId="77777777" w:rsidR="005A4A55" w:rsidRDefault="00C9442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91788" w14:textId="77777777" w:rsidR="000B00BC" w:rsidRDefault="00C94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3CFB9" w14:textId="77777777" w:rsidR="00000000" w:rsidRDefault="00C94428">
      <w:r>
        <w:separator/>
      </w:r>
    </w:p>
  </w:footnote>
  <w:footnote w:type="continuationSeparator" w:id="0">
    <w:p w14:paraId="2D29F08F" w14:textId="77777777" w:rsidR="00000000" w:rsidRDefault="00C94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D7C14" w14:textId="77777777" w:rsidR="000B00BC" w:rsidRDefault="00C94428">
    <w:pPr>
      <w:pStyle w:val="Header"/>
    </w:pPr>
  </w:p>
  <w:p w14:paraId="107E070D" w14:textId="77777777" w:rsidR="005A4A55" w:rsidRDefault="00C944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0BE8B" w14:textId="77777777" w:rsidR="000B00BC" w:rsidRDefault="00C94428">
    <w:pPr>
      <w:pStyle w:val="Header"/>
    </w:pPr>
  </w:p>
  <w:p w14:paraId="72EAB8FA" w14:textId="77777777" w:rsidR="005A4A55" w:rsidRDefault="00C9442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8F824" w14:textId="77777777" w:rsidR="000B00BC" w:rsidRDefault="00C944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BF84D5B8">
      <w:start w:val="1"/>
      <w:numFmt w:val="decimal"/>
      <w:lvlText w:val="%1."/>
      <w:lvlJc w:val="left"/>
      <w:pPr>
        <w:ind w:left="360" w:hanging="360"/>
      </w:pPr>
    </w:lvl>
    <w:lvl w:ilvl="1" w:tplc="B3DC92CA" w:tentative="1">
      <w:start w:val="1"/>
      <w:numFmt w:val="lowerLetter"/>
      <w:lvlText w:val="%2."/>
      <w:lvlJc w:val="left"/>
      <w:pPr>
        <w:ind w:left="1080" w:hanging="360"/>
      </w:pPr>
    </w:lvl>
    <w:lvl w:ilvl="2" w:tplc="DC740B4E" w:tentative="1">
      <w:start w:val="1"/>
      <w:numFmt w:val="lowerRoman"/>
      <w:lvlText w:val="%3."/>
      <w:lvlJc w:val="right"/>
      <w:pPr>
        <w:ind w:left="1800" w:hanging="180"/>
      </w:pPr>
    </w:lvl>
    <w:lvl w:ilvl="3" w:tplc="2BFEFA00" w:tentative="1">
      <w:start w:val="1"/>
      <w:numFmt w:val="decimal"/>
      <w:lvlText w:val="%4."/>
      <w:lvlJc w:val="left"/>
      <w:pPr>
        <w:ind w:left="2520" w:hanging="360"/>
      </w:pPr>
    </w:lvl>
    <w:lvl w:ilvl="4" w:tplc="7632D60C" w:tentative="1">
      <w:start w:val="1"/>
      <w:numFmt w:val="lowerLetter"/>
      <w:lvlText w:val="%5."/>
      <w:lvlJc w:val="left"/>
      <w:pPr>
        <w:ind w:left="3240" w:hanging="360"/>
      </w:pPr>
    </w:lvl>
    <w:lvl w:ilvl="5" w:tplc="029EBB5C" w:tentative="1">
      <w:start w:val="1"/>
      <w:numFmt w:val="lowerRoman"/>
      <w:lvlText w:val="%6."/>
      <w:lvlJc w:val="right"/>
      <w:pPr>
        <w:ind w:left="3960" w:hanging="180"/>
      </w:pPr>
    </w:lvl>
    <w:lvl w:ilvl="6" w:tplc="2ED643CE" w:tentative="1">
      <w:start w:val="1"/>
      <w:numFmt w:val="decimal"/>
      <w:lvlText w:val="%7."/>
      <w:lvlJc w:val="left"/>
      <w:pPr>
        <w:ind w:left="4680" w:hanging="360"/>
      </w:pPr>
    </w:lvl>
    <w:lvl w:ilvl="7" w:tplc="AA7CDD22" w:tentative="1">
      <w:start w:val="1"/>
      <w:numFmt w:val="lowerLetter"/>
      <w:lvlText w:val="%8."/>
      <w:lvlJc w:val="left"/>
      <w:pPr>
        <w:ind w:left="5400" w:hanging="360"/>
      </w:pPr>
    </w:lvl>
    <w:lvl w:ilvl="8" w:tplc="1D52416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2E1443C4">
      <w:start w:val="1"/>
      <w:numFmt w:val="bullet"/>
      <w:lvlText w:val=""/>
      <w:lvlJc w:val="left"/>
      <w:pPr>
        <w:ind w:left="720" w:hanging="360"/>
      </w:pPr>
      <w:rPr>
        <w:rFonts w:ascii="Symbol" w:hAnsi="Symbol" w:hint="default"/>
      </w:rPr>
    </w:lvl>
    <w:lvl w:ilvl="1" w:tplc="42CCFE0E" w:tentative="1">
      <w:start w:val="1"/>
      <w:numFmt w:val="bullet"/>
      <w:lvlText w:val="o"/>
      <w:lvlJc w:val="left"/>
      <w:pPr>
        <w:ind w:left="1440" w:hanging="360"/>
      </w:pPr>
      <w:rPr>
        <w:rFonts w:ascii="Courier New" w:hAnsi="Courier New" w:cs="Courier New" w:hint="default"/>
      </w:rPr>
    </w:lvl>
    <w:lvl w:ilvl="2" w:tplc="ED36B416" w:tentative="1">
      <w:start w:val="1"/>
      <w:numFmt w:val="bullet"/>
      <w:lvlText w:val=""/>
      <w:lvlJc w:val="left"/>
      <w:pPr>
        <w:ind w:left="2160" w:hanging="360"/>
      </w:pPr>
      <w:rPr>
        <w:rFonts w:ascii="Wingdings" w:hAnsi="Wingdings" w:hint="default"/>
      </w:rPr>
    </w:lvl>
    <w:lvl w:ilvl="3" w:tplc="42D2F4C2" w:tentative="1">
      <w:start w:val="1"/>
      <w:numFmt w:val="bullet"/>
      <w:lvlText w:val=""/>
      <w:lvlJc w:val="left"/>
      <w:pPr>
        <w:ind w:left="2880" w:hanging="360"/>
      </w:pPr>
      <w:rPr>
        <w:rFonts w:ascii="Symbol" w:hAnsi="Symbol" w:hint="default"/>
      </w:rPr>
    </w:lvl>
    <w:lvl w:ilvl="4" w:tplc="63FC12FA" w:tentative="1">
      <w:start w:val="1"/>
      <w:numFmt w:val="bullet"/>
      <w:lvlText w:val="o"/>
      <w:lvlJc w:val="left"/>
      <w:pPr>
        <w:ind w:left="3600" w:hanging="360"/>
      </w:pPr>
      <w:rPr>
        <w:rFonts w:ascii="Courier New" w:hAnsi="Courier New" w:cs="Courier New" w:hint="default"/>
      </w:rPr>
    </w:lvl>
    <w:lvl w:ilvl="5" w:tplc="81FC0894" w:tentative="1">
      <w:start w:val="1"/>
      <w:numFmt w:val="bullet"/>
      <w:lvlText w:val=""/>
      <w:lvlJc w:val="left"/>
      <w:pPr>
        <w:ind w:left="4320" w:hanging="360"/>
      </w:pPr>
      <w:rPr>
        <w:rFonts w:ascii="Wingdings" w:hAnsi="Wingdings" w:hint="default"/>
      </w:rPr>
    </w:lvl>
    <w:lvl w:ilvl="6" w:tplc="72583C54" w:tentative="1">
      <w:start w:val="1"/>
      <w:numFmt w:val="bullet"/>
      <w:lvlText w:val=""/>
      <w:lvlJc w:val="left"/>
      <w:pPr>
        <w:ind w:left="5040" w:hanging="360"/>
      </w:pPr>
      <w:rPr>
        <w:rFonts w:ascii="Symbol" w:hAnsi="Symbol" w:hint="default"/>
      </w:rPr>
    </w:lvl>
    <w:lvl w:ilvl="7" w:tplc="D41CD83C" w:tentative="1">
      <w:start w:val="1"/>
      <w:numFmt w:val="bullet"/>
      <w:lvlText w:val="o"/>
      <w:lvlJc w:val="left"/>
      <w:pPr>
        <w:ind w:left="5760" w:hanging="360"/>
      </w:pPr>
      <w:rPr>
        <w:rFonts w:ascii="Courier New" w:hAnsi="Courier New" w:cs="Courier New" w:hint="default"/>
      </w:rPr>
    </w:lvl>
    <w:lvl w:ilvl="8" w:tplc="270412A4" w:tentative="1">
      <w:start w:val="1"/>
      <w:numFmt w:val="bullet"/>
      <w:lvlText w:val=""/>
      <w:lvlJc w:val="left"/>
      <w:pPr>
        <w:ind w:left="6480" w:hanging="360"/>
      </w:pPr>
      <w:rPr>
        <w:rFonts w:ascii="Wingdings" w:hAnsi="Wingdings" w:hint="default"/>
      </w:rPr>
    </w:lvl>
  </w:abstractNum>
  <w:num w:numId="1" w16cid:durableId="1481577769">
    <w:abstractNumId w:val="1"/>
  </w:num>
  <w:num w:numId="2" w16cid:durableId="624430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D1C"/>
    <w:rsid w:val="000C3268"/>
    <w:rsid w:val="004F6CC9"/>
    <w:rsid w:val="00570C6D"/>
    <w:rsid w:val="009C46AB"/>
    <w:rsid w:val="00BA1D1C"/>
    <w:rsid w:val="00C9442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D9176"/>
  <w15:docId w15:val="{D19CA2C8-A802-4C3F-A3E7-66C6D58B0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8651</Words>
  <Characters>49317</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6</cp:revision>
  <dcterms:created xsi:type="dcterms:W3CDTF">2024-05-17T02:49:00Z</dcterms:created>
  <dcterms:modified xsi:type="dcterms:W3CDTF">2024-05-17T03:00:00Z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