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432C" w14:textId="77777777" w:rsidR="00460D43" w:rsidRDefault="00000000">
      <w:pPr>
        <w:pStyle w:val="Heading1"/>
        <w:rPr>
          <w:rFonts w:cs="Arial"/>
        </w:rPr>
      </w:pPr>
      <w:bookmarkStart w:id="0" w:name="PRMS_RIName"/>
      <w:r>
        <w:rPr>
          <w:rFonts w:cs="Arial"/>
        </w:rPr>
        <w:t>Fervor Cooperation Limited - Bloomfield Court Retirement Home</w:t>
      </w:r>
      <w:bookmarkEnd w:id="0"/>
    </w:p>
    <w:p w14:paraId="758DB69D" w14:textId="77777777" w:rsidR="00460D43" w:rsidRDefault="00000000">
      <w:pPr>
        <w:pStyle w:val="Heading2"/>
        <w:spacing w:after="0"/>
        <w:rPr>
          <w:rFonts w:cs="Arial"/>
        </w:rPr>
      </w:pPr>
      <w:r>
        <w:rPr>
          <w:rFonts w:cs="Arial"/>
        </w:rPr>
        <w:t>Introduction</w:t>
      </w:r>
    </w:p>
    <w:p w14:paraId="58A397C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7017E30"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F52BE5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45C233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DBEA249" w14:textId="77777777" w:rsidR="00460D43" w:rsidRDefault="00000000">
      <w:pPr>
        <w:spacing w:before="240" w:after="240"/>
        <w:rPr>
          <w:rFonts w:cs="Arial"/>
          <w:lang w:eastAsia="en-NZ"/>
        </w:rPr>
      </w:pPr>
      <w:r>
        <w:rPr>
          <w:rFonts w:cs="Arial"/>
          <w:lang w:eastAsia="en-NZ"/>
        </w:rPr>
        <w:t>The specifics of this audit included:</w:t>
      </w:r>
    </w:p>
    <w:p w14:paraId="056486B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C8FE24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Fervor Cooperation Limited</w:t>
      </w:r>
      <w:bookmarkEnd w:id="4"/>
    </w:p>
    <w:p w14:paraId="36E9B86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Bloomfield Court Retirement Home</w:t>
      </w:r>
      <w:bookmarkEnd w:id="5"/>
    </w:p>
    <w:p w14:paraId="3F54412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E553B8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April 2024</w:t>
      </w:r>
      <w:bookmarkEnd w:id="7"/>
      <w:r w:rsidRPr="009418D4">
        <w:rPr>
          <w:rFonts w:cs="Arial"/>
        </w:rPr>
        <w:tab/>
        <w:t xml:space="preserve">End date: </w:t>
      </w:r>
      <w:bookmarkStart w:id="8" w:name="AuditEndDate"/>
      <w:r>
        <w:rPr>
          <w:rFonts w:cs="Arial"/>
        </w:rPr>
        <w:t>16 April 2024</w:t>
      </w:r>
      <w:bookmarkEnd w:id="8"/>
    </w:p>
    <w:p w14:paraId="46DA991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sale of Bloomfields Court Retirement to Fervor Cooperation Limited</w:t>
      </w:r>
    </w:p>
    <w:bookmarkEnd w:id="9"/>
    <w:p w14:paraId="4B30E844" w14:textId="77777777" w:rsidR="00003DC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14:paraId="2E4B66C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DB28D41" w14:textId="77777777" w:rsidR="00460D43" w:rsidRDefault="00000000">
      <w:pPr>
        <w:pStyle w:val="Heading1"/>
        <w:rPr>
          <w:rFonts w:cs="Arial"/>
        </w:rPr>
      </w:pPr>
      <w:r>
        <w:rPr>
          <w:rFonts w:cs="Arial"/>
        </w:rPr>
        <w:lastRenderedPageBreak/>
        <w:t>Executive summary of the audit</w:t>
      </w:r>
    </w:p>
    <w:p w14:paraId="65E1A97D" w14:textId="77777777" w:rsidR="00460D43" w:rsidRDefault="00000000">
      <w:pPr>
        <w:pStyle w:val="Heading2"/>
        <w:rPr>
          <w:rFonts w:cs="Arial"/>
        </w:rPr>
      </w:pPr>
      <w:r>
        <w:rPr>
          <w:rFonts w:cs="Arial"/>
        </w:rPr>
        <w:t>Introduction</w:t>
      </w:r>
    </w:p>
    <w:p w14:paraId="1D30071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68BC4C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0A046D"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58B18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79F390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25C534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F2D2E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B1598F" w14:textId="77777777" w:rsidR="00460D43" w:rsidRDefault="00000000">
      <w:pPr>
        <w:pStyle w:val="Heading2"/>
        <w:spacing w:after="0"/>
        <w:rPr>
          <w:rFonts w:cs="Arial"/>
        </w:rPr>
      </w:pPr>
      <w:r>
        <w:rPr>
          <w:rFonts w:cs="Arial"/>
        </w:rPr>
        <w:t>General overview of the audit</w:t>
      </w:r>
    </w:p>
    <w:p w14:paraId="44C57FF1" w14:textId="77777777" w:rsidR="00E536CC" w:rsidRDefault="00000000">
      <w:pPr>
        <w:spacing w:before="240" w:line="276" w:lineRule="auto"/>
        <w:rPr>
          <w:rFonts w:eastAsia="Calibri"/>
        </w:rPr>
      </w:pPr>
      <w:bookmarkStart w:id="13" w:name="GeneralOverview"/>
      <w:r w:rsidRPr="00A4268A">
        <w:rPr>
          <w:rFonts w:eastAsia="Calibri"/>
        </w:rPr>
        <w:t>Bloomfields Court Retirement provides age-related rest home services for up to 27 residents. The facility is currently owned and operated by All Care Retirement Limited.</w:t>
      </w:r>
    </w:p>
    <w:p w14:paraId="67CA14D8" w14:textId="77777777" w:rsidR="00003DC4" w:rsidRPr="00A4268A" w:rsidRDefault="00000000">
      <w:pPr>
        <w:spacing w:before="240" w:line="276" w:lineRule="auto"/>
        <w:rPr>
          <w:rFonts w:eastAsia="Calibri"/>
        </w:rPr>
      </w:pPr>
      <w:r w:rsidRPr="00A4268A">
        <w:rPr>
          <w:rFonts w:eastAsia="Calibri"/>
        </w:rPr>
        <w:t>This provisional audit was conducted in anticipation of a sale of the facility to Fervor Cooperation Limited. It included a review of policies and procedures, review of residents’ and staff files, observations, and interviews with residents, whānau, the manager, staff, and a general practitioner.</w:t>
      </w:r>
    </w:p>
    <w:p w14:paraId="4E8E8992" w14:textId="77777777" w:rsidR="00003DC4" w:rsidRPr="00A4268A" w:rsidRDefault="00000000">
      <w:pPr>
        <w:spacing w:before="240" w:line="276" w:lineRule="auto"/>
        <w:rPr>
          <w:rFonts w:eastAsia="Calibri"/>
        </w:rPr>
      </w:pPr>
      <w:r w:rsidRPr="00A4268A">
        <w:rPr>
          <w:rFonts w:eastAsia="Calibri"/>
        </w:rPr>
        <w:t>An interview was also conducted with the prospective buyers. While the proposed buyers are not currently providing aged care services, both of the directors are registered nurses. There is a transition plan in place to manage the service which includes registered nurse support. The sale of the business is expected to occur in May 2024.</w:t>
      </w:r>
    </w:p>
    <w:p w14:paraId="4D407D7B" w14:textId="77777777" w:rsidR="00003DC4" w:rsidRPr="00A4268A" w:rsidRDefault="00000000">
      <w:pPr>
        <w:spacing w:before="240" w:line="276" w:lineRule="auto"/>
        <w:rPr>
          <w:rFonts w:eastAsia="Calibri"/>
        </w:rPr>
      </w:pPr>
      <w:r w:rsidRPr="00A4268A">
        <w:rPr>
          <w:rFonts w:eastAsia="Calibri"/>
        </w:rPr>
        <w:t xml:space="preserve">The audit identified that improvements are required in relation to governance reporting, collecting feedback from residents, internal audit completion, information management, management of controlled medications, call bell reliability, and environmental safety in </w:t>
      </w:r>
      <w:r w:rsidRPr="00A4268A">
        <w:rPr>
          <w:rFonts w:eastAsia="Calibri"/>
        </w:rPr>
        <w:lastRenderedPageBreak/>
        <w:t>the kitchen area of the facility. A finding from the previous audit in relation to staff on night duty having first aid certification has been addressed.</w:t>
      </w:r>
    </w:p>
    <w:bookmarkEnd w:id="13"/>
    <w:p w14:paraId="3E1AB08D" w14:textId="77777777" w:rsidR="00003DC4" w:rsidRPr="00A4268A" w:rsidRDefault="00003DC4">
      <w:pPr>
        <w:spacing w:before="240" w:line="276" w:lineRule="auto"/>
        <w:rPr>
          <w:rFonts w:eastAsia="Calibri"/>
        </w:rPr>
      </w:pPr>
    </w:p>
    <w:p w14:paraId="20F3D509"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181D4F67" w14:textId="77777777" w:rsidR="00460D43" w:rsidRDefault="00000000">
      <w:pPr>
        <w:spacing w:before="240" w:line="276" w:lineRule="auto"/>
        <w:rPr>
          <w:rFonts w:eastAsia="Calibri"/>
        </w:rPr>
      </w:pPr>
      <w:bookmarkStart w:id="14" w:name="ConsumerRights"/>
      <w:r w:rsidRPr="00A4268A">
        <w:rPr>
          <w:rFonts w:eastAsia="Calibri"/>
        </w:rPr>
        <w:t>Bloomfields Court Retirement provided an environment that supported residents’ rights and culturally safe care. Staff demonstrated an understanding of residents' rights and obligations. There were health plans in place that encapsulated care specifically directed at Māori and Pasifika.</w:t>
      </w:r>
    </w:p>
    <w:p w14:paraId="377BCE54" w14:textId="77777777" w:rsidR="00003DC4" w:rsidRPr="00A4268A" w:rsidRDefault="00000000">
      <w:pPr>
        <w:spacing w:before="240" w:line="276" w:lineRule="auto"/>
        <w:rPr>
          <w:rFonts w:eastAsia="Calibri"/>
        </w:rPr>
      </w:pPr>
      <w:r w:rsidRPr="00A4268A">
        <w:rPr>
          <w:rFonts w:eastAsia="Calibri"/>
        </w:rPr>
        <w:t>There were no residents or staff in the service at the time of audit who identified as Māori. However, processes were in place to ensure Māori residents entering the service would be provided with equitable and effective services based on Te Tiriti o Waitangi and the principles of self-determination (mana motuhake). Cultural assessments are in place to inform the cultural care plan.</w:t>
      </w:r>
    </w:p>
    <w:p w14:paraId="23A730ED" w14:textId="77777777" w:rsidR="00003DC4" w:rsidRPr="00A4268A" w:rsidRDefault="00000000">
      <w:pPr>
        <w:spacing w:before="240" w:line="276" w:lineRule="auto"/>
        <w:rPr>
          <w:rFonts w:eastAsia="Calibri"/>
        </w:rPr>
      </w:pPr>
      <w:r w:rsidRPr="00A4268A">
        <w:rPr>
          <w:rFonts w:eastAsia="Calibri"/>
        </w:rPr>
        <w:t>There were no Pasifika residents at Bloomfields Court Retirement at the time of the audit. There were Pasifika staff employed in the service. Systems and processes were in place to enable Pacific people to be provided with services that recognised their worldviews and were culturally safe.</w:t>
      </w:r>
    </w:p>
    <w:p w14:paraId="600CC7B7" w14:textId="77777777" w:rsidR="00003DC4" w:rsidRPr="00A4268A" w:rsidRDefault="00000000">
      <w:pPr>
        <w:spacing w:before="240" w:line="276" w:lineRule="auto"/>
        <w:rPr>
          <w:rFonts w:eastAsia="Calibri"/>
        </w:rPr>
      </w:pPr>
      <w:r w:rsidRPr="00A4268A">
        <w:rPr>
          <w:rFonts w:eastAsia="Calibri"/>
        </w:rPr>
        <w:t>Residents and whānau interviewed confirmed that care was provided in a way that met their needs. Residents and 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and their experiences. Care plans accommodated the choices of residents and/or their whānau. There was evidence that residents and whānau were kept well informed.</w:t>
      </w:r>
    </w:p>
    <w:p w14:paraId="6556AC97" w14:textId="77777777" w:rsidR="00003DC4" w:rsidRPr="00A4268A" w:rsidRDefault="00000000">
      <w:pPr>
        <w:spacing w:before="240" w:line="276" w:lineRule="auto"/>
        <w:rPr>
          <w:rFonts w:eastAsia="Calibri"/>
        </w:rPr>
      </w:pPr>
      <w:r w:rsidRPr="00A4268A">
        <w:rPr>
          <w:rFonts w:eastAsia="Calibri"/>
        </w:rPr>
        <w:t>Residents and whānau received information in an easy-to-understand format and were included when making decisions about care and treatment. Open communication was practiced. Interpreter services were provided as needed. Whānau and legal representatives participated in decision-making that complied with the law. Advance directives were followed wherever possible.</w:t>
      </w:r>
    </w:p>
    <w:p w14:paraId="49281963" w14:textId="77777777" w:rsidR="00003DC4" w:rsidRPr="00A4268A" w:rsidRDefault="00000000">
      <w:pPr>
        <w:spacing w:before="240" w:line="276" w:lineRule="auto"/>
        <w:rPr>
          <w:rFonts w:eastAsia="Calibri"/>
        </w:rPr>
      </w:pPr>
      <w:r w:rsidRPr="00A4268A">
        <w:rPr>
          <w:rFonts w:eastAsia="Calibri"/>
        </w:rPr>
        <w:lastRenderedPageBreak/>
        <w:t>Complaints processes are implemented, and complaints and concerns were well-documented and actively managed in collaboration with all parties.</w:t>
      </w:r>
    </w:p>
    <w:bookmarkEnd w:id="14"/>
    <w:p w14:paraId="2262C076" w14:textId="77777777" w:rsidR="00003DC4" w:rsidRPr="00A4268A" w:rsidRDefault="00003DC4">
      <w:pPr>
        <w:spacing w:before="240" w:line="276" w:lineRule="auto"/>
        <w:rPr>
          <w:rFonts w:eastAsia="Calibri"/>
        </w:rPr>
      </w:pPr>
    </w:p>
    <w:p w14:paraId="417E2C02"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4BB21767" w14:textId="77777777" w:rsidR="00460D43" w:rsidRDefault="00000000">
      <w:pPr>
        <w:spacing w:before="240" w:line="276" w:lineRule="auto"/>
        <w:rPr>
          <w:rFonts w:eastAsia="Calibri"/>
        </w:rPr>
      </w:pPr>
      <w:bookmarkStart w:id="15" w:name="IndicatorColour1_2"/>
      <w:bookmarkStart w:id="16" w:name="OrganisationalManagement"/>
      <w:bookmarkEnd w:id="15"/>
      <w:r w:rsidRPr="00A4268A">
        <w:rPr>
          <w:rFonts w:eastAsia="Calibri"/>
        </w:rPr>
        <w:t>The governing body assumes accountability for delivering a high-quality service that is inclusive of, and sensitive to, the cultural needs of Māori. The nurse manager is suitably experienced in governance and management, and has completed education in cultural awareness, Te Tiriti o Waitangi and health equity, as have the prospective providers.</w:t>
      </w:r>
    </w:p>
    <w:p w14:paraId="0A38B6C5" w14:textId="77777777" w:rsidR="00003DC4"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in most instances and reviewed at planned intervals.</w:t>
      </w:r>
    </w:p>
    <w:p w14:paraId="3CC849B5" w14:textId="77777777" w:rsidR="00003DC4" w:rsidRPr="00A4268A" w:rsidRDefault="00000000">
      <w:pPr>
        <w:spacing w:before="240" w:line="276" w:lineRule="auto"/>
        <w:rPr>
          <w:rFonts w:eastAsia="Calibri"/>
        </w:rPr>
      </w:pPr>
      <w:r w:rsidRPr="00A4268A">
        <w:rPr>
          <w:rFonts w:eastAsia="Calibri"/>
        </w:rPr>
        <w:t>The quality and risk management systems are focused on improving service delivery and care. Staff participate in quality activities. An integrated approach includes collection and analysis of quality improvement data, identifying trends that leads to improvements. Actual and potential risks are identified and mitigated. Adverse events are documented with corrective actions implemented. The service complies with statutory and regulatory reporting obligations.</w:t>
      </w:r>
    </w:p>
    <w:p w14:paraId="6AC069B0" w14:textId="77777777" w:rsidR="00003DC4" w:rsidRPr="00A4268A" w:rsidRDefault="00000000">
      <w:pPr>
        <w:spacing w:before="240" w:line="276" w:lineRule="auto"/>
        <w:rPr>
          <w:rFonts w:eastAsia="Calibri"/>
        </w:rPr>
      </w:pPr>
      <w:r w:rsidRPr="00A4268A">
        <w:rPr>
          <w:rFonts w:eastAsia="Calibri"/>
        </w:rPr>
        <w:t>Staff are suitably skilled and experienced and are orientated and managed using current good practice. Staffing levels are sufficient to provide clinically and culturally appropriate care. A systematic approach to identify and deliver ongoing learning supports safe and equitable service delivery. Staff performance is monitored.</w:t>
      </w:r>
    </w:p>
    <w:p w14:paraId="72A362F8" w14:textId="77777777" w:rsidR="00003DC4"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p w14:paraId="0118C2BA" w14:textId="77777777" w:rsidR="00003DC4" w:rsidRPr="00A4268A" w:rsidRDefault="00000000">
      <w:pPr>
        <w:spacing w:before="240" w:line="276" w:lineRule="auto"/>
        <w:rPr>
          <w:rFonts w:eastAsia="Calibri"/>
        </w:rPr>
      </w:pPr>
      <w:r w:rsidRPr="00A4268A">
        <w:rPr>
          <w:rFonts w:eastAsia="Calibri"/>
        </w:rPr>
        <w:t>A transition plan is in place to transfer the facility to the prospective provider.</w:t>
      </w:r>
    </w:p>
    <w:bookmarkEnd w:id="16"/>
    <w:p w14:paraId="2DF30C26" w14:textId="77777777" w:rsidR="00003DC4" w:rsidRPr="00A4268A" w:rsidRDefault="00003DC4">
      <w:pPr>
        <w:spacing w:before="240" w:line="276" w:lineRule="auto"/>
        <w:rPr>
          <w:rFonts w:eastAsia="Calibri"/>
        </w:rPr>
      </w:pPr>
    </w:p>
    <w:p w14:paraId="6025D89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708357CE" w14:textId="77777777" w:rsidR="00E536CC" w:rsidRPr="005E14A4" w:rsidRDefault="00000000" w:rsidP="00621629">
      <w:pPr>
        <w:spacing w:before="240" w:line="276" w:lineRule="auto"/>
        <w:rPr>
          <w:rFonts w:eastAsia="Calibri"/>
        </w:rPr>
      </w:pPr>
      <w:bookmarkStart w:id="17" w:name="ContinuumOfServiceDelivery"/>
      <w:r w:rsidRPr="00A4268A">
        <w:rPr>
          <w:rFonts w:eastAsia="Calibri"/>
        </w:rPr>
        <w:t>When residents were admitted to Bloomfields Court Retirement, a person-centred and family-centred approach was adopted. Relevant information was provided to the potential resident and their whānau.</w:t>
      </w:r>
    </w:p>
    <w:p w14:paraId="79CC6222" w14:textId="77777777" w:rsidR="00003DC4" w:rsidRPr="00A4268A" w:rsidRDefault="00000000" w:rsidP="00621629">
      <w:pPr>
        <w:spacing w:before="240" w:line="276" w:lineRule="auto"/>
        <w:rPr>
          <w:rFonts w:eastAsia="Calibri"/>
        </w:rPr>
      </w:pPr>
      <w:r w:rsidRPr="00A4268A">
        <w:rPr>
          <w:rFonts w:eastAsia="Calibri"/>
        </w:rPr>
        <w:t>Bloomfields Court Retirement worked in partnership with the residents and their whānau to assess, plan and evaluate care. Care plans were individualised, based on comprehensive information, and accommodated any recent problems that might arise. Files reviewed demonstrated that care met the needs of residents and their whānau and these were evaluated on a regular and timely basis.</w:t>
      </w:r>
    </w:p>
    <w:p w14:paraId="30DDAC90" w14:textId="77777777" w:rsidR="00003DC4"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4331CDAE" w14:textId="77777777" w:rsidR="00003DC4" w:rsidRPr="00A4268A" w:rsidRDefault="00000000" w:rsidP="00621629">
      <w:pPr>
        <w:spacing w:before="240" w:line="276" w:lineRule="auto"/>
        <w:rPr>
          <w:rFonts w:eastAsia="Calibri"/>
        </w:rPr>
      </w:pPr>
      <w:r w:rsidRPr="00A4268A">
        <w:rPr>
          <w:rFonts w:eastAsia="Calibri"/>
        </w:rPr>
        <w:t>The medication management system facilitates safe self-administration of medicines.</w:t>
      </w:r>
    </w:p>
    <w:p w14:paraId="68AC5CFB" w14:textId="77777777" w:rsidR="00003DC4"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3778020B" w14:textId="77777777" w:rsidR="00003DC4"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17"/>
    <w:p w14:paraId="11F33950" w14:textId="77777777" w:rsidR="00003DC4" w:rsidRPr="00A4268A" w:rsidRDefault="00003DC4" w:rsidP="00621629">
      <w:pPr>
        <w:spacing w:before="240" w:line="276" w:lineRule="auto"/>
        <w:rPr>
          <w:rFonts w:eastAsia="Calibri"/>
        </w:rPr>
      </w:pPr>
    </w:p>
    <w:p w14:paraId="3AEA795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22E4D10" w14:textId="77777777" w:rsidR="00460D43" w:rsidRDefault="00000000">
      <w:pPr>
        <w:spacing w:before="240" w:line="276" w:lineRule="auto"/>
        <w:rPr>
          <w:rFonts w:eastAsia="Calibri"/>
        </w:rPr>
      </w:pPr>
      <w:bookmarkStart w:id="18" w:name="SafeAndAppropriateEnvironment"/>
      <w:r w:rsidRPr="00A4268A">
        <w:rPr>
          <w:rFonts w:eastAsia="Calibri"/>
        </w:rPr>
        <w:t>There was a current building warrant of fitness. Electrical and biomedical equipment had been checked and evaluated as required. External areas were accessible, safe, and provided seating and shade.</w:t>
      </w:r>
    </w:p>
    <w:p w14:paraId="054F3B81" w14:textId="77777777" w:rsidR="00003DC4" w:rsidRPr="00A4268A" w:rsidRDefault="00000000">
      <w:pPr>
        <w:spacing w:before="240" w:line="276" w:lineRule="auto"/>
        <w:rPr>
          <w:rFonts w:eastAsia="Calibri"/>
        </w:rPr>
      </w:pPr>
      <w:r w:rsidRPr="00A4268A">
        <w:rPr>
          <w:rFonts w:eastAsia="Calibri"/>
        </w:rPr>
        <w:t>Staff had been trained in emergency procedures, use of emergency equipment and supplies, and attended regular fire drills. Staff, residents and whānau interviewed understood emergency and security arrangements. Security is maintained.</w:t>
      </w:r>
    </w:p>
    <w:bookmarkEnd w:id="18"/>
    <w:p w14:paraId="4BAA6B6D" w14:textId="77777777" w:rsidR="00003DC4" w:rsidRPr="00A4268A" w:rsidRDefault="00003DC4">
      <w:pPr>
        <w:spacing w:before="240" w:line="276" w:lineRule="auto"/>
        <w:rPr>
          <w:rFonts w:eastAsia="Calibri"/>
        </w:rPr>
      </w:pPr>
    </w:p>
    <w:p w14:paraId="63E80AD7"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72BF072E" w14:textId="77777777" w:rsidR="00460D43" w:rsidRDefault="00000000">
      <w:pPr>
        <w:spacing w:before="240" w:line="276" w:lineRule="auto"/>
        <w:rPr>
          <w:rFonts w:eastAsia="Calibri"/>
        </w:rPr>
      </w:pPr>
      <w:bookmarkStart w:id="19" w:name="RestraintMinimisationAndSafePractice"/>
      <w:r w:rsidRPr="00A4268A">
        <w:rPr>
          <w:rFonts w:eastAsia="Calibri"/>
        </w:rPr>
        <w:t>The nurse manager at Bloomfields Court Retirement was the infection control coordinator and led the infection prevention (IP) and antimicrobial stewardship (AMS) programme. The role was appropriate to the size and complexity of the service, ensured the safety of residents, visitors and staff and included involvement in procurement processes. The programme was adequately resourced.</w:t>
      </w:r>
    </w:p>
    <w:p w14:paraId="258369C5" w14:textId="77777777" w:rsidR="00003DC4" w:rsidRPr="00A4268A" w:rsidRDefault="00000000">
      <w:pPr>
        <w:spacing w:before="240" w:line="276" w:lineRule="auto"/>
        <w:rPr>
          <w:rFonts w:eastAsia="Calibri"/>
        </w:rPr>
      </w:pPr>
      <w:r w:rsidRPr="00A4268A">
        <w:rPr>
          <w:rFonts w:eastAsia="Calibri"/>
        </w:rPr>
        <w:t>A suite of infection prevention and control and antimicrobial stewardship policies and procedures were in place. Bloomfields Court Retirement had an approved infection control and pandemic plan. Staff demonstrated good principles and practice around infection control. Staff, residents, and whānau were familiar with the pandemic/infectious diseases response plan.</w:t>
      </w:r>
    </w:p>
    <w:p w14:paraId="3D7D805C" w14:textId="77777777" w:rsidR="00003DC4" w:rsidRPr="00A4268A" w:rsidRDefault="00000000">
      <w:pPr>
        <w:spacing w:before="240" w:line="276" w:lineRule="auto"/>
        <w:rPr>
          <w:rFonts w:eastAsia="Calibri"/>
        </w:rPr>
      </w:pPr>
      <w:r w:rsidRPr="00A4268A">
        <w:rPr>
          <w:rFonts w:eastAsia="Calibri"/>
        </w:rPr>
        <w:t>Aged care-specific infection surveillance was undertaken with follow-up action taken as required.</w:t>
      </w:r>
    </w:p>
    <w:p w14:paraId="12B22271" w14:textId="77777777" w:rsidR="00003DC4" w:rsidRPr="00A4268A" w:rsidRDefault="00000000">
      <w:pPr>
        <w:spacing w:before="240" w:line="276" w:lineRule="auto"/>
        <w:rPr>
          <w:rFonts w:eastAsia="Calibri"/>
        </w:rPr>
      </w:pPr>
      <w:r w:rsidRPr="00A4268A">
        <w:rPr>
          <w:rFonts w:eastAsia="Calibri"/>
        </w:rPr>
        <w:t>The environment supported the prevention and mitigation of transmission of infections. Waste and hazardous substances were managed. There were safe and effective cleaning and laundry services in place.</w:t>
      </w:r>
    </w:p>
    <w:bookmarkEnd w:id="19"/>
    <w:p w14:paraId="56DFF46F" w14:textId="77777777" w:rsidR="00003DC4" w:rsidRPr="00A4268A" w:rsidRDefault="00003DC4">
      <w:pPr>
        <w:spacing w:before="240" w:line="276" w:lineRule="auto"/>
        <w:rPr>
          <w:rFonts w:eastAsia="Calibri"/>
        </w:rPr>
      </w:pPr>
    </w:p>
    <w:p w14:paraId="68B126AE" w14:textId="77777777" w:rsidR="00460D43" w:rsidRDefault="00000000" w:rsidP="000E6E02">
      <w:pPr>
        <w:pStyle w:val="Heading2"/>
        <w:spacing w:before="0"/>
        <w:rPr>
          <w:rFonts w:cs="Arial"/>
        </w:rPr>
      </w:pPr>
      <w:r w:rsidRPr="00FB778F">
        <w:rPr>
          <w:rFonts w:cs="Arial"/>
        </w:rPr>
        <w:t>Here taratahi │ Restraint and seclusion</w:t>
      </w:r>
    </w:p>
    <w:p w14:paraId="7E4250BF" w14:textId="77777777" w:rsidR="00460D43" w:rsidRDefault="00000000">
      <w:pPr>
        <w:spacing w:before="240" w:line="276" w:lineRule="auto"/>
        <w:rPr>
          <w:rFonts w:eastAsia="Calibri"/>
        </w:rPr>
      </w:pPr>
      <w:bookmarkStart w:id="20" w:name="InfectionPreventionAndControl"/>
      <w:r w:rsidRPr="00A4268A">
        <w:rPr>
          <w:rFonts w:eastAsia="Calibri"/>
        </w:rPr>
        <w:t>The service is a restraint-free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w:t>
      </w:r>
    </w:p>
    <w:p w14:paraId="512099C9" w14:textId="77777777" w:rsidR="00003DC4" w:rsidRPr="00A4268A" w:rsidRDefault="00000000">
      <w:pPr>
        <w:spacing w:before="240" w:line="276" w:lineRule="auto"/>
        <w:rPr>
          <w:rFonts w:eastAsia="Calibri"/>
        </w:rPr>
      </w:pPr>
      <w:r w:rsidRPr="00A4268A">
        <w:rPr>
          <w:rFonts w:eastAsia="Calibri"/>
        </w:rPr>
        <w:t>A suitably qualified restraint coordinator manages the process. Staff interviewed demonstrated a sound knowledge and understanding of providing least restrictive practice, de-escalation techniques, alternative interventions to restraint, and restraint monitoring.</w:t>
      </w:r>
    </w:p>
    <w:bookmarkEnd w:id="20"/>
    <w:p w14:paraId="6AB88B29" w14:textId="77777777" w:rsidR="00003DC4" w:rsidRPr="00A4268A" w:rsidRDefault="00003DC4">
      <w:pPr>
        <w:spacing w:before="240" w:line="276" w:lineRule="auto"/>
        <w:rPr>
          <w:rFonts w:eastAsia="Calibri"/>
        </w:rPr>
      </w:pPr>
    </w:p>
    <w:p w14:paraId="44BF8740" w14:textId="77777777" w:rsidR="00460D43" w:rsidRDefault="00000000" w:rsidP="000E6E02">
      <w:pPr>
        <w:pStyle w:val="Heading2"/>
        <w:spacing w:before="0"/>
        <w:rPr>
          <w:rFonts w:cs="Arial"/>
        </w:rPr>
      </w:pPr>
      <w:r>
        <w:rPr>
          <w:rFonts w:cs="Arial"/>
        </w:rPr>
        <w:lastRenderedPageBreak/>
        <w:t>Summary of attainment</w:t>
      </w:r>
    </w:p>
    <w:p w14:paraId="02B4768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03DC4" w14:paraId="532033D5" w14:textId="77777777">
        <w:tc>
          <w:tcPr>
            <w:tcW w:w="1384" w:type="dxa"/>
            <w:vAlign w:val="center"/>
          </w:tcPr>
          <w:p w14:paraId="6034999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CF55A06" w14:textId="77777777" w:rsidR="00460D43" w:rsidRDefault="00000000">
            <w:pPr>
              <w:keepNext/>
              <w:spacing w:before="60" w:after="60"/>
              <w:jc w:val="center"/>
              <w:rPr>
                <w:rFonts w:cs="Arial"/>
                <w:b/>
                <w:sz w:val="20"/>
                <w:szCs w:val="20"/>
              </w:rPr>
            </w:pPr>
            <w:r>
              <w:rPr>
                <w:rFonts w:cs="Arial"/>
                <w:b/>
                <w:sz w:val="20"/>
                <w:szCs w:val="20"/>
              </w:rPr>
              <w:t>Continuous Improvement</w:t>
            </w:r>
          </w:p>
          <w:p w14:paraId="4B8B880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2EF1577" w14:textId="77777777" w:rsidR="00460D43" w:rsidRDefault="00000000">
            <w:pPr>
              <w:keepNext/>
              <w:spacing w:before="60" w:after="60"/>
              <w:jc w:val="center"/>
              <w:rPr>
                <w:rFonts w:cs="Arial"/>
                <w:b/>
                <w:sz w:val="20"/>
                <w:szCs w:val="20"/>
              </w:rPr>
            </w:pPr>
            <w:r>
              <w:rPr>
                <w:rFonts w:cs="Arial"/>
                <w:b/>
                <w:sz w:val="20"/>
                <w:szCs w:val="20"/>
              </w:rPr>
              <w:t>Fully Attained</w:t>
            </w:r>
          </w:p>
          <w:p w14:paraId="69175FA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0BD795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FE3BE4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07062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B82E82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10AA36"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25E9A4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2518CA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D8CD97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F7FE0C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7DE383C" w14:textId="77777777" w:rsidR="00460D43" w:rsidRDefault="00000000">
            <w:pPr>
              <w:keepNext/>
              <w:spacing w:before="60" w:after="60"/>
              <w:jc w:val="center"/>
              <w:rPr>
                <w:rFonts w:cs="Arial"/>
                <w:b/>
                <w:sz w:val="20"/>
                <w:szCs w:val="20"/>
              </w:rPr>
            </w:pPr>
            <w:r>
              <w:rPr>
                <w:rFonts w:cs="Arial"/>
                <w:b/>
                <w:sz w:val="20"/>
                <w:szCs w:val="20"/>
              </w:rPr>
              <w:t>(PA Critical)</w:t>
            </w:r>
          </w:p>
        </w:tc>
      </w:tr>
      <w:tr w:rsidR="00003DC4" w14:paraId="510CC5E8" w14:textId="77777777">
        <w:tc>
          <w:tcPr>
            <w:tcW w:w="1384" w:type="dxa"/>
            <w:vAlign w:val="center"/>
          </w:tcPr>
          <w:p w14:paraId="15714AA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64974BB" w14:textId="77777777" w:rsidR="00460D43" w:rsidRDefault="00000000"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3B100D24" w14:textId="77777777" w:rsidR="00460D43" w:rsidRDefault="00000000" w:rsidP="00A4268A">
            <w:pPr>
              <w:spacing w:before="60" w:after="60"/>
              <w:jc w:val="center"/>
              <w:rPr>
                <w:rFonts w:cs="Arial"/>
                <w:sz w:val="20"/>
                <w:szCs w:val="20"/>
                <w:lang w:eastAsia="en-NZ"/>
              </w:rPr>
            </w:pPr>
            <w:bookmarkStart w:id="22" w:name="TotalStdFA"/>
            <w:r>
              <w:rPr>
                <w:rFonts w:cs="Arial"/>
                <w:sz w:val="20"/>
                <w:szCs w:val="20"/>
                <w:lang w:eastAsia="en-NZ"/>
              </w:rPr>
              <w:t>21</w:t>
            </w:r>
            <w:bookmarkEnd w:id="22"/>
          </w:p>
        </w:tc>
        <w:tc>
          <w:tcPr>
            <w:tcW w:w="1843" w:type="dxa"/>
            <w:vAlign w:val="center"/>
          </w:tcPr>
          <w:p w14:paraId="71D4E46F" w14:textId="77777777" w:rsidR="00460D43" w:rsidRDefault="00000000">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0F4C65AC" w14:textId="77777777" w:rsidR="00460D43" w:rsidRDefault="00000000" w:rsidP="00A4268A">
            <w:pPr>
              <w:spacing w:before="60" w:after="60"/>
              <w:jc w:val="center"/>
              <w:rPr>
                <w:rFonts w:cs="Arial"/>
                <w:sz w:val="20"/>
                <w:szCs w:val="20"/>
                <w:lang w:eastAsia="en-NZ"/>
              </w:rPr>
            </w:pPr>
            <w:bookmarkStart w:id="24" w:name="TotalStdPA_Low"/>
            <w:r>
              <w:rPr>
                <w:rFonts w:cs="Arial"/>
                <w:sz w:val="20"/>
                <w:szCs w:val="20"/>
                <w:lang w:eastAsia="en-NZ"/>
              </w:rPr>
              <w:t>2</w:t>
            </w:r>
            <w:bookmarkEnd w:id="24"/>
          </w:p>
        </w:tc>
        <w:tc>
          <w:tcPr>
            <w:tcW w:w="1843" w:type="dxa"/>
            <w:vAlign w:val="center"/>
          </w:tcPr>
          <w:p w14:paraId="00E527F8" w14:textId="77777777" w:rsidR="00460D43" w:rsidRDefault="00000000" w:rsidP="00A4268A">
            <w:pPr>
              <w:spacing w:before="60" w:after="60"/>
              <w:jc w:val="center"/>
              <w:rPr>
                <w:rFonts w:cs="Arial"/>
                <w:sz w:val="20"/>
                <w:szCs w:val="20"/>
                <w:lang w:eastAsia="en-NZ"/>
              </w:rPr>
            </w:pPr>
            <w:bookmarkStart w:id="25" w:name="TotalStdPA_Moderate"/>
            <w:r>
              <w:rPr>
                <w:rFonts w:cs="Arial"/>
                <w:sz w:val="20"/>
                <w:szCs w:val="20"/>
                <w:lang w:eastAsia="en-NZ"/>
              </w:rPr>
              <w:t>4</w:t>
            </w:r>
            <w:bookmarkEnd w:id="25"/>
          </w:p>
        </w:tc>
        <w:tc>
          <w:tcPr>
            <w:tcW w:w="1843" w:type="dxa"/>
            <w:vAlign w:val="center"/>
          </w:tcPr>
          <w:p w14:paraId="723AF636" w14:textId="77777777" w:rsidR="00460D43" w:rsidRDefault="00000000">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5B045A65" w14:textId="77777777" w:rsidR="00460D43" w:rsidRDefault="00000000">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003DC4" w14:paraId="25C12183" w14:textId="77777777">
        <w:tc>
          <w:tcPr>
            <w:tcW w:w="1384" w:type="dxa"/>
            <w:vAlign w:val="center"/>
          </w:tcPr>
          <w:p w14:paraId="721140BA"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AED0B8B" w14:textId="77777777" w:rsidR="00460D43" w:rsidRDefault="00000000">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12E0A399" w14:textId="77777777" w:rsidR="00460D43" w:rsidRDefault="00000000" w:rsidP="00A4268A">
            <w:pPr>
              <w:spacing w:before="60" w:after="60"/>
              <w:jc w:val="center"/>
              <w:rPr>
                <w:rFonts w:cs="Arial"/>
                <w:sz w:val="20"/>
                <w:szCs w:val="20"/>
                <w:lang w:eastAsia="en-NZ"/>
              </w:rPr>
            </w:pPr>
            <w:bookmarkStart w:id="29" w:name="TotalCritFA"/>
            <w:r>
              <w:rPr>
                <w:rFonts w:cs="Arial"/>
                <w:sz w:val="20"/>
                <w:szCs w:val="20"/>
                <w:lang w:eastAsia="en-NZ"/>
              </w:rPr>
              <w:t>161</w:t>
            </w:r>
            <w:bookmarkEnd w:id="29"/>
          </w:p>
        </w:tc>
        <w:tc>
          <w:tcPr>
            <w:tcW w:w="1843" w:type="dxa"/>
            <w:vAlign w:val="center"/>
          </w:tcPr>
          <w:p w14:paraId="4EF0DEBA" w14:textId="77777777" w:rsidR="00460D43" w:rsidRDefault="00000000">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099D5D9D" w14:textId="77777777" w:rsidR="00460D43" w:rsidRDefault="00000000" w:rsidP="00A4268A">
            <w:pPr>
              <w:spacing w:before="60" w:after="60"/>
              <w:jc w:val="center"/>
              <w:rPr>
                <w:rFonts w:cs="Arial"/>
                <w:sz w:val="20"/>
                <w:szCs w:val="20"/>
                <w:lang w:eastAsia="en-NZ"/>
              </w:rPr>
            </w:pPr>
            <w:bookmarkStart w:id="31" w:name="TotalCritPA_Low"/>
            <w:r>
              <w:rPr>
                <w:rFonts w:cs="Arial"/>
                <w:sz w:val="20"/>
                <w:szCs w:val="20"/>
                <w:lang w:eastAsia="en-NZ"/>
              </w:rPr>
              <w:t>3</w:t>
            </w:r>
            <w:bookmarkEnd w:id="31"/>
          </w:p>
        </w:tc>
        <w:tc>
          <w:tcPr>
            <w:tcW w:w="1843" w:type="dxa"/>
            <w:vAlign w:val="center"/>
          </w:tcPr>
          <w:p w14:paraId="751D13EB" w14:textId="77777777" w:rsidR="00460D43" w:rsidRDefault="00000000" w:rsidP="00A4268A">
            <w:pPr>
              <w:spacing w:before="60" w:after="60"/>
              <w:jc w:val="center"/>
              <w:rPr>
                <w:rFonts w:cs="Arial"/>
                <w:sz w:val="20"/>
                <w:szCs w:val="20"/>
                <w:lang w:eastAsia="en-NZ"/>
              </w:rPr>
            </w:pPr>
            <w:bookmarkStart w:id="32" w:name="TotalCritPA_Moderate"/>
            <w:r>
              <w:rPr>
                <w:rFonts w:cs="Arial"/>
                <w:sz w:val="20"/>
                <w:szCs w:val="20"/>
                <w:lang w:eastAsia="en-NZ"/>
              </w:rPr>
              <w:t>4</w:t>
            </w:r>
            <w:bookmarkEnd w:id="32"/>
          </w:p>
        </w:tc>
        <w:tc>
          <w:tcPr>
            <w:tcW w:w="1843" w:type="dxa"/>
            <w:vAlign w:val="center"/>
          </w:tcPr>
          <w:p w14:paraId="77920DF0" w14:textId="77777777" w:rsidR="00460D43" w:rsidRDefault="00000000">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392D9BDC" w14:textId="77777777" w:rsidR="00460D43" w:rsidRDefault="00000000">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7D2F693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03DC4" w14:paraId="78555B78" w14:textId="77777777">
        <w:tc>
          <w:tcPr>
            <w:tcW w:w="1384" w:type="dxa"/>
            <w:vAlign w:val="center"/>
          </w:tcPr>
          <w:p w14:paraId="1EE45FE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A3F598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B59CC7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F05847D" w14:textId="77777777" w:rsidR="00460D43" w:rsidRDefault="00000000">
            <w:pPr>
              <w:keepNext/>
              <w:spacing w:before="60" w:after="60"/>
              <w:jc w:val="center"/>
              <w:rPr>
                <w:rFonts w:cs="Arial"/>
                <w:b/>
                <w:sz w:val="20"/>
                <w:szCs w:val="20"/>
              </w:rPr>
            </w:pPr>
            <w:r>
              <w:rPr>
                <w:rFonts w:cs="Arial"/>
                <w:b/>
                <w:sz w:val="20"/>
                <w:szCs w:val="20"/>
              </w:rPr>
              <w:t>Unattained Low Risk</w:t>
            </w:r>
          </w:p>
          <w:p w14:paraId="01B87D0A"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DA1A301" w14:textId="77777777" w:rsidR="00460D43" w:rsidRDefault="00000000">
            <w:pPr>
              <w:keepNext/>
              <w:spacing w:before="60" w:after="60"/>
              <w:jc w:val="center"/>
              <w:rPr>
                <w:rFonts w:cs="Arial"/>
                <w:b/>
                <w:sz w:val="20"/>
                <w:szCs w:val="20"/>
              </w:rPr>
            </w:pPr>
            <w:r>
              <w:rPr>
                <w:rFonts w:cs="Arial"/>
                <w:b/>
                <w:sz w:val="20"/>
                <w:szCs w:val="20"/>
              </w:rPr>
              <w:t>Unattained Moderate Risk</w:t>
            </w:r>
          </w:p>
          <w:p w14:paraId="5CF723F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02AEFCE" w14:textId="77777777" w:rsidR="00460D43" w:rsidRDefault="00000000">
            <w:pPr>
              <w:keepNext/>
              <w:spacing w:before="60" w:after="60"/>
              <w:jc w:val="center"/>
              <w:rPr>
                <w:rFonts w:cs="Arial"/>
                <w:b/>
                <w:sz w:val="20"/>
                <w:szCs w:val="20"/>
              </w:rPr>
            </w:pPr>
            <w:r>
              <w:rPr>
                <w:rFonts w:cs="Arial"/>
                <w:b/>
                <w:sz w:val="20"/>
                <w:szCs w:val="20"/>
              </w:rPr>
              <w:t>Unattained High Risk</w:t>
            </w:r>
          </w:p>
          <w:p w14:paraId="5A3E731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8D267F1" w14:textId="77777777" w:rsidR="00460D43" w:rsidRDefault="00000000">
            <w:pPr>
              <w:keepNext/>
              <w:spacing w:before="60" w:after="60"/>
              <w:jc w:val="center"/>
              <w:rPr>
                <w:rFonts w:cs="Arial"/>
                <w:b/>
                <w:sz w:val="20"/>
                <w:szCs w:val="20"/>
              </w:rPr>
            </w:pPr>
            <w:r>
              <w:rPr>
                <w:rFonts w:cs="Arial"/>
                <w:b/>
                <w:sz w:val="20"/>
                <w:szCs w:val="20"/>
              </w:rPr>
              <w:t>Unattained Critical Risk</w:t>
            </w:r>
          </w:p>
          <w:p w14:paraId="2AEA4492" w14:textId="77777777" w:rsidR="00460D43" w:rsidRDefault="00000000">
            <w:pPr>
              <w:keepNext/>
              <w:spacing w:before="60" w:after="60"/>
              <w:jc w:val="center"/>
              <w:rPr>
                <w:rFonts w:cs="Arial"/>
                <w:b/>
                <w:sz w:val="20"/>
                <w:szCs w:val="20"/>
              </w:rPr>
            </w:pPr>
            <w:r>
              <w:rPr>
                <w:rFonts w:cs="Arial"/>
                <w:b/>
                <w:sz w:val="20"/>
                <w:szCs w:val="20"/>
              </w:rPr>
              <w:t>(UA Critical)</w:t>
            </w:r>
          </w:p>
        </w:tc>
      </w:tr>
      <w:tr w:rsidR="00003DC4" w14:paraId="71212C41" w14:textId="77777777">
        <w:tc>
          <w:tcPr>
            <w:tcW w:w="1384" w:type="dxa"/>
            <w:vAlign w:val="center"/>
          </w:tcPr>
          <w:p w14:paraId="7DA300E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16696ED" w14:textId="77777777" w:rsidR="00460D43" w:rsidRDefault="00000000">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07B8E96D" w14:textId="77777777" w:rsidR="00460D43" w:rsidRDefault="00000000">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5BDFC0A7" w14:textId="77777777" w:rsidR="00460D43" w:rsidRDefault="00000000">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31EEC081" w14:textId="77777777" w:rsidR="00460D43" w:rsidRDefault="00000000">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2F5BD5AD" w14:textId="77777777" w:rsidR="00460D43" w:rsidRDefault="00000000">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003DC4" w14:paraId="16A2D678" w14:textId="77777777">
        <w:tc>
          <w:tcPr>
            <w:tcW w:w="1384" w:type="dxa"/>
            <w:vAlign w:val="center"/>
          </w:tcPr>
          <w:p w14:paraId="20ABB4B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640E177" w14:textId="77777777" w:rsidR="00460D43" w:rsidRDefault="00000000">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32167E47" w14:textId="77777777" w:rsidR="00460D43" w:rsidRDefault="00000000">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23F740F0" w14:textId="77777777" w:rsidR="00460D43" w:rsidRDefault="00000000">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5F82F42D" w14:textId="77777777" w:rsidR="00460D43" w:rsidRDefault="00000000">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3DDE5D01" w14:textId="77777777" w:rsidR="00460D43" w:rsidRDefault="00000000">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000A6AA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AAB215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22B3D8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FE3741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003DC4" w14:paraId="104829F0" w14:textId="77777777">
        <w:tc>
          <w:tcPr>
            <w:tcW w:w="0" w:type="auto"/>
          </w:tcPr>
          <w:p w14:paraId="63E9D50C"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C9F28C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EBC74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03DC4" w14:paraId="56C68499" w14:textId="77777777">
        <w:tc>
          <w:tcPr>
            <w:tcW w:w="0" w:type="auto"/>
          </w:tcPr>
          <w:p w14:paraId="3B7D927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B6799A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7E294E" w14:textId="77777777" w:rsidR="00EB7645" w:rsidRPr="00BE00C7" w:rsidRDefault="00000000" w:rsidP="00BE00C7">
            <w:pPr>
              <w:pStyle w:val="OutcomeDescription"/>
              <w:spacing w:before="120" w:after="120"/>
              <w:rPr>
                <w:rFonts w:cs="Arial"/>
                <w:lang w:eastAsia="en-NZ"/>
              </w:rPr>
            </w:pPr>
          </w:p>
        </w:tc>
        <w:tc>
          <w:tcPr>
            <w:tcW w:w="0" w:type="auto"/>
          </w:tcPr>
          <w:p w14:paraId="730371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231F23"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Retirement (Bloomfields Court) provides an environment that supports residents’ rights and culturally safe care. There was a health plan in place that was specifically directed at Māori, with a culturally appropriate model of care (Te Whare Tapa Whā) to guide culturally safe services.</w:t>
            </w:r>
          </w:p>
          <w:p w14:paraId="6C6E78EC"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works in partnership with local Māori (Tuahiwi Marae) to support Māori in the service. There are policy and procedures in place to support and encourage a Māori world view of health in their service delivery, including promoting equity. Policy and procedures are externally sourced and have had the input from tāngata whenua. Māori were provided with equitable and effective services based on Te Tiriti o Waitangi and the principles of mana motuhake (self-determination).</w:t>
            </w:r>
          </w:p>
          <w:p w14:paraId="62D66AA7" w14:textId="6BDBE0A9"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in place are clear that recruitment will be non-discriminatory, and that cultural fit is one aspect of appointing staff. Bloomfields Court promotes applications from Māori applicants when they apply for employment opportunities, in accordance with the Māori health plan. Ethnicity data is gathered when staff are employed, and this data is analysed at a management level. There were currently no staff who identified as Māori in the service.</w:t>
            </w:r>
          </w:p>
        </w:tc>
      </w:tr>
      <w:tr w:rsidR="00003DC4" w14:paraId="34DBAD90" w14:textId="77777777">
        <w:tc>
          <w:tcPr>
            <w:tcW w:w="0" w:type="auto"/>
          </w:tcPr>
          <w:p w14:paraId="18D9CC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67613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ACB4466" w14:textId="77777777" w:rsidR="00EB7645" w:rsidRPr="00BE00C7" w:rsidRDefault="00000000" w:rsidP="00BE00C7">
            <w:pPr>
              <w:pStyle w:val="OutcomeDescription"/>
              <w:spacing w:before="120" w:after="120"/>
              <w:rPr>
                <w:rFonts w:cs="Arial"/>
                <w:lang w:eastAsia="en-NZ"/>
              </w:rPr>
            </w:pPr>
          </w:p>
        </w:tc>
        <w:tc>
          <w:tcPr>
            <w:tcW w:w="0" w:type="auto"/>
          </w:tcPr>
          <w:p w14:paraId="530BD1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C69A9"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has a Pacific Peoples Culture and General Ethnicity Awareness Policy in place, developed with input from cultural advisers, which describes how the organisation will respond to the cultural and spiritual needs of Pasifika residents. The plan documents care requirements for Pacific peoples to ensure equitable and culturally appropriate services and has a culturally appropriate model of care (Fonofale) to guide culturally safe services. There were no residents who identified as Pasifika in the facility during the audit. The service maintains a link with a local Pacific Island community group (Gospel Outreach Church) through two Pacific staff members in order to provide cultural support for staff and residents identifying as Pasifika.</w:t>
            </w:r>
          </w:p>
          <w:p w14:paraId="4AEE37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supports increasing Pasifika capacity by employing more Pasifika staff members across differing levels of the organisation as vacancies and applications for employment permit. Ethnicity data is gathered when staff are employed, and this data is analysed at a management level. There were staff who identified as Pasifika in the service.</w:t>
            </w:r>
          </w:p>
          <w:p w14:paraId="2FC50849" w14:textId="77777777" w:rsidR="00EB7645" w:rsidRPr="00BE00C7" w:rsidRDefault="00000000" w:rsidP="00BE00C7">
            <w:pPr>
              <w:pStyle w:val="OutcomeDescription"/>
              <w:spacing w:before="120" w:after="120"/>
              <w:rPr>
                <w:rFonts w:cs="Arial"/>
                <w:lang w:eastAsia="en-NZ"/>
              </w:rPr>
            </w:pPr>
          </w:p>
        </w:tc>
      </w:tr>
      <w:tr w:rsidR="00003DC4" w14:paraId="6C47A947" w14:textId="77777777">
        <w:tc>
          <w:tcPr>
            <w:tcW w:w="0" w:type="auto"/>
          </w:tcPr>
          <w:p w14:paraId="6A9E4D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60B0A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08F8A6D" w14:textId="77777777" w:rsidR="00EB7645" w:rsidRPr="00BE00C7" w:rsidRDefault="00000000" w:rsidP="00BE00C7">
            <w:pPr>
              <w:pStyle w:val="OutcomeDescription"/>
              <w:spacing w:before="120" w:after="120"/>
              <w:rPr>
                <w:rFonts w:cs="Arial"/>
                <w:lang w:eastAsia="en-NZ"/>
              </w:rPr>
            </w:pPr>
          </w:p>
        </w:tc>
        <w:tc>
          <w:tcPr>
            <w:tcW w:w="0" w:type="auto"/>
          </w:tcPr>
          <w:p w14:paraId="1DBE18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B2EA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in a poster in the reception area. Brochures on the Code, the Nationwide Advocacy Service (advocacy service), and the complaints process were available in the entry foyer. The Code was available in English, te reo Māori and New Zealand Sign Language (NZSL). Staff knew how to access the Code in other languages should this be required. The Code, information on the advocacy service and complaints process was included in the residents’ information pack, handed out when an enquiry is made and on admission.</w:t>
            </w:r>
          </w:p>
          <w:p w14:paraId="0ACE34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the availability of the advocacy service and were seen supporting residents of Bloomfields Court in accordance with their wishes. Interviews with four whānau who visit regularly, confirmed staff were </w:t>
            </w:r>
            <w:r w:rsidRPr="00BE00C7">
              <w:rPr>
                <w:rFonts w:cs="Arial"/>
                <w:lang w:eastAsia="en-NZ"/>
              </w:rPr>
              <w:lastRenderedPageBreak/>
              <w:t>seen to be respectful and considerate of residents’ rights. Evidence verified there had been minimal opportunities for residents and whānau to have discussion and clarification regarding residents’ rights. There had been no residents/whānau meetings since February 2023. Resident satisfaction surveys, while completed in 2024, had not been undertaken in the preceding two years (refer criterion 2.1.8).</w:t>
            </w:r>
          </w:p>
          <w:p w14:paraId="23CE34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Bloomfields Court had access to interpreter services and cultural advisors/advocates if required. Relationships had been established with The Māori health advisor at Te Whatu Ora – Health New Zealand Waitaha Canterbury (Te Whatu Ora Canterbury), Nga hau e wha National Marae in Christchurch, the local Tuahiwi Marae, and the Gospel Outreach Church (for Pasifika). </w:t>
            </w:r>
          </w:p>
          <w:p w14:paraId="38AE9B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new provider was aware of their obligations regarding compliance with the Code.</w:t>
            </w:r>
          </w:p>
          <w:p w14:paraId="1D8E044C" w14:textId="77777777" w:rsidR="00EB7645" w:rsidRPr="00BE00C7" w:rsidRDefault="00000000" w:rsidP="00BE00C7">
            <w:pPr>
              <w:pStyle w:val="OutcomeDescription"/>
              <w:spacing w:before="120" w:after="120"/>
              <w:rPr>
                <w:rFonts w:cs="Arial"/>
                <w:lang w:eastAsia="en-NZ"/>
              </w:rPr>
            </w:pPr>
          </w:p>
        </w:tc>
      </w:tr>
      <w:tr w:rsidR="00003DC4" w14:paraId="62B7EE2D" w14:textId="77777777">
        <w:tc>
          <w:tcPr>
            <w:tcW w:w="0" w:type="auto"/>
          </w:tcPr>
          <w:p w14:paraId="1436088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7F2B1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483449E" w14:textId="77777777" w:rsidR="00EB7645" w:rsidRPr="00BE00C7" w:rsidRDefault="00000000" w:rsidP="00BE00C7">
            <w:pPr>
              <w:pStyle w:val="OutcomeDescription"/>
              <w:spacing w:before="120" w:after="120"/>
              <w:rPr>
                <w:rFonts w:cs="Arial"/>
                <w:lang w:eastAsia="en-NZ"/>
              </w:rPr>
            </w:pPr>
          </w:p>
        </w:tc>
        <w:tc>
          <w:tcPr>
            <w:tcW w:w="0" w:type="auto"/>
          </w:tcPr>
          <w:p w14:paraId="2AEC29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783DF"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supported residents in a manner that was inclusive and respected their identity and experiences. Residents and their whānau, including people with disabilities (tāngata whaikaha), confirmed that they received services in a manner that had regard for their dignity, gender, privacy, sexual orientation, spirituality, choices, and independence.</w:t>
            </w:r>
          </w:p>
          <w:p w14:paraId="728AD302"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52CDDB2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Bloomfields Court were educated in Te Tiriti o Waitangi, health equity, and cultural safety. Documentation in the residents’ care plans acknowledged the residents’ cultural identity and individuality.</w:t>
            </w:r>
          </w:p>
          <w:p w14:paraId="3E5C4DF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w:t>
            </w:r>
          </w:p>
          <w:p w14:paraId="7626DE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were observed to maintain residents’ privacy throughout the audit. All residents had a private room. Bloomfields Court responded to the needs of tāngata whaikaha on a daily and individualised basis; however, no formal processes were in place to enable needs to be expressed and responded to (refer to 2.1.8). Participation in te ao Māori was enabled through signage, displays on Te Tiriti o Waitangi and recognition of Matariki, Waitangi Day and Māori Language Week. Training on the aging process, informed consent, the Code of Rights, communication, and diversity and inclusion was included as part of the training on support for tāngata whaikaha.</w:t>
            </w:r>
          </w:p>
          <w:p w14:paraId="4C433C22" w14:textId="77777777" w:rsidR="00EB7645" w:rsidRPr="00BE00C7" w:rsidRDefault="00000000" w:rsidP="00BE00C7">
            <w:pPr>
              <w:pStyle w:val="OutcomeDescription"/>
              <w:spacing w:before="120" w:after="120"/>
              <w:rPr>
                <w:rFonts w:cs="Arial"/>
                <w:lang w:eastAsia="en-NZ"/>
              </w:rPr>
            </w:pPr>
            <w:r w:rsidRPr="00BE00C7">
              <w:rPr>
                <w:rFonts w:cs="Arial"/>
                <w:lang w:eastAsia="en-NZ"/>
              </w:rPr>
              <w:t>Closed-circuit television operates in communal areas within and outside the facility. Signage at the front entrance informs visitors of its operation.</w:t>
            </w:r>
          </w:p>
          <w:p w14:paraId="4A66BEF1" w14:textId="77777777" w:rsidR="00EB7645" w:rsidRPr="00BE00C7" w:rsidRDefault="00000000" w:rsidP="00BE00C7">
            <w:pPr>
              <w:pStyle w:val="OutcomeDescription"/>
              <w:spacing w:before="120" w:after="120"/>
              <w:rPr>
                <w:rFonts w:cs="Arial"/>
                <w:lang w:eastAsia="en-NZ"/>
              </w:rPr>
            </w:pPr>
          </w:p>
        </w:tc>
      </w:tr>
      <w:tr w:rsidR="00003DC4" w14:paraId="636949FE" w14:textId="77777777">
        <w:tc>
          <w:tcPr>
            <w:tcW w:w="0" w:type="auto"/>
          </w:tcPr>
          <w:p w14:paraId="453931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E235C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DA3B564" w14:textId="77777777" w:rsidR="00EB7645" w:rsidRPr="00BE00C7" w:rsidRDefault="00000000" w:rsidP="00BE00C7">
            <w:pPr>
              <w:pStyle w:val="OutcomeDescription"/>
              <w:spacing w:before="120" w:after="120"/>
              <w:rPr>
                <w:rFonts w:cs="Arial"/>
                <w:lang w:eastAsia="en-NZ"/>
              </w:rPr>
            </w:pPr>
          </w:p>
        </w:tc>
        <w:tc>
          <w:tcPr>
            <w:tcW w:w="0" w:type="auto"/>
          </w:tcPr>
          <w:p w14:paraId="3C72A16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A7EC94"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Bloomfields Court included reference checking and police vetting. Policies and procedures outlined safeguards in place to protect people from discrimination, coercion, harassment, physical, sexual, or other exploitation, abuse, or neglect. Workers followed a code of conduct.</w:t>
            </w:r>
          </w:p>
          <w:p w14:paraId="092BA7A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and finances protected. Professional boundaries were maintained.</w:t>
            </w:r>
          </w:p>
          <w:p w14:paraId="23A7475C" w14:textId="0CB861FC"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Bloomfields Court was promoted. The model encompassed an individualised approach that ensured the best outcomes for all. Eight of ten residents and two of four members interviewed expressed satisfaction with the services provided at Bloomfields Court. Two whānau and two residents expressed some areas of dissatisfaction with the care being provided at times. Evidenced verified these had been addressed through the complaints process (refer subsection 1.8), and interviews verified improvements had occurred.</w:t>
            </w:r>
          </w:p>
        </w:tc>
      </w:tr>
      <w:tr w:rsidR="00003DC4" w14:paraId="674434A9" w14:textId="77777777">
        <w:tc>
          <w:tcPr>
            <w:tcW w:w="0" w:type="auto"/>
          </w:tcPr>
          <w:p w14:paraId="594890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FE063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E5218C4" w14:textId="77777777" w:rsidR="00EB7645" w:rsidRPr="00BE00C7" w:rsidRDefault="00000000" w:rsidP="00BE00C7">
            <w:pPr>
              <w:pStyle w:val="OutcomeDescription"/>
              <w:spacing w:before="120" w:after="120"/>
              <w:rPr>
                <w:rFonts w:cs="Arial"/>
                <w:lang w:eastAsia="en-NZ"/>
              </w:rPr>
            </w:pPr>
          </w:p>
        </w:tc>
        <w:tc>
          <w:tcPr>
            <w:tcW w:w="0" w:type="auto"/>
          </w:tcPr>
          <w:p w14:paraId="5E8D19C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23BE6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 at Bloomfields Court reported that communication was open and effective, and they felt listened to. Information was provided in an easy-to-understand format. Te reo Māori was incorporated into day-to-day greetings and signage throughout the facility. Interpreter services were available if needed, and staff knew how to access these services if required. Residents and whānau reported that they were in regular contact with the nurse manager (NM), whose office is near the front entrance, either through the NM open door policy, or through telephone calls. Residents’ meetings had not been held since February 2023 (refer criterion 2.1.8). Resident satisfaction surveys had not been undertaken in the past two years; however, the recent 2024 survey verified satisfaction with services, including food.</w:t>
            </w:r>
          </w:p>
          <w:p w14:paraId="044BD1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is a registered nurse (RN) who works onsite Monday to Friday most days. Evidence was sighted of residents communicating with all staff, including the NM. Residents, whānau and staff reported the NM responded promptly to any suggestions or concerns.</w:t>
            </w:r>
          </w:p>
          <w:p w14:paraId="6BC06102"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whānau in a timely manner. Incident reports evidenced whānau were informed of any events/incidents and this was confirmed through whānau interviews. Documentation supported evidence of ongoing contact with whānau or enduring power of attorney (EPOA). Evidence was sighted of referrals and involvement of other agencies involved in the residents’ care when needed.</w:t>
            </w:r>
          </w:p>
          <w:p w14:paraId="4E567E9D" w14:textId="77777777" w:rsidR="00EB7645" w:rsidRPr="00BE00C7" w:rsidRDefault="00000000" w:rsidP="00BE00C7">
            <w:pPr>
              <w:pStyle w:val="OutcomeDescription"/>
              <w:spacing w:before="120" w:after="120"/>
              <w:rPr>
                <w:rFonts w:cs="Arial"/>
                <w:lang w:eastAsia="en-NZ"/>
              </w:rPr>
            </w:pPr>
          </w:p>
        </w:tc>
      </w:tr>
      <w:tr w:rsidR="00003DC4" w14:paraId="7F9975C6" w14:textId="77777777">
        <w:tc>
          <w:tcPr>
            <w:tcW w:w="0" w:type="auto"/>
          </w:tcPr>
          <w:p w14:paraId="3EA519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EC68E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025AA34A" w14:textId="77777777" w:rsidR="00EB7645" w:rsidRPr="00BE00C7" w:rsidRDefault="00000000" w:rsidP="00BE00C7">
            <w:pPr>
              <w:pStyle w:val="OutcomeDescription"/>
              <w:spacing w:before="120" w:after="120"/>
              <w:rPr>
                <w:rFonts w:cs="Arial"/>
                <w:lang w:eastAsia="en-NZ"/>
              </w:rPr>
            </w:pPr>
          </w:p>
        </w:tc>
        <w:tc>
          <w:tcPr>
            <w:tcW w:w="0" w:type="auto"/>
          </w:tcPr>
          <w:p w14:paraId="6A36F7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C0892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Bloomfields Court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4A5B078B"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213D3F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Evidence was sighted of supported decision-making, being fully informed, the opportunity to choose, and cultural support when a resident had a choice of treatment options available to them.</w:t>
            </w:r>
          </w:p>
          <w:p w14:paraId="45CA5E89" w14:textId="77777777" w:rsidR="00EB7645" w:rsidRPr="00BE00C7" w:rsidRDefault="00000000" w:rsidP="00BE00C7">
            <w:pPr>
              <w:pStyle w:val="OutcomeDescription"/>
              <w:spacing w:before="120" w:after="120"/>
              <w:rPr>
                <w:rFonts w:cs="Arial"/>
                <w:lang w:eastAsia="en-NZ"/>
              </w:rPr>
            </w:pPr>
          </w:p>
        </w:tc>
      </w:tr>
      <w:tr w:rsidR="00003DC4" w14:paraId="05383E5D" w14:textId="77777777">
        <w:tc>
          <w:tcPr>
            <w:tcW w:w="0" w:type="auto"/>
          </w:tcPr>
          <w:p w14:paraId="3D481C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26BC0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AC03163" w14:textId="77777777" w:rsidR="00EB7645" w:rsidRPr="00BE00C7" w:rsidRDefault="00000000" w:rsidP="00BE00C7">
            <w:pPr>
              <w:pStyle w:val="OutcomeDescription"/>
              <w:spacing w:before="120" w:after="120"/>
              <w:rPr>
                <w:rFonts w:cs="Arial"/>
                <w:lang w:eastAsia="en-NZ"/>
              </w:rPr>
            </w:pPr>
          </w:p>
        </w:tc>
        <w:tc>
          <w:tcPr>
            <w:tcW w:w="0" w:type="auto"/>
          </w:tcPr>
          <w:p w14:paraId="4A338F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0ADC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whānau on entry to the service. A fair, transparent, and equitable system is in place to receive and resolve complaints that leads to improvements. This meets the requirements of the Code. Information on complaints and the complaints process was available to residents, along with information on advocacy options available to them. Advocacy and complaints information was available in English and te reo Māori. Residents and whānau interviewed understood their right to make a complaint and knew how to do so. There were a variety of avenues available to make a complaint or express a concern.</w:t>
            </w:r>
          </w:p>
          <w:p w14:paraId="36C161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three formal complaints received since the last audit, one of which was an anonymous complaint received via Te Whatu Ora Canterbury. Documentation sighted in respect of the complaints showed that all of the complaints had been addressed in a timely manner. With the exception of the anonymous complainant, complainants had been informed of the outcome of their complaint. In the case of the anonymous complaint the outcome of the complaint was reported to Te Whatu Ora Canterbury. Complaints (and any subsequent corrective actions) are a standing agenda item in the three-monthly quality and staff meetings (meeting minutes sighted).</w:t>
            </w:r>
          </w:p>
          <w:p w14:paraId="33CEAD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Māori, and there were no Māori residents in the facility during the audit. There are, however, processes in place to ensure complaints from Māori are managed in a culturally appropriate way (eg, through face-to-face interaction, the use of culturally appropriate support, hui, and tikanga practices specific to the resident or the complainant).</w:t>
            </w:r>
          </w:p>
          <w:p w14:paraId="12F612B4" w14:textId="55681841" w:rsidR="00EB7645" w:rsidRPr="00BE00C7" w:rsidRDefault="00000000" w:rsidP="00BE00C7">
            <w:pPr>
              <w:pStyle w:val="OutcomeDescription"/>
              <w:spacing w:before="120" w:after="120"/>
              <w:rPr>
                <w:rFonts w:cs="Arial"/>
                <w:lang w:eastAsia="en-NZ"/>
              </w:rPr>
            </w:pPr>
            <w:r w:rsidRPr="00BE00C7">
              <w:rPr>
                <w:rFonts w:cs="Arial"/>
                <w:lang w:eastAsia="en-NZ"/>
              </w:rPr>
              <w:t>There had been no complaints received from other external sources since the previous audit.</w:t>
            </w:r>
          </w:p>
        </w:tc>
      </w:tr>
      <w:tr w:rsidR="00003DC4" w14:paraId="06D55D79" w14:textId="77777777">
        <w:tc>
          <w:tcPr>
            <w:tcW w:w="0" w:type="auto"/>
          </w:tcPr>
          <w:p w14:paraId="59BD27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89CE4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5ED1236" w14:textId="77777777" w:rsidR="00EB7645" w:rsidRPr="00BE00C7" w:rsidRDefault="00000000" w:rsidP="00BE00C7">
            <w:pPr>
              <w:pStyle w:val="OutcomeDescription"/>
              <w:spacing w:before="120" w:after="120"/>
              <w:rPr>
                <w:rFonts w:cs="Arial"/>
                <w:lang w:eastAsia="en-NZ"/>
              </w:rPr>
            </w:pPr>
          </w:p>
        </w:tc>
        <w:tc>
          <w:tcPr>
            <w:tcW w:w="0" w:type="auto"/>
          </w:tcPr>
          <w:p w14:paraId="32E08CD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B87EB2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Care Retirement Limited, as the governing body, assumes accountability for delivering a high-quality service honouring Te Tiriti o Waitangi and being focused on improving outcomes for Māori, Pasifika, and tāngata whaikaha. Policies and procedures are sourced from an external contractor to ensure compliance with cultural, legislative, contractual, and regulatory requirements, although hard copies of these provided for staff were outdated (refer criterion 2.5.2). The nurse manager of the service, who is an RN, has undertaken education courses on Te Tiriti, health equity, and cultural safety, as have the prospective providers who are also RNs.</w:t>
            </w:r>
          </w:p>
          <w:p w14:paraId="5855D35F"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bilingual signage and information in other languages for the Code of Rights, complaints, advocacy, and infection prevention and control). Bloomfields Court promotes appropriate models of care specific to residents’ cultural needs, including for Māori and Pasifika. The prospective providers are aware of their responsibilities to health equity, and Māori and Pasifika health needs.</w:t>
            </w:r>
          </w:p>
          <w:p w14:paraId="6F9ABC00"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has a business plan in place which outlines the organisation’s structure, purpose, values, scope, direction, performance, and goals. The plan supports the improvement of equitable outcomes for Māori, Pasifika and tāngata whaikaha. Cultural safety is embedded in business, quality, and in staff training plans. Ethnicity data is being collected to support equity. The new providers intend to work from this plan in the first instance.</w:t>
            </w:r>
          </w:p>
          <w:p w14:paraId="1E2B39B3"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commits to quality and risk via policy and processes; however, there are no feedback mechanisms from the facility to governance on quality and risk outcomes (refer criterion 2.1.4). Clinical governance is appropriate to the size and complexity of the service. The NM at Bloomfields Court is an RN with significant aged-care experience. Another experienced RN and an enrolled nurse (EN) support the NM. The NM confirmed knowledge of the sector, regulatory and reporting requirements and maintains currency within the field.</w:t>
            </w:r>
          </w:p>
          <w:p w14:paraId="7B5138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prospective purchaser is a privately listed company which consists of two directors. One of the directors will work as the facility’s manager following the purchase, and the other as the clinical manager (CM). It has been agreed that the prospective providers will be assisted by the current NM and facility EN for one week from the date of purchase. Both of the directors of Fervor Corporation (the prospective providers) are registered nurses currently working in management positions in the aged-care sector. They have significant experience and have an understanding of the Nga Paerewa standard and contracts with Te Whatu Ora. Relevant funders have been notified of the potential change of ownership of the facility. The facility will be under the prospective purchaser’s governance from the date of settlement.</w:t>
            </w:r>
          </w:p>
          <w:p w14:paraId="75F19AB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quality data (e.g., adverse events, complaints, infections, antibiotic use, and restraint use) are aggregated and corrective actions completed where deficits are identified. The exception to this is internal audits (refer criterion 2.2.3). A sample of monthly and annual reports showed adequate information to monitor performance is reported.</w:t>
            </w:r>
          </w:p>
          <w:p w14:paraId="50C8F6AE"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are in place, outlined in policy documentation, for residents and staff to contribute to quality improvement through the ability to give feedback at meetings and in surveys. Staff meeting minutes sighted confirm staff can give feedback, and this is addressed and documented. Resident meetings and resident satisfaction surveys have been sporadic, limiting the ability of residents (including tāngata whaikaha) to provide service feedback (refer criterion 2.1.8).</w:t>
            </w:r>
          </w:p>
          <w:p w14:paraId="48AC64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Canterbury for the provision of age-related residential care (ARRC) services at rest home level and short-term (respite) services. Bloomfields Court also holds an Accident Compensation Corporation (ACC) contract and, currently, a Whaikaha contract. Fifteen (15) residents were receiving rest home services during the audit (one of whom through the Whaikaha contract. No residents were receiving services under the respite or ACC contract.</w:t>
            </w:r>
          </w:p>
          <w:p w14:paraId="18A4D6E9" w14:textId="77777777" w:rsidR="00EB7645" w:rsidRPr="00BE00C7" w:rsidRDefault="00000000" w:rsidP="00BE00C7">
            <w:pPr>
              <w:pStyle w:val="OutcomeDescription"/>
              <w:spacing w:before="120" w:after="120"/>
              <w:rPr>
                <w:rFonts w:cs="Arial"/>
                <w:lang w:eastAsia="en-NZ"/>
              </w:rPr>
            </w:pPr>
          </w:p>
        </w:tc>
      </w:tr>
      <w:tr w:rsidR="00003DC4" w14:paraId="1925BF81" w14:textId="77777777">
        <w:tc>
          <w:tcPr>
            <w:tcW w:w="0" w:type="auto"/>
          </w:tcPr>
          <w:p w14:paraId="426FA0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7136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53AE3DB" w14:textId="77777777" w:rsidR="00EB7645" w:rsidRPr="00BE00C7" w:rsidRDefault="00000000" w:rsidP="00BE00C7">
            <w:pPr>
              <w:pStyle w:val="OutcomeDescription"/>
              <w:spacing w:before="120" w:after="120"/>
              <w:rPr>
                <w:rFonts w:cs="Arial"/>
                <w:lang w:eastAsia="en-NZ"/>
              </w:rPr>
            </w:pPr>
          </w:p>
        </w:tc>
        <w:tc>
          <w:tcPr>
            <w:tcW w:w="0" w:type="auto"/>
          </w:tcPr>
          <w:p w14:paraId="7F4421A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3CBB6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described the processes for the identification, documentation, monitoring, review and reporting of risks, including health and safety risks, and development of mitigation strategies. The NM is committed to quality and risk via its quality and risk management plan, and through policy.</w:t>
            </w:r>
          </w:p>
          <w:p w14:paraId="6912BA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adverse events/hazards (including the monitoring of clinical incidents such as falls, injuries, pressure injuries, choking, behaviours that challenge, infections, wounds, and medication errors), complaints, audit activities, and policies and procedures. The prospective providers intend to use the current quality systems and processes in the first instance.</w:t>
            </w:r>
          </w:p>
          <w:p w14:paraId="0E7875A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Relevant corrective actions are developed and implemented to address any shortfalls. A sample of incident forms reviewed showed these were fully completed, incidents were investigated, action plans were developed, and any corrective actions followed up in a timely manner. The exception to this is in internal auditing (refer criterion 2.2.3). A review of medication error incidents (five in the last six months) noted no review of medication competency for staff following medication errors (refer criterion 3.4.3).</w:t>
            </w:r>
          </w:p>
          <w:p w14:paraId="3E45E427"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is communicated and discussed with staff along with any corrective actions required, and this was confirmed at staff interview. Three-monthly management/quality and staff meetings are held. Minutes of staff and management/quality meetings evidence detailed discussion on quality indicators. Policies reviewed covered all necessary aspects of the service and contractual requirements and were current. Critical analysis of organisational practices to improve health equity is occurring, with appropriate follow-up and reporting. A Māori health plan guides care for Māori.</w:t>
            </w:r>
          </w:p>
          <w:p w14:paraId="1A4E82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legislative compliance issues for the prospective provider to be aware of. The NM understood essential notification reporting requirements; there has been one section 31 notification completed in the last 12 months relating to a resident leaving the </w:t>
            </w:r>
            <w:r w:rsidRPr="00BE00C7">
              <w:rPr>
                <w:rFonts w:cs="Arial"/>
                <w:lang w:eastAsia="en-NZ"/>
              </w:rPr>
              <w:lastRenderedPageBreak/>
              <w:t>facility and being unable to be found by staff, who was found by police.</w:t>
            </w:r>
          </w:p>
          <w:p w14:paraId="50E812DD" w14:textId="77777777" w:rsidR="00EB7645" w:rsidRPr="00BE00C7" w:rsidRDefault="00000000" w:rsidP="00BE00C7">
            <w:pPr>
              <w:pStyle w:val="OutcomeDescription"/>
              <w:spacing w:before="120" w:after="120"/>
              <w:rPr>
                <w:rFonts w:cs="Arial"/>
                <w:lang w:eastAsia="en-NZ"/>
              </w:rPr>
            </w:pPr>
            <w:r w:rsidRPr="00BE00C7">
              <w:rPr>
                <w:rFonts w:cs="Arial"/>
                <w:lang w:eastAsia="en-NZ"/>
              </w:rPr>
              <w:t>A transition plan is in place to transfer the facility to the prospective provider. It has been agreed that the current NM and EN will remain in place following the handover for a period of a week (with the ability for this to be extended by agreement). The prospective owners will work as the manager and CM of the facility, respectively. The CM will oversee clinical requirements for the service. There is no intention to make major changes to the current service or its staffing following the transition. A later goal is to potentially add ARRC hospital level services to the facility dependent on the agreement of Manatū Hauora.</w:t>
            </w:r>
          </w:p>
          <w:p w14:paraId="72288FE9" w14:textId="77777777" w:rsidR="00EB7645" w:rsidRPr="00BE00C7" w:rsidRDefault="00000000" w:rsidP="00BE00C7">
            <w:pPr>
              <w:pStyle w:val="OutcomeDescription"/>
              <w:spacing w:before="120" w:after="120"/>
              <w:rPr>
                <w:rFonts w:cs="Arial"/>
                <w:lang w:eastAsia="en-NZ"/>
              </w:rPr>
            </w:pPr>
          </w:p>
        </w:tc>
      </w:tr>
      <w:tr w:rsidR="00003DC4" w14:paraId="3C42F3D3" w14:textId="77777777">
        <w:tc>
          <w:tcPr>
            <w:tcW w:w="0" w:type="auto"/>
          </w:tcPr>
          <w:p w14:paraId="583074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55E02B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3E90A81" w14:textId="77777777" w:rsidR="00EB7645" w:rsidRPr="00BE00C7" w:rsidRDefault="00000000" w:rsidP="00BE00C7">
            <w:pPr>
              <w:pStyle w:val="OutcomeDescription"/>
              <w:spacing w:before="120" w:after="120"/>
              <w:rPr>
                <w:rFonts w:cs="Arial"/>
                <w:lang w:eastAsia="en-NZ"/>
              </w:rPr>
            </w:pPr>
          </w:p>
        </w:tc>
        <w:tc>
          <w:tcPr>
            <w:tcW w:w="0" w:type="auto"/>
          </w:tcPr>
          <w:p w14:paraId="6E44A3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4D88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policy in place to determine staffing levels and skill mixes for safe service delivery. A roster provides sufficient and appropriate coverage for the effective delivery of care and support. There is a nurse manager and an EN (who also works as an administrator) who both work 40 hours a week and share the on-call roster. There is one other RN available to support the NM plus a further casual RN. The employed RN or the casual RN cover when the NM is absent or on leave. The prospective provider has advised that there may be changes to the provision of RN/EN services given both the prospective FM and CM are RNs. It is expected that other staffing will remain as currently employed.</w:t>
            </w:r>
          </w:p>
          <w:p w14:paraId="6B7B89C4"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reported there were adequate staff to complete the work allocated to them. Residents and whānau interviewed supported responsive care and attention. At least one staff member on duty has a current first aid certificate, including both caregivers who share night duty. This addresses a finding in the previous audit. Position descriptions reflected the role of the respective position and expected behaviours and values.</w:t>
            </w:r>
          </w:p>
          <w:p w14:paraId="7D6125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caregivers are required to complete annual competencies for restraint, hand hygiene, correct use of personal protective equipment (PPE), medication administration/insulin </w:t>
            </w:r>
            <w:r w:rsidRPr="00BE00C7">
              <w:rPr>
                <w:rFonts w:cs="Arial"/>
                <w:lang w:eastAsia="en-NZ"/>
              </w:rPr>
              <w:lastRenderedPageBreak/>
              <w:t>administration (if medication competent), moving and handling, and wound management. A record of completion is maintained. Additional RN specific competencies include interRAI assessment competency. Two of the three RNs (including the NM) are interRAI trained. Both of the prospective directors currently hold interRAI competency.</w:t>
            </w:r>
          </w:p>
          <w:p w14:paraId="12E999AB"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annual competencies are assessed and support equitable service delivery. Care staff have access to a New Zealand Qualification Authority (NZQA) education programme to meet the requirements of the provider’s agreements with Te Whatu Ora Canterbury.</w:t>
            </w:r>
          </w:p>
          <w:p w14:paraId="26B8DEB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1D44985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wellness is encouraged through participation in health and wellbeing activities.</w:t>
            </w:r>
          </w:p>
          <w:p w14:paraId="6B94886F" w14:textId="77777777" w:rsidR="00EB7645" w:rsidRPr="00BE00C7" w:rsidRDefault="00000000" w:rsidP="00BE00C7">
            <w:pPr>
              <w:pStyle w:val="OutcomeDescription"/>
              <w:spacing w:before="120" w:after="120"/>
              <w:rPr>
                <w:rFonts w:cs="Arial"/>
                <w:lang w:eastAsia="en-NZ"/>
              </w:rPr>
            </w:pPr>
          </w:p>
        </w:tc>
      </w:tr>
      <w:tr w:rsidR="00003DC4" w14:paraId="3508F222" w14:textId="77777777">
        <w:tc>
          <w:tcPr>
            <w:tcW w:w="0" w:type="auto"/>
          </w:tcPr>
          <w:p w14:paraId="6F90B5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D9F27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DA7FAF2" w14:textId="77777777" w:rsidR="00EB7645" w:rsidRPr="00BE00C7" w:rsidRDefault="00000000" w:rsidP="00BE00C7">
            <w:pPr>
              <w:pStyle w:val="OutcomeDescription"/>
              <w:spacing w:before="120" w:after="120"/>
              <w:rPr>
                <w:rFonts w:cs="Arial"/>
                <w:lang w:eastAsia="en-NZ"/>
              </w:rPr>
            </w:pPr>
          </w:p>
        </w:tc>
        <w:tc>
          <w:tcPr>
            <w:tcW w:w="0" w:type="auto"/>
          </w:tcPr>
          <w:p w14:paraId="30530E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6D7B43"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6C1EB0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portfolio.</w:t>
            </w:r>
          </w:p>
          <w:p w14:paraId="70708A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register of annual practising certificates (APCs) is maintained for RNs, the EN, and associated health contractors (general </w:t>
            </w:r>
            <w:r w:rsidRPr="00BE00C7">
              <w:rPr>
                <w:rFonts w:cs="Arial"/>
                <w:lang w:eastAsia="en-NZ"/>
              </w:rPr>
              <w:lastRenderedPageBreak/>
              <w:t>practitioners (GPs), pharmacists, physiotherapist, podiatrist, and a dietitian).</w:t>
            </w:r>
          </w:p>
          <w:p w14:paraId="287C349F"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six staff records were reviewed. These evidenced implementations of the recruitment process, the provision of employment contracts, and completed induction and orientation. Staff performance is reviewed and discussed at regular intervals; this was confirmed through documentation sighted.</w:t>
            </w:r>
          </w:p>
          <w:p w14:paraId="3FFB7F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understands its obligations in recruitment in line with the Ngā Paerewa standard and is actively seeking to recruit Māori and Pacific peoples at all levels of the organisation dependent on vacancies and applicants. Ethnicity data is recorded and used in line with health information standards. Staff information is secure and accessible only to those authorised to use it.</w:t>
            </w:r>
          </w:p>
          <w:p w14:paraId="2E50322D"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support is available to them.</w:t>
            </w:r>
          </w:p>
          <w:p w14:paraId="55A1A377" w14:textId="77777777" w:rsidR="00EB7645" w:rsidRPr="00BE00C7" w:rsidRDefault="00000000" w:rsidP="00BE00C7">
            <w:pPr>
              <w:pStyle w:val="OutcomeDescription"/>
              <w:spacing w:before="120" w:after="120"/>
              <w:rPr>
                <w:rFonts w:cs="Arial"/>
                <w:lang w:eastAsia="en-NZ"/>
              </w:rPr>
            </w:pPr>
          </w:p>
        </w:tc>
      </w:tr>
      <w:tr w:rsidR="00003DC4" w14:paraId="3640589D" w14:textId="77777777">
        <w:tc>
          <w:tcPr>
            <w:tcW w:w="0" w:type="auto"/>
          </w:tcPr>
          <w:p w14:paraId="333DDD6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76313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EEC3A98" w14:textId="77777777" w:rsidR="00EB7645" w:rsidRPr="00BE00C7" w:rsidRDefault="00000000" w:rsidP="00BE00C7">
            <w:pPr>
              <w:pStyle w:val="OutcomeDescription"/>
              <w:spacing w:before="120" w:after="120"/>
              <w:rPr>
                <w:rFonts w:cs="Arial"/>
                <w:lang w:eastAsia="en-NZ"/>
              </w:rPr>
            </w:pPr>
          </w:p>
        </w:tc>
        <w:tc>
          <w:tcPr>
            <w:tcW w:w="0" w:type="auto"/>
          </w:tcPr>
          <w:p w14:paraId="2790D3C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A1A3F9A"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has processes in place to maintain records that complied with relevant legislation, health information standards and professional guidelines. Most information was paper based with any information held electronically being username and password protected. Information was held securely and only available to authorised users.</w:t>
            </w:r>
          </w:p>
          <w:p w14:paraId="5C06F8D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were integrated hard copy files. Files for residents and staff were held securely for the required period before being destroyed. No personal or private resident information was on public display during the audit. Consent was sighted for data collection. Data collected included ethnicity data.</w:t>
            </w:r>
          </w:p>
          <w:p w14:paraId="12865B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on-admission demographic, personal, clinical, and health information was fully completed in the residents’ files sampled for review. Facility information (policy and procedures), ongoing review of resident files (particularly interRAI assessments), and resident-centred processes (including medication management) were compromised due to an intermittent fault in the provision of internet to the site. The NM is aware of the issue and has been working with </w:t>
            </w:r>
            <w:r w:rsidRPr="00BE00C7">
              <w:rPr>
                <w:rFonts w:cs="Arial"/>
                <w:lang w:eastAsia="en-NZ"/>
              </w:rPr>
              <w:lastRenderedPageBreak/>
              <w:t>the information technology contractor used by the service to try to address this (refer criterion 2.5.2).</w:t>
            </w:r>
          </w:p>
          <w:p w14:paraId="4776EAF0"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is not responsible for the National Health Index registration of people receiving services</w:t>
            </w:r>
          </w:p>
          <w:p w14:paraId="381FC7CA" w14:textId="77777777" w:rsidR="00EB7645" w:rsidRPr="00BE00C7" w:rsidRDefault="00000000" w:rsidP="00BE00C7">
            <w:pPr>
              <w:pStyle w:val="OutcomeDescription"/>
              <w:spacing w:before="120" w:after="120"/>
              <w:rPr>
                <w:rFonts w:cs="Arial"/>
                <w:lang w:eastAsia="en-NZ"/>
              </w:rPr>
            </w:pPr>
          </w:p>
        </w:tc>
      </w:tr>
      <w:tr w:rsidR="00003DC4" w14:paraId="6F6466BA" w14:textId="77777777">
        <w:tc>
          <w:tcPr>
            <w:tcW w:w="0" w:type="auto"/>
          </w:tcPr>
          <w:p w14:paraId="5D945CC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FB7D4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A593710" w14:textId="77777777" w:rsidR="00EB7645" w:rsidRPr="00BE00C7" w:rsidRDefault="00000000" w:rsidP="00BE00C7">
            <w:pPr>
              <w:pStyle w:val="OutcomeDescription"/>
              <w:spacing w:before="120" w:after="120"/>
              <w:rPr>
                <w:rFonts w:cs="Arial"/>
                <w:lang w:eastAsia="en-NZ"/>
              </w:rPr>
            </w:pPr>
          </w:p>
        </w:tc>
        <w:tc>
          <w:tcPr>
            <w:tcW w:w="0" w:type="auto"/>
          </w:tcPr>
          <w:p w14:paraId="7BA242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DEBCC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welcomed into Bloomfields Court when they had been assessed and confirmed by the local Needs Assessment and Service Coordination (NASC) agency, as requiring the level of care the service provided and had chosen Bloomfields Court to provide the services they require.</w:t>
            </w:r>
          </w:p>
          <w:p w14:paraId="6DFC539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stated they were satisfied with the admission process and the information that had been made available to them on admission. The files reviewed met contractual requirements. Bloomfields Court collected ethnicity data on entry and decline rates. This included specific data for entry and decline rates for Māori. Where a prospective resident had been declined entry, there were processes for communicating the decision to the person and whānau.</w:t>
            </w:r>
          </w:p>
          <w:p w14:paraId="041F9E07"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had developed meaningful partnerships with local Māori to benefit Māori individuals and their whānau. The facility can access support from the Māori health advisor at Te Whatu Ora Canterbury, Nga hau e wha National Marae in Christchurch, and the local Tuahiwi Marae. When admitted, residents had a choice over who would oversee their medical requirements. Whilst most chose the main medical provider to Bloomfields Court, residents were enabled have another provider to manage their medical needs if desired.</w:t>
            </w:r>
          </w:p>
          <w:p w14:paraId="4BFE21D3" w14:textId="77777777" w:rsidR="00EB7645" w:rsidRPr="00BE00C7" w:rsidRDefault="00000000" w:rsidP="00BE00C7">
            <w:pPr>
              <w:pStyle w:val="OutcomeDescription"/>
              <w:spacing w:before="120" w:after="120"/>
              <w:rPr>
                <w:rFonts w:cs="Arial"/>
                <w:lang w:eastAsia="en-NZ"/>
              </w:rPr>
            </w:pPr>
          </w:p>
        </w:tc>
      </w:tr>
      <w:tr w:rsidR="00003DC4" w14:paraId="7063EB9F" w14:textId="77777777">
        <w:tc>
          <w:tcPr>
            <w:tcW w:w="0" w:type="auto"/>
          </w:tcPr>
          <w:p w14:paraId="79C5ED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394556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34111F10" w14:textId="77777777" w:rsidR="00EB7645" w:rsidRPr="00BE00C7" w:rsidRDefault="00000000" w:rsidP="00BE00C7">
            <w:pPr>
              <w:pStyle w:val="OutcomeDescription"/>
              <w:spacing w:before="120" w:after="120"/>
              <w:rPr>
                <w:rFonts w:cs="Arial"/>
                <w:lang w:eastAsia="en-NZ"/>
              </w:rPr>
            </w:pPr>
          </w:p>
        </w:tc>
        <w:tc>
          <w:tcPr>
            <w:tcW w:w="0" w:type="auto"/>
          </w:tcPr>
          <w:p w14:paraId="0FE17A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2A80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Bloomfields Court worked in partnership with the resident and whānau to support the resident’s wellbeing. Five residents’ files were reviewed. These files included residents who had had an acute event requiring transfer to an acute facility, residents with a wound, residents with behaviours that challenge, residents who were receiving care under a Whaikaha </w:t>
            </w:r>
            <w:r w:rsidRPr="00BE00C7">
              <w:rPr>
                <w:rFonts w:cs="Arial"/>
                <w:lang w:eastAsia="en-NZ"/>
              </w:rPr>
              <w:lastRenderedPageBreak/>
              <w:t>contract, residents with compromised mobility, residents with a number of co-morbidities, and residents who self-administer medication.</w:t>
            </w:r>
          </w:p>
          <w:p w14:paraId="71842AB1"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files reviewed verified that an RN develops a plan of care the resident requires following a comprehensive assessment, including consideration of the person’s lived experience, cultural needs, values, and beliefs, and which considers wider service integration, where required. Assessments were based on a range of clinical assessments and included the resident and whānau input (as applicable). Timeframes for the initial assessment, GP input, initial care plan, long-term care plan, short-term care plans, and review/evaluation timeframes met contractual requirements. InterRAI assessments on four of the five files reviewed had not been undertaken, despite the residents having been in the facility for more than three weeks, with two having been a resident for more than a year (refer criterion 2.5.2).</w:t>
            </w:r>
          </w:p>
          <w:p w14:paraId="7666BB2A"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were in place to ensure tāngata whaikaha and whānau participate in service development, but the processes required to achieve this had not taken place (refer criterion 2.1.8). Service providers understood the Māori constructs of oranga and had a process in place to support Māori and whānau to identify their pae ora outcomes in their care plan, when residents who identified as Māori were admitted. The process and support required to achieve this was documented, communicated, and understood. This was verified by reviewing documentation, and from interviews with staff.</w:t>
            </w:r>
          </w:p>
          <w:p w14:paraId="5E2725A1"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from that expected, changes were made to the care plan in collaboration with the resident and family. Residents and whānau confirmed active involvement in the process, including tāngata whaikaha.</w:t>
            </w:r>
          </w:p>
          <w:p w14:paraId="3142F2A8" w14:textId="77777777" w:rsidR="00EB7645" w:rsidRPr="00BE00C7" w:rsidRDefault="00000000" w:rsidP="007041F0">
            <w:pPr>
              <w:pStyle w:val="OutcomeDescription"/>
              <w:spacing w:before="120" w:after="120"/>
              <w:rPr>
                <w:rFonts w:cs="Arial"/>
                <w:lang w:eastAsia="en-NZ"/>
              </w:rPr>
            </w:pPr>
          </w:p>
        </w:tc>
      </w:tr>
      <w:tr w:rsidR="00003DC4" w14:paraId="08A26CE0" w14:textId="77777777">
        <w:tc>
          <w:tcPr>
            <w:tcW w:w="0" w:type="auto"/>
          </w:tcPr>
          <w:p w14:paraId="445335B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47415A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13E39C3" w14:textId="77777777" w:rsidR="00EB7645" w:rsidRPr="00BE00C7" w:rsidRDefault="00000000" w:rsidP="00BE00C7">
            <w:pPr>
              <w:pStyle w:val="OutcomeDescription"/>
              <w:spacing w:before="120" w:after="120"/>
              <w:rPr>
                <w:rFonts w:cs="Arial"/>
                <w:lang w:eastAsia="en-NZ"/>
              </w:rPr>
            </w:pPr>
          </w:p>
        </w:tc>
        <w:tc>
          <w:tcPr>
            <w:tcW w:w="0" w:type="auto"/>
          </w:tcPr>
          <w:p w14:paraId="3B3AC9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616C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diversional therapist (DT) who provided the activities programme at Bloomfields Court was contracted to provide activities </w:t>
            </w:r>
            <w:r w:rsidRPr="00BE00C7">
              <w:rPr>
                <w:rFonts w:cs="Arial"/>
                <w:lang w:eastAsia="en-NZ"/>
              </w:rPr>
              <w:lastRenderedPageBreak/>
              <w:t>three days a week on Tuesday to Thursday from 9 am to 5 pm. The programme provided supported residents in maintaining and developing their interests, tailored to their ages and stages of life. Activity assessments, goals and plans were seen in resident’s care plans. The younger residents (tāngata whaikaha) were enabled to attend community activities of their choice and participate in activities that were of interest to them. Church groups and local schools visited Bloomfields Court and joined in activities. On the two days of audit there were no activities provided. One was a day that the DT did not work, and on the second day the DT was unavailable. The residents, when told the DT was not available for the day, undertook a range of activities that were available.</w:t>
            </w:r>
          </w:p>
          <w:p w14:paraId="09793337" w14:textId="77777777" w:rsidR="00EB7645" w:rsidRPr="00BE00C7" w:rsidRDefault="00000000" w:rsidP="00BE00C7">
            <w:pPr>
              <w:pStyle w:val="OutcomeDescription"/>
              <w:spacing w:before="120" w:after="120"/>
              <w:rPr>
                <w:rFonts w:cs="Arial"/>
                <w:lang w:eastAsia="en-NZ"/>
              </w:rPr>
            </w:pPr>
            <w:r w:rsidRPr="00BE00C7">
              <w:rPr>
                <w:rFonts w:cs="Arial"/>
                <w:lang w:eastAsia="en-NZ"/>
              </w:rPr>
              <w:t>A telephone interview with the DT verified that activities are provided in accordance with residents’ strengths, skills, and interests. There was no facility van available for outings, so once every three months a community van and a driver were hired. Outings included visits to Lyttleton, the gardens, Christchurch, and other places of interest to residents. Residents’ feedback on the programme being offered was obtained in a discussion with the residents when planning the next month’s programme. Evidence of this discussion was not sighted.</w:t>
            </w:r>
          </w:p>
          <w:p w14:paraId="09AE7816"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for residents to participate in te ao Māori was facilitated with Matariki, Waitangi Day and Māori Language Week celebrations.</w:t>
            </w:r>
          </w:p>
          <w:p w14:paraId="054192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2024 satisfaction survey and resident and whānau interviews evidenced residents were satisfied with the activities provided at Bloomfields Court. One of ten residents interviewed suggested an increase in the number of days that activities were provided would be nice.</w:t>
            </w:r>
          </w:p>
          <w:p w14:paraId="3FAA7049" w14:textId="77777777" w:rsidR="00EB7645" w:rsidRPr="00BE00C7" w:rsidRDefault="00000000" w:rsidP="00BE00C7">
            <w:pPr>
              <w:pStyle w:val="OutcomeDescription"/>
              <w:spacing w:before="120" w:after="120"/>
              <w:rPr>
                <w:rFonts w:cs="Arial"/>
                <w:lang w:eastAsia="en-NZ"/>
              </w:rPr>
            </w:pPr>
          </w:p>
        </w:tc>
      </w:tr>
      <w:tr w:rsidR="00003DC4" w14:paraId="42C1425B" w14:textId="77777777">
        <w:tc>
          <w:tcPr>
            <w:tcW w:w="0" w:type="auto"/>
          </w:tcPr>
          <w:p w14:paraId="5A37845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EDE16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491D1AE6" w14:textId="77777777" w:rsidR="00EB7645" w:rsidRPr="00BE00C7" w:rsidRDefault="00000000" w:rsidP="00BE00C7">
            <w:pPr>
              <w:pStyle w:val="OutcomeDescription"/>
              <w:spacing w:before="120" w:after="120"/>
              <w:rPr>
                <w:rFonts w:cs="Arial"/>
                <w:lang w:eastAsia="en-NZ"/>
              </w:rPr>
            </w:pPr>
          </w:p>
        </w:tc>
        <w:tc>
          <w:tcPr>
            <w:tcW w:w="0" w:type="auto"/>
          </w:tcPr>
          <w:p w14:paraId="7C9DC9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C43C1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not seen on the day of the audit (refer criterion 2.5.2). The electronic medication system operated erratically due to the sporadic internet coverage. At </w:t>
            </w:r>
            <w:r w:rsidRPr="00BE00C7">
              <w:rPr>
                <w:rFonts w:cs="Arial"/>
                <w:lang w:eastAsia="en-NZ"/>
              </w:rPr>
              <w:lastRenderedPageBreak/>
              <w:t>times, staff had to use their personal mobile telephones to access the internet and the medication system.</w:t>
            </w:r>
          </w:p>
          <w:p w14:paraId="5E509F93"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who administer medicines were deemed competent to perform the function they manage; however, a review of controlled drug (CD) administration identified practice was not in accordance with safe medication guidelines nor the practice required to be competent. Staff administering the CD, using this process, though deemed competent, were not meeting medication competency guidelines. A review of medication errors identified there were no reviews of medication competencies undertaken. These areas require attention (refer criterion 3.4.3).</w:t>
            </w:r>
          </w:p>
          <w:p w14:paraId="5606C4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process in place to identify, record and document residents’ medication sensitivities, and the action required for adverse events.</w:t>
            </w:r>
          </w:p>
          <w:p w14:paraId="5CAE987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311B8E6E"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0933E8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difficulties identified by tāngata whaikaha (YPD) interviewed, in accessing their required medicines from the facility.</w:t>
            </w:r>
          </w:p>
          <w:p w14:paraId="275FEF5B"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Bloomfields Court.</w:t>
            </w:r>
          </w:p>
          <w:p w14:paraId="266E2F15"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and their whānau were supported to understand their medications.</w:t>
            </w:r>
          </w:p>
          <w:p w14:paraId="6C10F4DE"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618EEA59" w14:textId="77777777" w:rsidR="00EB7645" w:rsidRPr="00BE00C7" w:rsidRDefault="00000000" w:rsidP="00BE00C7">
            <w:pPr>
              <w:pStyle w:val="OutcomeDescription"/>
              <w:spacing w:before="120" w:after="120"/>
              <w:rPr>
                <w:rFonts w:cs="Arial"/>
                <w:lang w:eastAsia="en-NZ"/>
              </w:rPr>
            </w:pPr>
          </w:p>
        </w:tc>
      </w:tr>
      <w:tr w:rsidR="00003DC4" w14:paraId="3F54BA0E" w14:textId="77777777">
        <w:tc>
          <w:tcPr>
            <w:tcW w:w="0" w:type="auto"/>
          </w:tcPr>
          <w:p w14:paraId="0B1B77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7CCC5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5CD4242" w14:textId="77777777" w:rsidR="00EB7645" w:rsidRPr="00BE00C7" w:rsidRDefault="00000000" w:rsidP="00BE00C7">
            <w:pPr>
              <w:pStyle w:val="OutcomeDescription"/>
              <w:spacing w:before="120" w:after="120"/>
              <w:rPr>
                <w:rFonts w:cs="Arial"/>
                <w:lang w:eastAsia="en-NZ"/>
              </w:rPr>
            </w:pPr>
          </w:p>
        </w:tc>
        <w:tc>
          <w:tcPr>
            <w:tcW w:w="0" w:type="auto"/>
          </w:tcPr>
          <w:p w14:paraId="6E73B05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402B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Bloomfields Court was in line with recognised nutritional guidelines for older people. The menu was reviewed by a qualified dietitian on 2 November 2023. Recommendations made at that time had been implemented.</w:t>
            </w:r>
          </w:p>
          <w:p w14:paraId="23D2D0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Bloomfields Court on 21 December 2023. Four areas requiring corrective action were identified, and these have been signed off. The plan was verified for 12 months. The plan is due for re-audit on 28 December 2024.</w:t>
            </w:r>
          </w:p>
          <w:p w14:paraId="698486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chemicals feeding the dishwasher in the kitchen were noted to be not secure. In addition, a number of painted and varnished surfaces evidenced flaking paint and varnish (refer criterion 5.5.3).</w:t>
            </w:r>
          </w:p>
          <w:p w14:paraId="1C1B2A36"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There were no residents who identified as Māori or Pasifika in Bloomfields Court at the time of audit; however, all residents had opportunities to request meals of their choice and the kitchen would address this.</w:t>
            </w:r>
          </w:p>
          <w:p w14:paraId="592F1B41"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and in the 2024 satisfaction survey. This was supported on the days of the audit when residents responded favourably to the meals provided on these days.</w:t>
            </w:r>
          </w:p>
          <w:p w14:paraId="7F356AF2" w14:textId="77777777" w:rsidR="00EB7645" w:rsidRPr="00BE00C7" w:rsidRDefault="00000000" w:rsidP="00BE00C7">
            <w:pPr>
              <w:pStyle w:val="OutcomeDescription"/>
              <w:spacing w:before="120" w:after="120"/>
              <w:rPr>
                <w:rFonts w:cs="Arial"/>
                <w:lang w:eastAsia="en-NZ"/>
              </w:rPr>
            </w:pPr>
          </w:p>
        </w:tc>
      </w:tr>
      <w:tr w:rsidR="00003DC4" w14:paraId="7DEBEB93" w14:textId="77777777">
        <w:tc>
          <w:tcPr>
            <w:tcW w:w="0" w:type="auto"/>
          </w:tcPr>
          <w:p w14:paraId="307273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1C767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49E4ED52" w14:textId="77777777" w:rsidR="00EB7645" w:rsidRPr="00BE00C7" w:rsidRDefault="00000000" w:rsidP="00BE00C7">
            <w:pPr>
              <w:pStyle w:val="OutcomeDescription"/>
              <w:spacing w:before="120" w:after="120"/>
              <w:rPr>
                <w:rFonts w:cs="Arial"/>
                <w:lang w:eastAsia="en-NZ"/>
              </w:rPr>
            </w:pPr>
          </w:p>
        </w:tc>
        <w:tc>
          <w:tcPr>
            <w:tcW w:w="0" w:type="auto"/>
          </w:tcPr>
          <w:p w14:paraId="6E714D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AB0195"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Bloomfields Court was planned and managed safely to cover current needs and mitigate risk. The plan was developed with coordination between services and in collaboration with the resident and whānau. Whānau of a resident who was recently transferred reported that they were kept well-informed throughout the process.</w:t>
            </w:r>
          </w:p>
          <w:p w14:paraId="3A686E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whānau were advised of their options to access other health and disability services, or social support, if the need was identified.</w:t>
            </w:r>
          </w:p>
          <w:p w14:paraId="53584F6D" w14:textId="77777777" w:rsidR="00EB7645" w:rsidRPr="00BE00C7" w:rsidRDefault="00000000" w:rsidP="00BE00C7">
            <w:pPr>
              <w:pStyle w:val="OutcomeDescription"/>
              <w:spacing w:before="120" w:after="120"/>
              <w:rPr>
                <w:rFonts w:cs="Arial"/>
                <w:lang w:eastAsia="en-NZ"/>
              </w:rPr>
            </w:pPr>
          </w:p>
        </w:tc>
      </w:tr>
      <w:tr w:rsidR="00003DC4" w14:paraId="49B11E3F" w14:textId="77777777">
        <w:tc>
          <w:tcPr>
            <w:tcW w:w="0" w:type="auto"/>
          </w:tcPr>
          <w:p w14:paraId="5EB964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9547D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95E6087" w14:textId="77777777" w:rsidR="00EB7645" w:rsidRPr="00BE00C7" w:rsidRDefault="00000000" w:rsidP="00BE00C7">
            <w:pPr>
              <w:pStyle w:val="OutcomeDescription"/>
              <w:spacing w:before="120" w:after="120"/>
              <w:rPr>
                <w:rFonts w:cs="Arial"/>
                <w:lang w:eastAsia="en-NZ"/>
              </w:rPr>
            </w:pPr>
          </w:p>
        </w:tc>
        <w:tc>
          <w:tcPr>
            <w:tcW w:w="0" w:type="auto"/>
          </w:tcPr>
          <w:p w14:paraId="04A9DF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E2B9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1 June 2024. There are currently no plans for further building projects requiring consultation, but the Bloomfields Court governance, the NM of the facility, and the prospective provider, were aware their obligation to ensure that consideration has been made of how designs and environments reflect the aspirations and identity of Māori.</w:t>
            </w:r>
          </w:p>
          <w:p w14:paraId="2BEAB8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suited to the needs of the residents. There is an annual maintenance plan in place that includes electrical testing and tagging, resident equipment and call bell checks, hot water testing, and calibrations of biomedical equipment. All of these were conducted to plan with the exception of the call bell system (refer criteria 2.2.3 and 4.2.5).</w:t>
            </w:r>
          </w:p>
          <w:p w14:paraId="66A2B9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accessible, and residents were observed moving freely around the areas with mobility aids where required. There are three wings, and the corridors have handrails promoting independence and safe mobility. Personalised equipment was available for residents with disabilities to meet their needs and residents were observed to be safely using these. Spaces are culturally inclusive. Lounge and dining facilities meet the needs of residents, with smaller spaces available if a quiet or private area is needed. The main lounge area is used for activities. There are adequate numbers of accessible bathroom and toilet facilities throughout the facility, including for staff and visitors. There are external areas for leisure activities with appropriate seating and shade.</w:t>
            </w:r>
          </w:p>
          <w:p w14:paraId="0BA830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rooms are appropriate for their purpose. Rooms are personalised according to the resident’s preference. All rooms have a window allowing for natural light with safety catches for security. </w:t>
            </w:r>
            <w:r w:rsidRPr="00BE00C7">
              <w:rPr>
                <w:rFonts w:cs="Arial"/>
                <w:lang w:eastAsia="en-NZ"/>
              </w:rPr>
              <w:lastRenderedPageBreak/>
              <w:t>Electric heating is provided in the facility, which can be adjusted depending on seasonality and outside temperature. The facility maintains a non-smoking environment. One of the certified rooms has a fire exit in it; this is currently being used as a storage space.</w:t>
            </w:r>
          </w:p>
          <w:p w14:paraId="4E4DD75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1B4BE587" w14:textId="77777777" w:rsidR="00EB7645" w:rsidRPr="00BE00C7" w:rsidRDefault="00000000" w:rsidP="00BE00C7">
            <w:pPr>
              <w:pStyle w:val="OutcomeDescription"/>
              <w:spacing w:before="120" w:after="120"/>
              <w:rPr>
                <w:rFonts w:cs="Arial"/>
                <w:lang w:eastAsia="en-NZ"/>
              </w:rPr>
            </w:pPr>
          </w:p>
        </w:tc>
      </w:tr>
      <w:tr w:rsidR="00003DC4" w14:paraId="7A829A61" w14:textId="77777777">
        <w:tc>
          <w:tcPr>
            <w:tcW w:w="0" w:type="auto"/>
          </w:tcPr>
          <w:p w14:paraId="2AE2253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0B975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5D06DC1" w14:textId="77777777" w:rsidR="00EB7645" w:rsidRPr="00BE00C7" w:rsidRDefault="00000000" w:rsidP="00BE00C7">
            <w:pPr>
              <w:pStyle w:val="OutcomeDescription"/>
              <w:spacing w:before="120" w:after="120"/>
              <w:rPr>
                <w:rFonts w:cs="Arial"/>
                <w:lang w:eastAsia="en-NZ"/>
              </w:rPr>
            </w:pPr>
          </w:p>
        </w:tc>
        <w:tc>
          <w:tcPr>
            <w:tcW w:w="0" w:type="auto"/>
          </w:tcPr>
          <w:p w14:paraId="480F400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C175DBA"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described the procedures to be followed. Staff have been trained and knew what to do in an emergency. A fire evacuation trial was last completed on the 26 March 2024. The fire evacuation plan was approved by the New Zealand Fire Service on 22 January 2018. The facility is sprinklered and has wired smoke alarms in place. Also in place are fire appliances which were checked in April 2024.</w:t>
            </w:r>
          </w:p>
          <w:p w14:paraId="7773699B"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Alternative energy and utility resources are available should the main supplies fail. A civil defence emergency management plan is clear about the responsibilities of staff in the event of a civil defence emergency.</w:t>
            </w:r>
          </w:p>
          <w:p w14:paraId="21A752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call bell system in place to alert staff to residents requiring assistance, but these do not always function as required (refer criterion 4.2.5). Residents were observed to have their call bells in close proximity. Residents and whānau reported staff respond promptly to call bells.</w:t>
            </w:r>
          </w:p>
          <w:p w14:paraId="2B198C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first aid certified staff member on duty 24/7 on the rosters sighted. This addresses a finding in the previous audit which identified that there were no staff on night duty with first aid certification. Information on emergency and security arrangements is provided to residents and their whānau on entry to the service. All </w:t>
            </w:r>
            <w:r w:rsidRPr="00BE00C7">
              <w:rPr>
                <w:rFonts w:cs="Arial"/>
                <w:lang w:eastAsia="en-NZ"/>
              </w:rPr>
              <w:lastRenderedPageBreak/>
              <w:t>staff were noted to be wearing name badges and uniforms during the audit.</w:t>
            </w:r>
          </w:p>
          <w:p w14:paraId="0E32FC6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building security arrangements are in place. Fourteen security cameras have been installed (four outdoor and ten in indoor corridors) and there is appropriate signage alerting people to their use. The facility is kept locked from dusk to dawn, with staff conducting two-hourly checks during the night. Residents were familiar with emergency and security arrangements.</w:t>
            </w:r>
          </w:p>
          <w:p w14:paraId="5509F82C" w14:textId="77777777" w:rsidR="00EB7645" w:rsidRPr="00BE00C7" w:rsidRDefault="00000000" w:rsidP="00BE00C7">
            <w:pPr>
              <w:pStyle w:val="OutcomeDescription"/>
              <w:spacing w:before="120" w:after="120"/>
              <w:rPr>
                <w:rFonts w:cs="Arial"/>
                <w:lang w:eastAsia="en-NZ"/>
              </w:rPr>
            </w:pPr>
          </w:p>
        </w:tc>
      </w:tr>
      <w:tr w:rsidR="00003DC4" w14:paraId="6A0F4432" w14:textId="77777777">
        <w:tc>
          <w:tcPr>
            <w:tcW w:w="0" w:type="auto"/>
          </w:tcPr>
          <w:p w14:paraId="7F6978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C49F4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C33E17B" w14:textId="77777777" w:rsidR="00EB7645" w:rsidRPr="00BE00C7" w:rsidRDefault="00000000" w:rsidP="00BE00C7">
            <w:pPr>
              <w:pStyle w:val="OutcomeDescription"/>
              <w:spacing w:before="120" w:after="120"/>
              <w:rPr>
                <w:rFonts w:cs="Arial"/>
                <w:lang w:eastAsia="en-NZ"/>
              </w:rPr>
            </w:pPr>
          </w:p>
        </w:tc>
        <w:tc>
          <w:tcPr>
            <w:tcW w:w="0" w:type="auto"/>
          </w:tcPr>
          <w:p w14:paraId="3D5DEF4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B0FDC3"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has infection prevention (IP), and antimicrobial stewardship (AMS) programmes appropriate to the size and complexity of the service. These were provided by an external supplier and had been approved for use by the owners of the facility. Infection prevention and control (IPC) are part of the business and quality plans. The IP and AMS programme was also linked to the quality improvement system, with results reviewed and reported. The infection control programme is reviewed annually, and significant issues are escalated through an effective communication pathway to the governance team. Documentation reviewed evidenced outbreaks were escalated to the governance team within 24 hours.</w:t>
            </w:r>
          </w:p>
          <w:p w14:paraId="3C03F7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team involves all staff, with input from the GP. The team meets as part of the regular three-monthly staff meetings. Infection rates are presented and discussed at management quality meetings and staff meetings, but results are not reported to the owners of the facility (refer criterion 2.1.4). Bloomfields Court collects data on infections and antibiotic use across ethnicity to support equity in IP and AMS programmes.</w:t>
            </w:r>
          </w:p>
          <w:p w14:paraId="7F3CFA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NM undertakes the role of infection prevention and control nurse (IPCN) to oversee infection control and prevention across the service and has done so for the last seven years. A job description outlines the responsibility of the role.</w:t>
            </w:r>
          </w:p>
          <w:p w14:paraId="6175DE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Access to IP and AMS support expertise is through the facility’s GP, the IP clinical nurse specialist from Te Whatu Ora Canterbury and Regional Public Health Canterbury.</w:t>
            </w:r>
          </w:p>
          <w:p w14:paraId="01E5DB00" w14:textId="77777777" w:rsidR="00EB7645" w:rsidRPr="00BE00C7" w:rsidRDefault="00000000" w:rsidP="00BE00C7">
            <w:pPr>
              <w:pStyle w:val="OutcomeDescription"/>
              <w:spacing w:before="120" w:after="120"/>
              <w:rPr>
                <w:rFonts w:cs="Arial"/>
                <w:lang w:eastAsia="en-NZ"/>
              </w:rPr>
            </w:pPr>
          </w:p>
        </w:tc>
      </w:tr>
      <w:tr w:rsidR="00003DC4" w14:paraId="750CBA1C" w14:textId="77777777">
        <w:tc>
          <w:tcPr>
            <w:tcW w:w="0" w:type="auto"/>
          </w:tcPr>
          <w:p w14:paraId="66B831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33D6B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64484F2" w14:textId="77777777" w:rsidR="00EB7645" w:rsidRPr="00BE00C7" w:rsidRDefault="00000000" w:rsidP="00BE00C7">
            <w:pPr>
              <w:pStyle w:val="OutcomeDescription"/>
              <w:spacing w:before="120" w:after="120"/>
              <w:rPr>
                <w:rFonts w:cs="Arial"/>
                <w:lang w:eastAsia="en-NZ"/>
              </w:rPr>
            </w:pPr>
          </w:p>
        </w:tc>
        <w:tc>
          <w:tcPr>
            <w:tcW w:w="0" w:type="auto"/>
          </w:tcPr>
          <w:p w14:paraId="2DAD003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EE49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was the IPCN at Bloomfields Court and was responsible for overseeing and implementing the IP and AM programme. There was no direct reporting of monthly data to the directors (refer criterion 2.1.4). The IP and AMS programmes were linked to the quality improvement programme that was reviewed and reported three-monthly and annually to staff. The IPCN had appropriate skills, knowledge and qualifications for the role and confirmed access to the necessary resources and support. Their advice had been sought when making decisions around procurement relevant to care delivery, facility changes, and policies.</w:t>
            </w:r>
          </w:p>
          <w:p w14:paraId="30752F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reflecting the requirements of the standard were provided by an external advisory company. Cultural advice at Bloomfields Court was accessed through the facility’s cultural advisors. Staff were familiar with policies through education during orientation, and ongoing education, and were observed following these correctly.</w:t>
            </w:r>
          </w:p>
          <w:p w14:paraId="1ABF0CED"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processes, and audits ensured that reusable and shared equipment was appropriately decontaminated using best practice guidelines. Individual-use items were discarded after being used.</w:t>
            </w:r>
          </w:p>
          <w:p w14:paraId="2E5F97EC"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Educational resources available in te reo Māori were accessible and understandable for Māori accessing services.</w:t>
            </w:r>
          </w:p>
          <w:p w14:paraId="2453F8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assessed. There were sufficient resources and personal protective equipment (PPE) available, stocks were sighted, and staff verified their availability at the interview. Staff had been trained in their use.</w:t>
            </w:r>
          </w:p>
          <w:p w14:paraId="4473EFF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educated about infection prevention in a manner that met their needs.</w:t>
            </w:r>
          </w:p>
          <w:p w14:paraId="2EC9213C" w14:textId="77777777" w:rsidR="00EB7645" w:rsidRPr="00BE00C7" w:rsidRDefault="00000000" w:rsidP="00BE00C7">
            <w:pPr>
              <w:pStyle w:val="OutcomeDescription"/>
              <w:spacing w:before="120" w:after="120"/>
              <w:rPr>
                <w:rFonts w:cs="Arial"/>
                <w:lang w:eastAsia="en-NZ"/>
              </w:rPr>
            </w:pPr>
          </w:p>
        </w:tc>
      </w:tr>
      <w:tr w:rsidR="00003DC4" w14:paraId="78B536E3" w14:textId="77777777">
        <w:tc>
          <w:tcPr>
            <w:tcW w:w="0" w:type="auto"/>
          </w:tcPr>
          <w:p w14:paraId="044CB0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D226A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C5ED300" w14:textId="77777777" w:rsidR="00EB7645" w:rsidRPr="00BE00C7" w:rsidRDefault="00000000" w:rsidP="00BE00C7">
            <w:pPr>
              <w:pStyle w:val="OutcomeDescription"/>
              <w:spacing w:before="120" w:after="120"/>
              <w:rPr>
                <w:rFonts w:cs="Arial"/>
                <w:lang w:eastAsia="en-NZ"/>
              </w:rPr>
            </w:pPr>
          </w:p>
        </w:tc>
        <w:tc>
          <w:tcPr>
            <w:tcW w:w="0" w:type="auto"/>
          </w:tcPr>
          <w:p w14:paraId="5CD1AC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C5FF19"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had a documented AMS programme in place that is committed to promoting the responsible use of antimicrobials. The AMS programme has been developed using the evidence-based expertise of an external advisory company and has been approved by the governing body. Policies and procedures were in place which complied with evidence-informed practice. The effectiveness of the AMS programme had been evaluated by monitoring the quality and quantity of antimicrobial use. Evidence was sighted of a reduction in the use of antibiotics and the identification of ongoing areas for improvement.</w:t>
            </w:r>
          </w:p>
          <w:p w14:paraId="30D8655C" w14:textId="77777777" w:rsidR="00EB7645" w:rsidRPr="00BE00C7" w:rsidRDefault="00000000" w:rsidP="00BE00C7">
            <w:pPr>
              <w:pStyle w:val="OutcomeDescription"/>
              <w:spacing w:before="120" w:after="120"/>
              <w:rPr>
                <w:rFonts w:cs="Arial"/>
                <w:lang w:eastAsia="en-NZ"/>
              </w:rPr>
            </w:pPr>
          </w:p>
        </w:tc>
      </w:tr>
      <w:tr w:rsidR="00003DC4" w14:paraId="325F80E1" w14:textId="77777777">
        <w:tc>
          <w:tcPr>
            <w:tcW w:w="0" w:type="auto"/>
          </w:tcPr>
          <w:p w14:paraId="5B0792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C9407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5F0292A" w14:textId="77777777" w:rsidR="00EB7645" w:rsidRPr="00BE00C7" w:rsidRDefault="00000000" w:rsidP="00BE00C7">
            <w:pPr>
              <w:pStyle w:val="OutcomeDescription"/>
              <w:spacing w:before="120" w:after="120"/>
              <w:rPr>
                <w:rFonts w:cs="Arial"/>
                <w:lang w:eastAsia="en-NZ"/>
              </w:rPr>
            </w:pPr>
          </w:p>
        </w:tc>
        <w:tc>
          <w:tcPr>
            <w:tcW w:w="0" w:type="auto"/>
          </w:tcPr>
          <w:p w14:paraId="496819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A8581D" w14:textId="77777777" w:rsidR="00EB7645" w:rsidRPr="00BE00C7" w:rsidRDefault="00000000" w:rsidP="00BE00C7">
            <w:pPr>
              <w:pStyle w:val="OutcomeDescription"/>
              <w:spacing w:before="120" w:after="120"/>
              <w:rPr>
                <w:rFonts w:cs="Arial"/>
                <w:lang w:eastAsia="en-NZ"/>
              </w:rPr>
            </w:pPr>
            <w:r w:rsidRPr="00BE00C7">
              <w:rPr>
                <w:rFonts w:cs="Arial"/>
                <w:lang w:eastAsia="en-NZ"/>
              </w:rPr>
              <w:t>Bloomfields Court undertook surveillance of infections appropriate to that recommended for long-term care facilities and this was in line with priorities defined in the infection control programme. The service used standardised surveillance definitions to identify and classify infection events that relate to the type of infection under surveillance.</w:t>
            </w:r>
          </w:p>
          <w:p w14:paraId="0A4924FC"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shared with staff but not governance (refer criterion 2.1.4). Surveillance data includes ethnicity data.</w:t>
            </w:r>
          </w:p>
          <w:p w14:paraId="331C7FDC"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whānau and these were documented.</w:t>
            </w:r>
          </w:p>
          <w:p w14:paraId="6761EA1E" w14:textId="77777777" w:rsidR="00EB7645" w:rsidRPr="00BE00C7" w:rsidRDefault="00000000" w:rsidP="00BE00C7">
            <w:pPr>
              <w:pStyle w:val="OutcomeDescription"/>
              <w:spacing w:before="120" w:after="120"/>
              <w:rPr>
                <w:rFonts w:cs="Arial"/>
                <w:lang w:eastAsia="en-NZ"/>
              </w:rPr>
            </w:pPr>
          </w:p>
        </w:tc>
      </w:tr>
      <w:tr w:rsidR="00003DC4" w14:paraId="40690FCE" w14:textId="77777777">
        <w:tc>
          <w:tcPr>
            <w:tcW w:w="0" w:type="auto"/>
          </w:tcPr>
          <w:p w14:paraId="14DFF48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EB3DE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05702081" w14:textId="77777777" w:rsidR="00EB7645" w:rsidRPr="00BE00C7" w:rsidRDefault="00000000" w:rsidP="00BE00C7">
            <w:pPr>
              <w:pStyle w:val="OutcomeDescription"/>
              <w:spacing w:before="120" w:after="120"/>
              <w:rPr>
                <w:rFonts w:cs="Arial"/>
                <w:lang w:eastAsia="en-NZ"/>
              </w:rPr>
            </w:pPr>
          </w:p>
        </w:tc>
        <w:tc>
          <w:tcPr>
            <w:tcW w:w="0" w:type="auto"/>
          </w:tcPr>
          <w:p w14:paraId="399BA4E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311A9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at Bloomfields Court requires attention in a number of areas, to ensure it remains clean and safe (refer criterion 5.5.3).</w:t>
            </w:r>
          </w:p>
          <w:p w14:paraId="7795ED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throughout the rest of the facility supported the prevention of infection and transmission of antimicrobial-resistant organisms at Bloomfields Court. Suitable personal protective equipment was provided to those managing contaminated material, waste, and hazardous substances, and those who perform cleaning and laundering roles. Safe and secure </w:t>
            </w:r>
            <w:r w:rsidRPr="00BE00C7">
              <w:rPr>
                <w:rFonts w:cs="Arial"/>
                <w:lang w:eastAsia="en-NZ"/>
              </w:rPr>
              <w:lastRenderedPageBreak/>
              <w:t>storage areas were available, and staff had appropriate and adequate access, as required. With the exception of the kitchen (refer criterion 5.5.3), chemicals were labelled and stored safely within these areas, with a closed system in place. Sluice rooms were available for the disposal of soiled water/waste. Hand washing facilities and hand sterilising gel were available throughout the facility.</w:t>
            </w:r>
          </w:p>
          <w:p w14:paraId="4DBA13F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w:t>
            </w:r>
          </w:p>
          <w:p w14:paraId="769D0BE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was laundered on-site including residents’ personal clothing.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their being laundered.</w:t>
            </w:r>
          </w:p>
          <w:p w14:paraId="01DE6B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Clear separation of the use of clean and dirty items was observed. Designated access was provided to maintain the safe storage of cleaning chemicals and cleaning equipment.</w:t>
            </w:r>
          </w:p>
          <w:p w14:paraId="4CD27591"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had completed relevant training and were observed to perform duties safely.</w:t>
            </w:r>
          </w:p>
          <w:p w14:paraId="40F5233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reported that the laundry was managed well, and the facility was kept clean and tidy. This was confirmed through interviews, documentation, and observation.</w:t>
            </w:r>
          </w:p>
          <w:p w14:paraId="175559F7" w14:textId="77777777" w:rsidR="00EB7645" w:rsidRPr="00BE00C7" w:rsidRDefault="00000000" w:rsidP="00BE00C7">
            <w:pPr>
              <w:pStyle w:val="OutcomeDescription"/>
              <w:spacing w:before="120" w:after="120"/>
              <w:rPr>
                <w:rFonts w:cs="Arial"/>
                <w:lang w:eastAsia="en-NZ"/>
              </w:rPr>
            </w:pPr>
          </w:p>
        </w:tc>
      </w:tr>
      <w:tr w:rsidR="00003DC4" w14:paraId="18209CD0" w14:textId="77777777">
        <w:tc>
          <w:tcPr>
            <w:tcW w:w="0" w:type="auto"/>
          </w:tcPr>
          <w:p w14:paraId="199018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8111E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53C1EA5E" w14:textId="77777777" w:rsidR="00EB7645" w:rsidRPr="00BE00C7" w:rsidRDefault="00000000" w:rsidP="00BE00C7">
            <w:pPr>
              <w:pStyle w:val="OutcomeDescription"/>
              <w:spacing w:before="120" w:after="120"/>
              <w:rPr>
                <w:rFonts w:cs="Arial"/>
                <w:lang w:eastAsia="en-NZ"/>
              </w:rPr>
            </w:pPr>
          </w:p>
        </w:tc>
        <w:tc>
          <w:tcPr>
            <w:tcW w:w="0" w:type="auto"/>
          </w:tcPr>
          <w:p w14:paraId="5148FAA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C5B9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restraint has never been used in the service. At the time of audit, no residents were noted to be using a restraint. If restraint were to be used to promote safety, it would be used as a last resort when all alternatives have been explored. At all times when restraint is </w:t>
            </w:r>
            <w:r w:rsidRPr="00BE00C7">
              <w:rPr>
                <w:rFonts w:cs="Arial"/>
                <w:lang w:eastAsia="en-NZ"/>
              </w:rPr>
              <w:lastRenderedPageBreak/>
              <w:t>considered, the facility would work in partnership with Māori, to promote and ensure services are mana enhancing. Restraint is included in the minutes from staff and management meetings, but not reported to governance. Should restraint be used, this would be seen as a significant event and would be reported to the owners of the facility.</w:t>
            </w:r>
          </w:p>
          <w:p w14:paraId="776D50D5"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and meet the requirements of the standards. The restraint coordinator is a defined role, undertaken by the EN (under the direction and delegation of the NM), providing support and oversight for restraint management should this be required. Maintaining a restraint-free environment is included as part of the education and training plan. Staff have been trained in the least restrictive practice, safe restraint practice, alternative cultural-specific interventions, de-escalation techniques, and restraint monitoring. Staff interviewed were knowledgeable about the restraint processes and the oversight required if restraint was in use.</w:t>
            </w:r>
          </w:p>
          <w:p w14:paraId="37C2F5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approval group, which includes the restraint coordinator (the EN), the NM, and the resident’s GP, would be responsible for the approval of the use of restraints and restraint processes should these be required. There are clear lines of accountability, all restraints have to be approved, and the overall use of restraint then monitored and analysed. Processes require that whānau/EPOA participate in decision-making.</w:t>
            </w:r>
          </w:p>
          <w:p w14:paraId="4D431F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interviewed described the focus on maintaining a restraint-free environment and stated the owner is supportive of providing equipment resources to ensure a restraint-free environment. The prospective provider also supports a restraint-free environment and reports that they will maintain the policies and processes in place and equipment to alleviate the need for the use of restraint.</w:t>
            </w:r>
          </w:p>
          <w:p w14:paraId="232F6323"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no restraint is being used in the facility, subsections 6.2 and 6.3 are not applicable and have not been audited.</w:t>
            </w:r>
          </w:p>
          <w:p w14:paraId="6BFB05F6" w14:textId="77777777" w:rsidR="00EB7645" w:rsidRPr="00BE00C7" w:rsidRDefault="00000000" w:rsidP="00BE00C7">
            <w:pPr>
              <w:pStyle w:val="OutcomeDescription"/>
              <w:spacing w:before="120" w:after="120"/>
              <w:rPr>
                <w:rFonts w:cs="Arial"/>
                <w:lang w:eastAsia="en-NZ"/>
              </w:rPr>
            </w:pPr>
          </w:p>
        </w:tc>
      </w:tr>
    </w:tbl>
    <w:p w14:paraId="362CA783" w14:textId="77777777" w:rsidR="00EB7645" w:rsidRPr="00BE00C7" w:rsidRDefault="00000000" w:rsidP="00BE00C7">
      <w:pPr>
        <w:pStyle w:val="OutcomeDescription"/>
        <w:spacing w:before="120" w:after="120"/>
        <w:rPr>
          <w:rFonts w:cs="Arial"/>
          <w:lang w:eastAsia="en-NZ"/>
        </w:rPr>
      </w:pPr>
      <w:bookmarkStart w:id="45" w:name="AuditSummaryAttainment"/>
      <w:bookmarkEnd w:id="45"/>
    </w:p>
    <w:p w14:paraId="6A231F29" w14:textId="77777777" w:rsidR="00460D43" w:rsidRDefault="00000000">
      <w:pPr>
        <w:pStyle w:val="Heading1"/>
        <w:rPr>
          <w:rFonts w:cs="Arial"/>
        </w:rPr>
      </w:pPr>
      <w:r>
        <w:rPr>
          <w:rFonts w:cs="Arial"/>
        </w:rPr>
        <w:lastRenderedPageBreak/>
        <w:t>Specific results for criterion where corrective actions are required</w:t>
      </w:r>
    </w:p>
    <w:p w14:paraId="606F482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830CFD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3A2881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302"/>
        <w:gridCol w:w="3369"/>
        <w:gridCol w:w="3431"/>
        <w:gridCol w:w="3247"/>
      </w:tblGrid>
      <w:tr w:rsidR="00003DC4" w14:paraId="4E4C9D02" w14:textId="77777777">
        <w:tc>
          <w:tcPr>
            <w:tcW w:w="0" w:type="auto"/>
          </w:tcPr>
          <w:p w14:paraId="3D4B55B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23F71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CA19C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84A94A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364D9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03DC4" w14:paraId="132AF2CD" w14:textId="77777777">
        <w:tc>
          <w:tcPr>
            <w:tcW w:w="0" w:type="auto"/>
          </w:tcPr>
          <w:p w14:paraId="6C30442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2.1.4</w:t>
            </w:r>
          </w:p>
          <w:p w14:paraId="12B41BC9"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evidence leadership and commitment to the quality and risk management system.</w:t>
            </w:r>
          </w:p>
        </w:tc>
        <w:tc>
          <w:tcPr>
            <w:tcW w:w="0" w:type="auto"/>
          </w:tcPr>
          <w:p w14:paraId="229AB2B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3C779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no formalised reporting of quality and risk data and/or information to the governing body. The NM supplied documentation to the governing body (approximately 12-18 months ago through an executive representing the directors) of information the NM thought the governing body should be receiving. No reporting mechanism was put into place and the governing body has not been receiving information on Bloomfields Court quality and risk activities.</w:t>
            </w:r>
          </w:p>
          <w:p w14:paraId="367C3F71" w14:textId="77777777" w:rsidR="00EB7645" w:rsidRPr="00BE00C7" w:rsidRDefault="00000000" w:rsidP="00BE00C7">
            <w:pPr>
              <w:pStyle w:val="OutcomeDescription"/>
              <w:spacing w:before="120" w:after="120"/>
              <w:rPr>
                <w:rFonts w:cs="Arial"/>
                <w:lang w:eastAsia="en-NZ"/>
              </w:rPr>
            </w:pPr>
          </w:p>
        </w:tc>
        <w:tc>
          <w:tcPr>
            <w:tcW w:w="0" w:type="auto"/>
          </w:tcPr>
          <w:p w14:paraId="579AA9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lack of reporting quality and risk activities to the governing body has compromised the governing body’s leadership and commitment to the quality and risk management system.</w:t>
            </w:r>
          </w:p>
          <w:p w14:paraId="636DBF40" w14:textId="77777777" w:rsidR="00EB7645" w:rsidRPr="00BE00C7" w:rsidRDefault="00000000" w:rsidP="00BE00C7">
            <w:pPr>
              <w:pStyle w:val="OutcomeDescription"/>
              <w:spacing w:before="120" w:after="120"/>
              <w:rPr>
                <w:rFonts w:cs="Arial"/>
                <w:lang w:eastAsia="en-NZ"/>
              </w:rPr>
            </w:pPr>
          </w:p>
        </w:tc>
        <w:tc>
          <w:tcPr>
            <w:tcW w:w="0" w:type="auto"/>
          </w:tcPr>
          <w:p w14:paraId="044ED81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to show that quality and risk activities are being provided to the governing body to support leadership and commitment to the quality and risk management system.</w:t>
            </w:r>
          </w:p>
          <w:p w14:paraId="5FC3A12C" w14:textId="77777777" w:rsidR="00EB7645" w:rsidRPr="00BE00C7" w:rsidRDefault="00000000" w:rsidP="00BE00C7">
            <w:pPr>
              <w:pStyle w:val="OutcomeDescription"/>
              <w:spacing w:before="120" w:after="120"/>
              <w:rPr>
                <w:rFonts w:cs="Arial"/>
                <w:lang w:eastAsia="en-NZ"/>
              </w:rPr>
            </w:pPr>
          </w:p>
          <w:p w14:paraId="6F0AFA2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03DC4" w14:paraId="5B1F018F" w14:textId="77777777">
        <w:tc>
          <w:tcPr>
            <w:tcW w:w="0" w:type="auto"/>
          </w:tcPr>
          <w:p w14:paraId="71B14D1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2.1.8</w:t>
            </w:r>
          </w:p>
          <w:p w14:paraId="39E7EC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Governance bodies shall support people receiving services and whānau to participate in the planning, implementation, monitoring, and evaluation of service delivery.</w:t>
            </w:r>
          </w:p>
        </w:tc>
        <w:tc>
          <w:tcPr>
            <w:tcW w:w="0" w:type="auto"/>
          </w:tcPr>
          <w:p w14:paraId="115DA0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E5C9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and procedure require three-monthly resident meetings and </w:t>
            </w:r>
            <w:r w:rsidRPr="00BE00C7">
              <w:rPr>
                <w:rFonts w:cs="Arial"/>
                <w:lang w:eastAsia="en-NZ"/>
              </w:rPr>
              <w:lastRenderedPageBreak/>
              <w:t>annual satisfaction surveys. Resident meetings and resident satisfaction surveys have been sporadic at Bloomfields Court, limiting the ability of residents (including tāngata whaikaha) to provide service feedback. There was one resident meeting in February 2023, none in 2022, and three in 2021 (February, June, and October). A resident satisfaction survey was conducted in 2024 (but not the two years prior). Results from the satisfaction survey (16 respondents), and the food audit also conducted in 2024 (11 respondents) were mostly positive; the main concerns raised were related to information available to residents (4 respondents) and communication (3 respondents). Interviews with residents and whānau during the audit supported satisfaction in the service in most instances and the ability to express concerns to the NM directly should they wish to do so.</w:t>
            </w:r>
          </w:p>
          <w:p w14:paraId="3D6CF98B" w14:textId="77777777" w:rsidR="00EB7645" w:rsidRPr="00BE00C7" w:rsidRDefault="00000000" w:rsidP="00BE00C7">
            <w:pPr>
              <w:pStyle w:val="OutcomeDescription"/>
              <w:spacing w:before="120" w:after="120"/>
              <w:rPr>
                <w:rFonts w:cs="Arial"/>
                <w:lang w:eastAsia="en-NZ"/>
              </w:rPr>
            </w:pPr>
          </w:p>
        </w:tc>
        <w:tc>
          <w:tcPr>
            <w:tcW w:w="0" w:type="auto"/>
          </w:tcPr>
          <w:p w14:paraId="18AE24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Governance has no processes in place to monitor the participation of </w:t>
            </w:r>
            <w:r w:rsidRPr="00BE00C7">
              <w:rPr>
                <w:rFonts w:cs="Arial"/>
                <w:lang w:eastAsia="en-NZ"/>
              </w:rPr>
              <w:lastRenderedPageBreak/>
              <w:t>residents and whānau in the planning, implementation, monitoring, and evaluation of service delivery. It does not receive information related to resident feedback of the services it delivers and does not monitor resident and whānau satisfaction in the facility.</w:t>
            </w:r>
          </w:p>
          <w:p w14:paraId="6BA84ABF" w14:textId="77777777" w:rsidR="00EB7645" w:rsidRPr="00BE00C7" w:rsidRDefault="00000000" w:rsidP="00BE00C7">
            <w:pPr>
              <w:pStyle w:val="OutcomeDescription"/>
              <w:spacing w:before="120" w:after="120"/>
              <w:rPr>
                <w:rFonts w:cs="Arial"/>
                <w:lang w:eastAsia="en-NZ"/>
              </w:rPr>
            </w:pPr>
          </w:p>
        </w:tc>
        <w:tc>
          <w:tcPr>
            <w:tcW w:w="0" w:type="auto"/>
          </w:tcPr>
          <w:p w14:paraId="324882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the governing body has a process in </w:t>
            </w:r>
            <w:r w:rsidRPr="00BE00C7">
              <w:rPr>
                <w:rFonts w:cs="Arial"/>
                <w:lang w:eastAsia="en-NZ"/>
              </w:rPr>
              <w:lastRenderedPageBreak/>
              <w:t>place to monitor the participation of residents and whānau in the planning, implementation, monitoring, and evaluation of service delivery, including receiving information from the resident meetings and resident satisfaction surveys.</w:t>
            </w:r>
          </w:p>
          <w:p w14:paraId="22BFEE42" w14:textId="77777777" w:rsidR="00EB7645" w:rsidRPr="00BE00C7" w:rsidRDefault="00000000" w:rsidP="00BE00C7">
            <w:pPr>
              <w:pStyle w:val="OutcomeDescription"/>
              <w:spacing w:before="120" w:after="120"/>
              <w:rPr>
                <w:rFonts w:cs="Arial"/>
                <w:lang w:eastAsia="en-NZ"/>
              </w:rPr>
            </w:pPr>
          </w:p>
          <w:p w14:paraId="382413F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03DC4" w14:paraId="099E1ED8" w14:textId="77777777">
        <w:tc>
          <w:tcPr>
            <w:tcW w:w="0" w:type="auto"/>
          </w:tcPr>
          <w:p w14:paraId="4F8BBD7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3EEF608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0056278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43656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a requirement for internal audit activities. Audits in 2023 were completed to the schedule. There is an internal audit schedule for 2024 in place, but nine (from 16) </w:t>
            </w:r>
            <w:r w:rsidRPr="00BE00C7">
              <w:rPr>
                <w:rFonts w:cs="Arial"/>
                <w:lang w:eastAsia="en-NZ"/>
              </w:rPr>
              <w:lastRenderedPageBreak/>
              <w:t>audits scheduled between January and March 2024, have not been completed. Two of the seven audits that were completed had deficits identified but neither had corrective actions fully described. Outcomes from the internal audits that were completed were shared with staff at staff meetings in the staff meeting minutes sighted.</w:t>
            </w:r>
          </w:p>
          <w:p w14:paraId="3397E604" w14:textId="77777777" w:rsidR="00EB7645" w:rsidRPr="00BE00C7" w:rsidRDefault="00000000" w:rsidP="00BE00C7">
            <w:pPr>
              <w:pStyle w:val="OutcomeDescription"/>
              <w:spacing w:before="120" w:after="120"/>
              <w:rPr>
                <w:rFonts w:cs="Arial"/>
                <w:lang w:eastAsia="en-NZ"/>
              </w:rPr>
            </w:pPr>
          </w:p>
        </w:tc>
        <w:tc>
          <w:tcPr>
            <w:tcW w:w="0" w:type="auto"/>
          </w:tcPr>
          <w:p w14:paraId="655FE6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Internal audits are not being completed to the schedule; corrective actions are not being fully described.</w:t>
            </w:r>
          </w:p>
          <w:p w14:paraId="2B1E8FFB" w14:textId="77777777" w:rsidR="00EB7645" w:rsidRPr="00BE00C7" w:rsidRDefault="00000000" w:rsidP="00BE00C7">
            <w:pPr>
              <w:pStyle w:val="OutcomeDescription"/>
              <w:spacing w:before="120" w:after="120"/>
              <w:rPr>
                <w:rFonts w:cs="Arial"/>
                <w:lang w:eastAsia="en-NZ"/>
              </w:rPr>
            </w:pPr>
          </w:p>
        </w:tc>
        <w:tc>
          <w:tcPr>
            <w:tcW w:w="0" w:type="auto"/>
          </w:tcPr>
          <w:p w14:paraId="4E864CE0"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internal audits are being completed to the schedule and that corrective actions are being fully described.</w:t>
            </w:r>
          </w:p>
          <w:p w14:paraId="11400C2A" w14:textId="77777777" w:rsidR="00EB7645" w:rsidRPr="00BE00C7" w:rsidRDefault="00000000" w:rsidP="00BE00C7">
            <w:pPr>
              <w:pStyle w:val="OutcomeDescription"/>
              <w:spacing w:before="120" w:after="120"/>
              <w:rPr>
                <w:rFonts w:cs="Arial"/>
                <w:lang w:eastAsia="en-NZ"/>
              </w:rPr>
            </w:pPr>
          </w:p>
          <w:p w14:paraId="611F521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03DC4" w14:paraId="7C42A9A1" w14:textId="77777777">
        <w:tc>
          <w:tcPr>
            <w:tcW w:w="0" w:type="auto"/>
          </w:tcPr>
          <w:p w14:paraId="1212050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2.5.2</w:t>
            </w:r>
          </w:p>
          <w:p w14:paraId="5858D9F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maintain an information management system that:</w:t>
            </w:r>
            <w:r w:rsidRPr="00BE00C7">
              <w:rPr>
                <w:rFonts w:cs="Arial"/>
                <w:lang w:eastAsia="en-NZ"/>
              </w:rPr>
              <w:br/>
              <w:t>(a) Ensures the captured data is collected and stored through a centralised system to reduce multiple copies or versions, inconsistencies, and duplication;</w:t>
            </w:r>
            <w:r w:rsidRPr="00BE00C7">
              <w:rPr>
                <w:rFonts w:cs="Arial"/>
                <w:lang w:eastAsia="en-NZ"/>
              </w:rPr>
              <w:br/>
              <w:t>(b) Makes the information manageable;</w:t>
            </w:r>
            <w:r w:rsidRPr="00BE00C7">
              <w:rPr>
                <w:rFonts w:cs="Arial"/>
                <w:lang w:eastAsia="en-NZ"/>
              </w:rPr>
              <w:br/>
              <w:t>(c) Ensures the information is accessible for all those who need it;</w:t>
            </w:r>
            <w:r w:rsidRPr="00BE00C7">
              <w:rPr>
                <w:rFonts w:cs="Arial"/>
                <w:lang w:eastAsia="en-NZ"/>
              </w:rPr>
              <w:br/>
              <w:t>(d) Complies with relevant legislation;</w:t>
            </w:r>
            <w:r w:rsidRPr="00BE00C7">
              <w:rPr>
                <w:rFonts w:cs="Arial"/>
                <w:lang w:eastAsia="en-NZ"/>
              </w:rPr>
              <w:br/>
              <w:t>(e) Integrates an individual’s health and support records.</w:t>
            </w:r>
          </w:p>
          <w:p w14:paraId="63AE46BF" w14:textId="77777777" w:rsidR="00EB7645" w:rsidRPr="00BE00C7" w:rsidRDefault="00000000" w:rsidP="00BE00C7">
            <w:pPr>
              <w:pStyle w:val="OutcomeDescription"/>
              <w:spacing w:before="120" w:after="120"/>
              <w:rPr>
                <w:rFonts w:cs="Arial"/>
                <w:lang w:eastAsia="en-NZ"/>
              </w:rPr>
            </w:pPr>
          </w:p>
        </w:tc>
        <w:tc>
          <w:tcPr>
            <w:tcW w:w="0" w:type="auto"/>
          </w:tcPr>
          <w:p w14:paraId="2FDCF6D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AF552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Facility information (policy and procedures), ongoing review of residents’ files (particularly interRAI assessments), and resident-centred processes (including medication management) were compromised due to an intermittent fault in the provision of internet to the site. Bloomfields Court has fibre internet installed, and extra routers have been wired in to the facility. The NM is aware of the issue and has been working with the information technology contactor used by the service to try to address this. The effect of this is that current policy and procedure information is not readily available to staff via the electronic policy and procedure platform (current hard-copy policies and procedures were out-of-date). Resident information through the interRAI process was not completed (refer also subsection 3.2), and the electronic medication system operated slowly </w:t>
            </w:r>
            <w:r w:rsidRPr="00BE00C7">
              <w:rPr>
                <w:rFonts w:cs="Arial"/>
                <w:lang w:eastAsia="en-NZ"/>
              </w:rPr>
              <w:lastRenderedPageBreak/>
              <w:t>and erratically due to the sporadic internet coverage (refer also subsection 3.4). At times, staff had to use their personal cell phones to access the internet and the medication system; this is a potential security risk.</w:t>
            </w:r>
          </w:p>
          <w:p w14:paraId="4077F4AC" w14:textId="77777777" w:rsidR="00EB7645" w:rsidRPr="00BE00C7" w:rsidRDefault="00000000" w:rsidP="00BE00C7">
            <w:pPr>
              <w:pStyle w:val="OutcomeDescription"/>
              <w:spacing w:before="120" w:after="120"/>
              <w:rPr>
                <w:rFonts w:cs="Arial"/>
                <w:lang w:eastAsia="en-NZ"/>
              </w:rPr>
            </w:pPr>
          </w:p>
        </w:tc>
        <w:tc>
          <w:tcPr>
            <w:tcW w:w="0" w:type="auto"/>
          </w:tcPr>
          <w:p w14:paraId="54F239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erratic nature of fibre internet connection is compromising the ability of the staff to get up-to-date policy and procedure information from the electronic portal. interRAI assessments for residents have been compromised by lack of internet service. Access to the medication management portal is compromised by slow and/or erratic internet availability. Use of personal cell phones to access the electronic medication system is a potential security risk.</w:t>
            </w:r>
          </w:p>
          <w:p w14:paraId="6BA467CC" w14:textId="77777777" w:rsidR="00EB7645" w:rsidRPr="00BE00C7" w:rsidRDefault="00000000" w:rsidP="00BE00C7">
            <w:pPr>
              <w:pStyle w:val="OutcomeDescription"/>
              <w:spacing w:before="120" w:after="120"/>
              <w:rPr>
                <w:rFonts w:cs="Arial"/>
                <w:lang w:eastAsia="en-NZ"/>
              </w:rPr>
            </w:pPr>
          </w:p>
        </w:tc>
        <w:tc>
          <w:tcPr>
            <w:tcW w:w="0" w:type="auto"/>
          </w:tcPr>
          <w:p w14:paraId="1D2EFA3E"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work is ongoing to remediate the inconsistent internet performance and availability. Provide evidence that staff have been advised to use the electronic medication management system ‘offline’ to administer medications (entries upload when internet is available) rather than their personal cell phones.</w:t>
            </w:r>
          </w:p>
          <w:p w14:paraId="2E42DD30" w14:textId="77777777" w:rsidR="00EB7645" w:rsidRPr="00BE00C7" w:rsidRDefault="00000000" w:rsidP="00BE00C7">
            <w:pPr>
              <w:pStyle w:val="OutcomeDescription"/>
              <w:spacing w:before="120" w:after="120"/>
              <w:rPr>
                <w:rFonts w:cs="Arial"/>
                <w:lang w:eastAsia="en-NZ"/>
              </w:rPr>
            </w:pPr>
          </w:p>
          <w:p w14:paraId="562C4AE9"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003DC4" w14:paraId="2A3ACF14" w14:textId="77777777">
        <w:tc>
          <w:tcPr>
            <w:tcW w:w="0" w:type="auto"/>
          </w:tcPr>
          <w:p w14:paraId="24726F4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55242FA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6844848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79D73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administration of a regular CD medication when there was only one care staff on duty, occurred by the care staff administering a CD that was checked and signed out of the CD register by two other staff (an RN or EN and a medication competent care provider), and left for the care staff member on duty to give at the allocated time. The two staff who signed the medication out were not able to verify the correct drug, nor whether the correct dose was given to the correct resident at the correct time. The care staff member administering did not check the CD medication out from the CD safe. The staff member conducting this process was deemed competent to administer medications; however, this practice contradicted the requirements of competent medication management. Interviews verified the RN and EN, knew this practice did not meet the guidelines, however staffing did not permit the correct process to be carried out. Interviews verified this </w:t>
            </w:r>
            <w:r w:rsidRPr="00BE00C7">
              <w:rPr>
                <w:rFonts w:cs="Arial"/>
                <w:lang w:eastAsia="en-NZ"/>
              </w:rPr>
              <w:lastRenderedPageBreak/>
              <w:t>was a frequent occurrence, due to only one staff member being on duty at the time the CD was required to be administered. The NM was to discuss with the GP an alternative medication regime, so this practice could be stopped. A review of eight medication error incidents (none around CDs) noted no review of medication competency was undertaken as part of the incident review process.</w:t>
            </w:r>
          </w:p>
          <w:p w14:paraId="5E621FDF" w14:textId="77777777" w:rsidR="00EB7645" w:rsidRPr="00BE00C7" w:rsidRDefault="00000000" w:rsidP="00BE00C7">
            <w:pPr>
              <w:pStyle w:val="OutcomeDescription"/>
              <w:spacing w:before="120" w:after="120"/>
              <w:rPr>
                <w:rFonts w:cs="Arial"/>
                <w:lang w:eastAsia="en-NZ"/>
              </w:rPr>
            </w:pPr>
          </w:p>
        </w:tc>
        <w:tc>
          <w:tcPr>
            <w:tcW w:w="0" w:type="auto"/>
          </w:tcPr>
          <w:p w14:paraId="756D90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administration of controlled drugs (CD), when there is only one staff member on duty, does not meet safe medication management guidelines. Staff administering the CD, using this process, though deemed competent, are not meeting medication competency guidelines. Medication competencies are not reviewed following medication errors.</w:t>
            </w:r>
          </w:p>
          <w:p w14:paraId="075A785A" w14:textId="77777777" w:rsidR="00EB7645" w:rsidRPr="00BE00C7" w:rsidRDefault="00000000" w:rsidP="00BE00C7">
            <w:pPr>
              <w:pStyle w:val="OutcomeDescription"/>
              <w:spacing w:before="120" w:after="120"/>
              <w:rPr>
                <w:rFonts w:cs="Arial"/>
                <w:lang w:eastAsia="en-NZ"/>
              </w:rPr>
            </w:pPr>
          </w:p>
        </w:tc>
        <w:tc>
          <w:tcPr>
            <w:tcW w:w="0" w:type="auto"/>
          </w:tcPr>
          <w:p w14:paraId="34C7CC1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CDs are administered in accordance with safe medication management guidelines and legislative requirements. Provide evidence staff administering CDs practice in accordance with medication competency guidelines and that medication competencies are checked following any medication error.</w:t>
            </w:r>
          </w:p>
          <w:p w14:paraId="6FEC8AEE" w14:textId="77777777" w:rsidR="00EB7645" w:rsidRPr="00BE00C7" w:rsidRDefault="00000000" w:rsidP="00BE00C7">
            <w:pPr>
              <w:pStyle w:val="OutcomeDescription"/>
              <w:spacing w:before="120" w:after="120"/>
              <w:rPr>
                <w:rFonts w:cs="Arial"/>
                <w:lang w:eastAsia="en-NZ"/>
              </w:rPr>
            </w:pPr>
          </w:p>
          <w:p w14:paraId="609AB5BC"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003DC4" w14:paraId="2663300B" w14:textId="77777777">
        <w:tc>
          <w:tcPr>
            <w:tcW w:w="0" w:type="auto"/>
          </w:tcPr>
          <w:p w14:paraId="2D270DA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4.2.5</w:t>
            </w:r>
          </w:p>
          <w:p w14:paraId="4E4496C4"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3858ACC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CE924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call bell system model at Bloomfields Court is an older model and not always reliable. This was checked on both of the days of audit to ensure that this was not a ‘one off’ error. When the call bell is pushed, an indicator light lights up outside the room and at the end of each wing (there are three wings) to direct staff to the area of the call bell. On one of the days of audit a call bell was tested. Once activated, the light outside the room lit up but the light indicating the wing where the call bell originated from, did not light up to guide staff. This was again tested the following day. The call bell tested on the first day of audit had evidence of ‘fraying’ at the resident end of the call bell cord. It took several ‘pushes’ for the call bell to activate. The room was not occupied on the day the call bell </w:t>
            </w:r>
            <w:r w:rsidRPr="00BE00C7">
              <w:rPr>
                <w:rFonts w:cs="Arial"/>
                <w:lang w:eastAsia="en-NZ"/>
              </w:rPr>
              <w:lastRenderedPageBreak/>
              <w:t>was checked and the bell was then removed for repair or replacement; other call bells checked on the day (in other wings) operated as they should. Call bell audits are part of the internal audit schedule, but these had not been carried out in 2024.</w:t>
            </w:r>
          </w:p>
          <w:p w14:paraId="5725B87D" w14:textId="77777777" w:rsidR="00EB7645" w:rsidRPr="00BE00C7" w:rsidRDefault="00000000" w:rsidP="00BE00C7">
            <w:pPr>
              <w:pStyle w:val="OutcomeDescription"/>
              <w:spacing w:before="120" w:after="120"/>
              <w:rPr>
                <w:rFonts w:cs="Arial"/>
                <w:lang w:eastAsia="en-NZ"/>
              </w:rPr>
            </w:pPr>
          </w:p>
        </w:tc>
        <w:tc>
          <w:tcPr>
            <w:tcW w:w="0" w:type="auto"/>
          </w:tcPr>
          <w:p w14:paraId="5D237B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call bell system at Bloomfields Court is not always reliable.</w:t>
            </w:r>
          </w:p>
          <w:p w14:paraId="3533EA20" w14:textId="77777777" w:rsidR="00EB7645" w:rsidRPr="00BE00C7" w:rsidRDefault="00000000" w:rsidP="00BE00C7">
            <w:pPr>
              <w:pStyle w:val="OutcomeDescription"/>
              <w:spacing w:before="120" w:after="120"/>
              <w:rPr>
                <w:rFonts w:cs="Arial"/>
                <w:lang w:eastAsia="en-NZ"/>
              </w:rPr>
            </w:pPr>
          </w:p>
        </w:tc>
        <w:tc>
          <w:tcPr>
            <w:tcW w:w="0" w:type="auto"/>
          </w:tcPr>
          <w:p w14:paraId="23A9B002"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 reliable call bell system is available at Bloomfields Court.</w:t>
            </w:r>
          </w:p>
          <w:p w14:paraId="3FD20329" w14:textId="77777777" w:rsidR="00EB7645" w:rsidRPr="00BE00C7" w:rsidRDefault="00000000" w:rsidP="00BE00C7">
            <w:pPr>
              <w:pStyle w:val="OutcomeDescription"/>
              <w:spacing w:before="120" w:after="120"/>
              <w:rPr>
                <w:rFonts w:cs="Arial"/>
                <w:lang w:eastAsia="en-NZ"/>
              </w:rPr>
            </w:pPr>
          </w:p>
          <w:p w14:paraId="76D00BD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03DC4" w14:paraId="09678D47" w14:textId="77777777">
        <w:tc>
          <w:tcPr>
            <w:tcW w:w="0" w:type="auto"/>
          </w:tcPr>
          <w:p w14:paraId="4636D01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5.5.3</w:t>
            </w:r>
          </w:p>
          <w:p w14:paraId="3FD8ED4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00127843" w14:textId="77777777" w:rsidR="00EB7645" w:rsidRPr="00BE00C7" w:rsidRDefault="00000000" w:rsidP="00BE00C7">
            <w:pPr>
              <w:pStyle w:val="OutcomeDescription"/>
              <w:spacing w:before="120" w:after="120"/>
              <w:rPr>
                <w:rFonts w:cs="Arial"/>
                <w:lang w:eastAsia="en-NZ"/>
              </w:rPr>
            </w:pPr>
          </w:p>
        </w:tc>
        <w:tc>
          <w:tcPr>
            <w:tcW w:w="0" w:type="auto"/>
          </w:tcPr>
          <w:p w14:paraId="5F9C44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90881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at Bloomfields Court was accessible to residents and staff. The chemicals feeding the dishwasher were not stored securely. Several areas in the kitchen were noted to have paint or varnish flaking off, making cleaning difficult. This is an area requiring attention.</w:t>
            </w:r>
          </w:p>
          <w:p w14:paraId="266E636E" w14:textId="77777777" w:rsidR="00EB7645" w:rsidRPr="00BE00C7" w:rsidRDefault="00000000" w:rsidP="00BE00C7">
            <w:pPr>
              <w:pStyle w:val="OutcomeDescription"/>
              <w:spacing w:before="120" w:after="120"/>
              <w:rPr>
                <w:rFonts w:cs="Arial"/>
                <w:lang w:eastAsia="en-NZ"/>
              </w:rPr>
            </w:pPr>
          </w:p>
        </w:tc>
        <w:tc>
          <w:tcPr>
            <w:tcW w:w="0" w:type="auto"/>
          </w:tcPr>
          <w:p w14:paraId="73E93B1D" w14:textId="77777777" w:rsidR="00EB7645" w:rsidRPr="00BE00C7" w:rsidRDefault="00000000" w:rsidP="00BE00C7">
            <w:pPr>
              <w:pStyle w:val="OutcomeDescription"/>
              <w:spacing w:before="120" w:after="120"/>
              <w:rPr>
                <w:rFonts w:cs="Arial"/>
                <w:lang w:eastAsia="en-NZ"/>
              </w:rPr>
            </w:pPr>
            <w:r w:rsidRPr="00BE00C7">
              <w:rPr>
                <w:rFonts w:cs="Arial"/>
                <w:lang w:eastAsia="en-NZ"/>
              </w:rPr>
              <w:t>Chemicals that feed the dishwasher in the kitchen were not stored securely. Chipped paint and varnished surfaces in the kitchen did not support easy cleaning.</w:t>
            </w:r>
          </w:p>
          <w:p w14:paraId="558DC4AA" w14:textId="77777777" w:rsidR="00EB7645" w:rsidRPr="00BE00C7" w:rsidRDefault="00000000" w:rsidP="00BE00C7">
            <w:pPr>
              <w:pStyle w:val="OutcomeDescription"/>
              <w:spacing w:before="120" w:after="120"/>
              <w:rPr>
                <w:rFonts w:cs="Arial"/>
                <w:lang w:eastAsia="en-NZ"/>
              </w:rPr>
            </w:pPr>
          </w:p>
        </w:tc>
        <w:tc>
          <w:tcPr>
            <w:tcW w:w="0" w:type="auto"/>
          </w:tcPr>
          <w:p w14:paraId="3ABE94C9"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chemicals that feed the dishwasher in the kitchen are stored securely and that chipped paint and varnished surfaces in the kitchen have been repaired to support easy cleaning.</w:t>
            </w:r>
          </w:p>
          <w:p w14:paraId="3C5EB37E" w14:textId="77777777" w:rsidR="00EB7645" w:rsidRPr="00BE00C7" w:rsidRDefault="00000000" w:rsidP="00BE00C7">
            <w:pPr>
              <w:pStyle w:val="OutcomeDescription"/>
              <w:spacing w:before="120" w:after="120"/>
              <w:rPr>
                <w:rFonts w:cs="Arial"/>
                <w:lang w:eastAsia="en-NZ"/>
              </w:rPr>
            </w:pPr>
          </w:p>
          <w:p w14:paraId="1818C5C3"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64A3A28D" w14:textId="77777777" w:rsidR="00EB7645" w:rsidRPr="00BE00C7" w:rsidRDefault="00000000" w:rsidP="00BE00C7">
      <w:pPr>
        <w:pStyle w:val="OutcomeDescription"/>
        <w:spacing w:before="120" w:after="120"/>
        <w:rPr>
          <w:rFonts w:cs="Arial"/>
          <w:lang w:eastAsia="en-NZ"/>
        </w:rPr>
      </w:pPr>
      <w:bookmarkStart w:id="46" w:name="AuditSummaryCAMCriterion"/>
      <w:bookmarkEnd w:id="46"/>
    </w:p>
    <w:p w14:paraId="749FD92E" w14:textId="77777777" w:rsidR="00460D43" w:rsidRDefault="00000000">
      <w:pPr>
        <w:pStyle w:val="Heading1"/>
        <w:rPr>
          <w:rFonts w:cs="Arial"/>
        </w:rPr>
      </w:pPr>
      <w:r>
        <w:rPr>
          <w:rFonts w:cs="Arial"/>
        </w:rPr>
        <w:lastRenderedPageBreak/>
        <w:t>Specific results for criterion where a continuous improvement has been recorded</w:t>
      </w:r>
    </w:p>
    <w:p w14:paraId="335BB15F"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B0667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w:t>
      </w:r>
      <w:r w:rsidRPr="00FB778F">
        <w:rPr>
          <w:rFonts w:cs="Arial"/>
          <w:sz w:val="24"/>
          <w:lang w:eastAsia="en-NZ"/>
        </w:rPr>
        <w:t xml:space="preserve">ooking at the code.  For example,  Criterion 1.1.1 relates to subsection 1.1: Pae ora healthy futures in Section 1: Our rights. </w:t>
      </w:r>
    </w:p>
    <w:p w14:paraId="0D58FFF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03DC4" w14:paraId="27F0A4E0" w14:textId="77777777">
        <w:tc>
          <w:tcPr>
            <w:tcW w:w="0" w:type="auto"/>
          </w:tcPr>
          <w:p w14:paraId="2A5F5FF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5F1F6AC" w14:textId="77777777" w:rsidR="00EB7645" w:rsidRPr="00BE00C7" w:rsidRDefault="00000000" w:rsidP="00BE00C7">
      <w:pPr>
        <w:pStyle w:val="OutcomeDescription"/>
        <w:spacing w:before="120" w:after="120"/>
        <w:rPr>
          <w:rFonts w:cs="Arial"/>
          <w:lang w:eastAsia="en-NZ"/>
        </w:rPr>
      </w:pPr>
      <w:bookmarkStart w:id="47" w:name="AuditSummaryCAMImprovment"/>
      <w:bookmarkEnd w:id="47"/>
    </w:p>
    <w:p w14:paraId="3E91016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AEA2" w14:textId="77777777" w:rsidR="00627B2A" w:rsidRDefault="00627B2A">
      <w:r>
        <w:separator/>
      </w:r>
    </w:p>
  </w:endnote>
  <w:endnote w:type="continuationSeparator" w:id="0">
    <w:p w14:paraId="2CB03690" w14:textId="77777777" w:rsidR="00627B2A" w:rsidRDefault="0062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309F" w14:textId="77777777" w:rsidR="000B00BC" w:rsidRDefault="00000000">
    <w:pPr>
      <w:pStyle w:val="Footer"/>
    </w:pPr>
  </w:p>
  <w:p w14:paraId="31C025EB" w14:textId="77777777" w:rsidR="005A4A55" w:rsidRDefault="00000000"/>
  <w:p w14:paraId="337B804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E61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Fervor Cooperation Limited - Bloomfield Court Retirement Home</w:t>
    </w:r>
    <w:bookmarkEnd w:id="48"/>
    <w:r>
      <w:rPr>
        <w:rFonts w:cs="Arial"/>
        <w:sz w:val="16"/>
        <w:szCs w:val="20"/>
      </w:rPr>
      <w:tab/>
      <w:t xml:space="preserve">Date of Audit: </w:t>
    </w:r>
    <w:bookmarkStart w:id="49" w:name="AuditStartDate1"/>
    <w:r>
      <w:rPr>
        <w:rFonts w:cs="Arial"/>
        <w:sz w:val="16"/>
        <w:szCs w:val="20"/>
      </w:rPr>
      <w:t>15 April 2024</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12D16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963D"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0C9F" w14:textId="77777777" w:rsidR="00627B2A" w:rsidRDefault="00627B2A">
      <w:r>
        <w:separator/>
      </w:r>
    </w:p>
  </w:footnote>
  <w:footnote w:type="continuationSeparator" w:id="0">
    <w:p w14:paraId="267832E5" w14:textId="77777777" w:rsidR="00627B2A" w:rsidRDefault="0062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AB2" w14:textId="77777777" w:rsidR="000B00BC" w:rsidRDefault="00000000">
    <w:pPr>
      <w:pStyle w:val="Header"/>
    </w:pPr>
  </w:p>
  <w:p w14:paraId="4505A53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E3F7" w14:textId="77777777" w:rsidR="000B00BC" w:rsidRDefault="00000000">
    <w:pPr>
      <w:pStyle w:val="Header"/>
    </w:pPr>
  </w:p>
  <w:p w14:paraId="7823853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1D2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A0E4C3A">
      <w:start w:val="1"/>
      <w:numFmt w:val="decimal"/>
      <w:lvlText w:val="%1."/>
      <w:lvlJc w:val="left"/>
      <w:pPr>
        <w:ind w:left="360" w:hanging="360"/>
      </w:pPr>
    </w:lvl>
    <w:lvl w:ilvl="1" w:tplc="D44CF37A" w:tentative="1">
      <w:start w:val="1"/>
      <w:numFmt w:val="lowerLetter"/>
      <w:lvlText w:val="%2."/>
      <w:lvlJc w:val="left"/>
      <w:pPr>
        <w:ind w:left="1080" w:hanging="360"/>
      </w:pPr>
    </w:lvl>
    <w:lvl w:ilvl="2" w:tplc="3E1AD50E" w:tentative="1">
      <w:start w:val="1"/>
      <w:numFmt w:val="lowerRoman"/>
      <w:lvlText w:val="%3."/>
      <w:lvlJc w:val="right"/>
      <w:pPr>
        <w:ind w:left="1800" w:hanging="180"/>
      </w:pPr>
    </w:lvl>
    <w:lvl w:ilvl="3" w:tplc="1A04545A" w:tentative="1">
      <w:start w:val="1"/>
      <w:numFmt w:val="decimal"/>
      <w:lvlText w:val="%4."/>
      <w:lvlJc w:val="left"/>
      <w:pPr>
        <w:ind w:left="2520" w:hanging="360"/>
      </w:pPr>
    </w:lvl>
    <w:lvl w:ilvl="4" w:tplc="8228DBC8" w:tentative="1">
      <w:start w:val="1"/>
      <w:numFmt w:val="lowerLetter"/>
      <w:lvlText w:val="%5."/>
      <w:lvlJc w:val="left"/>
      <w:pPr>
        <w:ind w:left="3240" w:hanging="360"/>
      </w:pPr>
    </w:lvl>
    <w:lvl w:ilvl="5" w:tplc="10BC74CE" w:tentative="1">
      <w:start w:val="1"/>
      <w:numFmt w:val="lowerRoman"/>
      <w:lvlText w:val="%6."/>
      <w:lvlJc w:val="right"/>
      <w:pPr>
        <w:ind w:left="3960" w:hanging="180"/>
      </w:pPr>
    </w:lvl>
    <w:lvl w:ilvl="6" w:tplc="81B09AA0" w:tentative="1">
      <w:start w:val="1"/>
      <w:numFmt w:val="decimal"/>
      <w:lvlText w:val="%7."/>
      <w:lvlJc w:val="left"/>
      <w:pPr>
        <w:ind w:left="4680" w:hanging="360"/>
      </w:pPr>
    </w:lvl>
    <w:lvl w:ilvl="7" w:tplc="8C02A12E" w:tentative="1">
      <w:start w:val="1"/>
      <w:numFmt w:val="lowerLetter"/>
      <w:lvlText w:val="%8."/>
      <w:lvlJc w:val="left"/>
      <w:pPr>
        <w:ind w:left="5400" w:hanging="360"/>
      </w:pPr>
    </w:lvl>
    <w:lvl w:ilvl="8" w:tplc="E5F442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7621532">
      <w:start w:val="1"/>
      <w:numFmt w:val="bullet"/>
      <w:lvlText w:val=""/>
      <w:lvlJc w:val="left"/>
      <w:pPr>
        <w:ind w:left="720" w:hanging="360"/>
      </w:pPr>
      <w:rPr>
        <w:rFonts w:ascii="Symbol" w:hAnsi="Symbol" w:hint="default"/>
      </w:rPr>
    </w:lvl>
    <w:lvl w:ilvl="1" w:tplc="6CA2074E" w:tentative="1">
      <w:start w:val="1"/>
      <w:numFmt w:val="bullet"/>
      <w:lvlText w:val="o"/>
      <w:lvlJc w:val="left"/>
      <w:pPr>
        <w:ind w:left="1440" w:hanging="360"/>
      </w:pPr>
      <w:rPr>
        <w:rFonts w:ascii="Courier New" w:hAnsi="Courier New" w:cs="Courier New" w:hint="default"/>
      </w:rPr>
    </w:lvl>
    <w:lvl w:ilvl="2" w:tplc="7CD0A546" w:tentative="1">
      <w:start w:val="1"/>
      <w:numFmt w:val="bullet"/>
      <w:lvlText w:val=""/>
      <w:lvlJc w:val="left"/>
      <w:pPr>
        <w:ind w:left="2160" w:hanging="360"/>
      </w:pPr>
      <w:rPr>
        <w:rFonts w:ascii="Wingdings" w:hAnsi="Wingdings" w:hint="default"/>
      </w:rPr>
    </w:lvl>
    <w:lvl w:ilvl="3" w:tplc="E2DE173C" w:tentative="1">
      <w:start w:val="1"/>
      <w:numFmt w:val="bullet"/>
      <w:lvlText w:val=""/>
      <w:lvlJc w:val="left"/>
      <w:pPr>
        <w:ind w:left="2880" w:hanging="360"/>
      </w:pPr>
      <w:rPr>
        <w:rFonts w:ascii="Symbol" w:hAnsi="Symbol" w:hint="default"/>
      </w:rPr>
    </w:lvl>
    <w:lvl w:ilvl="4" w:tplc="9F122290" w:tentative="1">
      <w:start w:val="1"/>
      <w:numFmt w:val="bullet"/>
      <w:lvlText w:val="o"/>
      <w:lvlJc w:val="left"/>
      <w:pPr>
        <w:ind w:left="3600" w:hanging="360"/>
      </w:pPr>
      <w:rPr>
        <w:rFonts w:ascii="Courier New" w:hAnsi="Courier New" w:cs="Courier New" w:hint="default"/>
      </w:rPr>
    </w:lvl>
    <w:lvl w:ilvl="5" w:tplc="7AE40E5C" w:tentative="1">
      <w:start w:val="1"/>
      <w:numFmt w:val="bullet"/>
      <w:lvlText w:val=""/>
      <w:lvlJc w:val="left"/>
      <w:pPr>
        <w:ind w:left="4320" w:hanging="360"/>
      </w:pPr>
      <w:rPr>
        <w:rFonts w:ascii="Wingdings" w:hAnsi="Wingdings" w:hint="default"/>
      </w:rPr>
    </w:lvl>
    <w:lvl w:ilvl="6" w:tplc="29C6D712" w:tentative="1">
      <w:start w:val="1"/>
      <w:numFmt w:val="bullet"/>
      <w:lvlText w:val=""/>
      <w:lvlJc w:val="left"/>
      <w:pPr>
        <w:ind w:left="5040" w:hanging="360"/>
      </w:pPr>
      <w:rPr>
        <w:rFonts w:ascii="Symbol" w:hAnsi="Symbol" w:hint="default"/>
      </w:rPr>
    </w:lvl>
    <w:lvl w:ilvl="7" w:tplc="4E381DD8" w:tentative="1">
      <w:start w:val="1"/>
      <w:numFmt w:val="bullet"/>
      <w:lvlText w:val="o"/>
      <w:lvlJc w:val="left"/>
      <w:pPr>
        <w:ind w:left="5760" w:hanging="360"/>
      </w:pPr>
      <w:rPr>
        <w:rFonts w:ascii="Courier New" w:hAnsi="Courier New" w:cs="Courier New" w:hint="default"/>
      </w:rPr>
    </w:lvl>
    <w:lvl w:ilvl="8" w:tplc="43349218" w:tentative="1">
      <w:start w:val="1"/>
      <w:numFmt w:val="bullet"/>
      <w:lvlText w:val=""/>
      <w:lvlJc w:val="left"/>
      <w:pPr>
        <w:ind w:left="6480" w:hanging="360"/>
      </w:pPr>
      <w:rPr>
        <w:rFonts w:ascii="Wingdings" w:hAnsi="Wingdings" w:hint="default"/>
      </w:rPr>
    </w:lvl>
  </w:abstractNum>
  <w:num w:numId="1" w16cid:durableId="860365259">
    <w:abstractNumId w:val="1"/>
  </w:num>
  <w:num w:numId="2" w16cid:durableId="19785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C4"/>
    <w:rsid w:val="00003DC4"/>
    <w:rsid w:val="000F1A96"/>
    <w:rsid w:val="00502822"/>
    <w:rsid w:val="00627B2A"/>
    <w:rsid w:val="007041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DEC1"/>
  <w15:docId w15:val="{9B23390F-77C0-4591-BC79-FA82B7E3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12684</Words>
  <Characters>72299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2024-05-09T23:14:00Z</dcterms:created>
  <dcterms:modified xsi:type="dcterms:W3CDTF">2024-05-09T23:17:00Z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