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AC596" w14:textId="77777777" w:rsidR="00460D43" w:rsidRDefault="00000000">
      <w:pPr>
        <w:pStyle w:val="Heading1"/>
        <w:rPr>
          <w:rFonts w:cs="Arial"/>
        </w:rPr>
      </w:pPr>
      <w:bookmarkStart w:id="0" w:name="PRMS_RIName"/>
      <w:r>
        <w:rPr>
          <w:rFonts w:cs="Arial"/>
        </w:rPr>
        <w:t>Ruapehu Masonic Association Trust - Masonic Court Rest Home</w:t>
      </w:r>
      <w:bookmarkEnd w:id="0"/>
    </w:p>
    <w:p w14:paraId="2F7AAE43" w14:textId="77777777" w:rsidR="00460D43" w:rsidRDefault="00000000">
      <w:pPr>
        <w:pStyle w:val="Heading2"/>
        <w:spacing w:after="0"/>
        <w:rPr>
          <w:rFonts w:cs="Arial"/>
        </w:rPr>
      </w:pPr>
      <w:r>
        <w:rPr>
          <w:rFonts w:cs="Arial"/>
        </w:rPr>
        <w:t>Introduction</w:t>
      </w:r>
    </w:p>
    <w:p w14:paraId="107BFE9C" w14:textId="77777777" w:rsidR="00460D43"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FE36379" w14:textId="77777777" w:rsidR="00460D43"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16C1560" w14:textId="15248EC9" w:rsidR="00460D43"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sidR="003E52F8">
        <w:rPr>
          <w:rFonts w:cs="Arial"/>
          <w:lang w:eastAsia="en-NZ"/>
        </w:rPr>
        <w:t>P</w:t>
      </w:r>
      <w:r w:rsidRPr="00FB778F">
        <w:rPr>
          <w:rFonts w:cs="Arial"/>
          <w:lang w:eastAsia="en-NZ"/>
        </w:rPr>
        <w:t xml:space="preserve">aerewa </w:t>
      </w:r>
      <w:r w:rsidR="003E52F8">
        <w:rPr>
          <w:rFonts w:cs="Arial"/>
          <w:lang w:eastAsia="en-NZ"/>
        </w:rPr>
        <w:t>H</w:t>
      </w:r>
      <w:r w:rsidRPr="00FB778F">
        <w:rPr>
          <w:rFonts w:cs="Arial"/>
          <w:lang w:eastAsia="en-NZ"/>
        </w:rPr>
        <w:t xml:space="preserve">ealth and </w:t>
      </w:r>
      <w:r w:rsidR="003E52F8">
        <w:rPr>
          <w:rFonts w:cs="Arial"/>
          <w:lang w:eastAsia="en-NZ"/>
        </w:rPr>
        <w:t>D</w:t>
      </w:r>
      <w:r w:rsidRPr="00FB778F">
        <w:rPr>
          <w:rFonts w:cs="Arial"/>
          <w:lang w:eastAsia="en-NZ"/>
        </w:rPr>
        <w:t xml:space="preserve">isability </w:t>
      </w:r>
      <w:r w:rsidR="003E52F8">
        <w:rPr>
          <w:rFonts w:cs="Arial"/>
          <w:lang w:eastAsia="en-NZ"/>
        </w:rPr>
        <w:t>S</w:t>
      </w:r>
      <w:r w:rsidRPr="00FB778F">
        <w:rPr>
          <w:rFonts w:cs="Arial"/>
          <w:lang w:eastAsia="en-NZ"/>
        </w:rPr>
        <w:t xml:space="preserve">ervices </w:t>
      </w:r>
      <w:r w:rsidR="003E52F8">
        <w:rPr>
          <w:rFonts w:cs="Arial"/>
          <w:lang w:eastAsia="en-NZ"/>
        </w:rPr>
        <w:t>S</w:t>
      </w:r>
      <w:r w:rsidRPr="00FB778F">
        <w:rPr>
          <w:rFonts w:cs="Arial"/>
          <w:lang w:eastAsia="en-NZ"/>
        </w:rPr>
        <w:t>tandard (NZS8134:2021).</w:t>
      </w:r>
    </w:p>
    <w:p w14:paraId="3A7CE236" w14:textId="77777777" w:rsidR="00460D43"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3FEFF64" w14:textId="77777777" w:rsidR="00460D43" w:rsidRDefault="00000000">
      <w:pPr>
        <w:spacing w:before="240" w:after="240"/>
        <w:rPr>
          <w:rFonts w:cs="Arial"/>
          <w:lang w:eastAsia="en-NZ"/>
        </w:rPr>
      </w:pPr>
      <w:r>
        <w:rPr>
          <w:rFonts w:cs="Arial"/>
          <w:lang w:eastAsia="en-NZ"/>
        </w:rPr>
        <w:t>The specifics of this audit included:</w:t>
      </w:r>
    </w:p>
    <w:p w14:paraId="48988DFF" w14:textId="77777777" w:rsidR="009D18F5"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F8C5458"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 xml:space="preserve">Ruapehu Masonic Association </w:t>
      </w:r>
      <w:r>
        <w:rPr>
          <w:rFonts w:cs="Arial"/>
        </w:rPr>
        <w:t>Trust</w:t>
      </w:r>
      <w:bookmarkEnd w:id="4"/>
    </w:p>
    <w:p w14:paraId="658C6C3D"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Masonic Court Rest Home</w:t>
      </w:r>
      <w:bookmarkEnd w:id="5"/>
    </w:p>
    <w:p w14:paraId="572149CF"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3196863"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15 February </w:t>
      </w:r>
      <w:r>
        <w:rPr>
          <w:rFonts w:cs="Arial"/>
        </w:rPr>
        <w:t>2024</w:t>
      </w:r>
      <w:bookmarkEnd w:id="7"/>
      <w:r w:rsidRPr="009418D4">
        <w:rPr>
          <w:rFonts w:cs="Arial"/>
        </w:rPr>
        <w:tab/>
        <w:t xml:space="preserve">End date: </w:t>
      </w:r>
      <w:bookmarkStart w:id="8" w:name="AuditEndDate"/>
      <w:r>
        <w:rPr>
          <w:rFonts w:cs="Arial"/>
        </w:rPr>
        <w:t>16 February 2024</w:t>
      </w:r>
      <w:bookmarkEnd w:id="8"/>
    </w:p>
    <w:p w14:paraId="70C65DCD" w14:textId="77777777" w:rsidR="005A51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5097863" w14:textId="77777777" w:rsidR="00E16E2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51</w:t>
      </w:r>
      <w:bookmarkEnd w:id="10"/>
    </w:p>
    <w:p w14:paraId="575C2BA1" w14:textId="77777777" w:rsidR="009D18F5"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602AC23" w14:textId="77777777" w:rsidR="00460D43" w:rsidRDefault="00000000">
      <w:pPr>
        <w:pStyle w:val="Heading1"/>
        <w:rPr>
          <w:rFonts w:cs="Arial"/>
        </w:rPr>
      </w:pPr>
      <w:r>
        <w:rPr>
          <w:rFonts w:cs="Arial"/>
        </w:rPr>
        <w:lastRenderedPageBreak/>
        <w:t>Executive summary of the audit</w:t>
      </w:r>
    </w:p>
    <w:p w14:paraId="2F927CBA" w14:textId="77777777" w:rsidR="00460D43" w:rsidRDefault="00000000">
      <w:pPr>
        <w:pStyle w:val="Heading2"/>
        <w:rPr>
          <w:rFonts w:cs="Arial"/>
        </w:rPr>
      </w:pPr>
      <w:r>
        <w:rPr>
          <w:rFonts w:cs="Arial"/>
        </w:rPr>
        <w:t>Introduction</w:t>
      </w:r>
    </w:p>
    <w:p w14:paraId="21C7C663" w14:textId="77777777" w:rsidR="00460D43"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8127D24" w14:textId="77777777" w:rsidR="00FB778F"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85771E5" w14:textId="77777777" w:rsidR="00FB778F"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DB93149" w14:textId="77777777" w:rsidR="00FB778F"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4A4A838" w14:textId="77777777" w:rsidR="00FB778F"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BD638FE" w14:textId="77777777" w:rsidR="00FB778F"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4556182" w14:textId="77777777" w:rsidR="00FB778F"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A8A8E06" w14:textId="77777777" w:rsidR="00460D43"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0772ED5" w14:textId="77777777" w:rsidR="00460D43"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16E25" w14:paraId="05E58DCD" w14:textId="77777777">
        <w:trPr>
          <w:cantSplit/>
          <w:tblHeader/>
        </w:trPr>
        <w:tc>
          <w:tcPr>
            <w:tcW w:w="1260" w:type="dxa"/>
            <w:tcBorders>
              <w:bottom w:val="single" w:sz="4" w:space="0" w:color="000000"/>
            </w:tcBorders>
            <w:vAlign w:val="center"/>
          </w:tcPr>
          <w:p w14:paraId="074C7321" w14:textId="77777777" w:rsidR="00460D43"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AE972FC" w14:textId="77777777" w:rsidR="00460D43"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8ECF7A8" w14:textId="77777777" w:rsidR="00460D43" w:rsidRDefault="00000000">
            <w:pPr>
              <w:spacing w:before="60" w:after="60"/>
              <w:rPr>
                <w:rFonts w:eastAsia="Calibri"/>
                <w:b/>
                <w:szCs w:val="24"/>
              </w:rPr>
            </w:pPr>
            <w:r>
              <w:rPr>
                <w:rFonts w:eastAsia="Calibri"/>
                <w:b/>
                <w:szCs w:val="24"/>
              </w:rPr>
              <w:t>Definition</w:t>
            </w:r>
          </w:p>
        </w:tc>
      </w:tr>
      <w:tr w:rsidR="00E16E25" w14:paraId="769F9D4D" w14:textId="77777777">
        <w:trPr>
          <w:cantSplit/>
          <w:trHeight w:val="964"/>
        </w:trPr>
        <w:tc>
          <w:tcPr>
            <w:tcW w:w="1260" w:type="dxa"/>
            <w:tcBorders>
              <w:bottom w:val="single" w:sz="4" w:space="0" w:color="000000"/>
            </w:tcBorders>
            <w:shd w:val="clear" w:color="0066FF" w:fill="0000FF"/>
            <w:vAlign w:val="center"/>
          </w:tcPr>
          <w:p w14:paraId="527D9390"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692EDF4" w14:textId="77777777" w:rsidR="00460D43"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DBF8009" w14:textId="77777777" w:rsidR="00460D43"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16E25" w14:paraId="30B76612" w14:textId="77777777">
        <w:trPr>
          <w:cantSplit/>
          <w:trHeight w:val="964"/>
        </w:trPr>
        <w:tc>
          <w:tcPr>
            <w:tcW w:w="1260" w:type="dxa"/>
            <w:shd w:val="clear" w:color="33CC33" w:fill="00FF00"/>
            <w:vAlign w:val="center"/>
          </w:tcPr>
          <w:p w14:paraId="6462907A" w14:textId="77777777" w:rsidR="00460D43" w:rsidRDefault="00000000">
            <w:pPr>
              <w:spacing w:before="60" w:after="60"/>
              <w:rPr>
                <w:rFonts w:eastAsia="Calibri"/>
                <w:szCs w:val="24"/>
              </w:rPr>
            </w:pPr>
          </w:p>
        </w:tc>
        <w:tc>
          <w:tcPr>
            <w:tcW w:w="7095" w:type="dxa"/>
            <w:shd w:val="clear" w:color="auto" w:fill="auto"/>
            <w:vAlign w:val="center"/>
          </w:tcPr>
          <w:p w14:paraId="344D7BC0" w14:textId="77777777" w:rsidR="00460D43"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B915004" w14:textId="77777777" w:rsidR="00460D43" w:rsidRDefault="00000000">
            <w:pPr>
              <w:spacing w:before="60" w:after="60"/>
              <w:ind w:left="50"/>
              <w:rPr>
                <w:rFonts w:eastAsia="Calibri"/>
                <w:szCs w:val="24"/>
              </w:rPr>
            </w:pPr>
            <w:r w:rsidRPr="00FB778F">
              <w:rPr>
                <w:rFonts w:eastAsia="Calibri"/>
                <w:szCs w:val="24"/>
              </w:rPr>
              <w:t>Subsections applicable to this service fully attained</w:t>
            </w:r>
          </w:p>
        </w:tc>
      </w:tr>
      <w:tr w:rsidR="00E16E25" w14:paraId="39D1922C" w14:textId="77777777">
        <w:trPr>
          <w:cantSplit/>
          <w:trHeight w:val="964"/>
        </w:trPr>
        <w:tc>
          <w:tcPr>
            <w:tcW w:w="1260" w:type="dxa"/>
            <w:tcBorders>
              <w:bottom w:val="single" w:sz="4" w:space="0" w:color="000000"/>
            </w:tcBorders>
            <w:shd w:val="clear" w:color="auto" w:fill="FFFF00"/>
            <w:vAlign w:val="center"/>
          </w:tcPr>
          <w:p w14:paraId="06D3985C" w14:textId="77777777" w:rsidR="00460D43" w:rsidRDefault="00000000">
            <w:pPr>
              <w:spacing w:before="60" w:after="60"/>
              <w:rPr>
                <w:rFonts w:eastAsia="Calibri"/>
                <w:szCs w:val="24"/>
              </w:rPr>
            </w:pPr>
          </w:p>
        </w:tc>
        <w:tc>
          <w:tcPr>
            <w:tcW w:w="7095" w:type="dxa"/>
            <w:shd w:val="clear" w:color="auto" w:fill="auto"/>
            <w:vAlign w:val="center"/>
          </w:tcPr>
          <w:p w14:paraId="7E88B066" w14:textId="77777777" w:rsidR="00460D43"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CE434FC" w14:textId="77777777" w:rsidR="00460D43"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16E25" w14:paraId="120A382E" w14:textId="77777777">
        <w:trPr>
          <w:cantSplit/>
          <w:trHeight w:val="964"/>
        </w:trPr>
        <w:tc>
          <w:tcPr>
            <w:tcW w:w="1260" w:type="dxa"/>
            <w:tcBorders>
              <w:bottom w:val="single" w:sz="4" w:space="0" w:color="000000"/>
            </w:tcBorders>
            <w:shd w:val="clear" w:color="auto" w:fill="FFC800"/>
            <w:vAlign w:val="center"/>
          </w:tcPr>
          <w:p w14:paraId="37E167AB"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D52E21D" w14:textId="77777777" w:rsidR="00460D43"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FB947F4" w14:textId="77777777" w:rsidR="00460D43"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16E25" w14:paraId="59ACBE66" w14:textId="77777777">
        <w:trPr>
          <w:cantSplit/>
          <w:trHeight w:val="964"/>
        </w:trPr>
        <w:tc>
          <w:tcPr>
            <w:tcW w:w="1260" w:type="dxa"/>
            <w:shd w:val="clear" w:color="auto" w:fill="FF0000"/>
            <w:vAlign w:val="center"/>
          </w:tcPr>
          <w:p w14:paraId="2D19FCB4" w14:textId="77777777" w:rsidR="00460D43" w:rsidRDefault="00000000">
            <w:pPr>
              <w:spacing w:before="60" w:after="60"/>
              <w:rPr>
                <w:rFonts w:eastAsia="Calibri"/>
                <w:szCs w:val="24"/>
              </w:rPr>
            </w:pPr>
          </w:p>
        </w:tc>
        <w:tc>
          <w:tcPr>
            <w:tcW w:w="7095" w:type="dxa"/>
            <w:shd w:val="clear" w:color="auto" w:fill="auto"/>
            <w:vAlign w:val="center"/>
          </w:tcPr>
          <w:p w14:paraId="59003D83" w14:textId="77777777" w:rsidR="00460D43"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944A64D" w14:textId="77777777" w:rsidR="00460D43"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3113495" w14:textId="77777777" w:rsidR="00460D43" w:rsidRDefault="00000000">
      <w:pPr>
        <w:pStyle w:val="Heading2"/>
        <w:spacing w:after="0"/>
        <w:rPr>
          <w:rFonts w:cs="Arial"/>
        </w:rPr>
      </w:pPr>
      <w:r>
        <w:rPr>
          <w:rFonts w:cs="Arial"/>
        </w:rPr>
        <w:t>General overview of the audit</w:t>
      </w:r>
    </w:p>
    <w:p w14:paraId="561B16B0" w14:textId="77777777" w:rsidR="00E536CC" w:rsidRDefault="00000000">
      <w:pPr>
        <w:spacing w:before="240" w:line="276" w:lineRule="auto"/>
        <w:rPr>
          <w:rFonts w:eastAsia="Calibri"/>
        </w:rPr>
      </w:pPr>
      <w:bookmarkStart w:id="13" w:name="GeneralOverview"/>
      <w:r w:rsidRPr="00A4268A">
        <w:rPr>
          <w:rFonts w:eastAsia="Calibri"/>
        </w:rPr>
        <w:t xml:space="preserve">Masonic Court is a facility located in Wanganui. The service is certified to provide rest home and hospital (geriatric and medical) level care for up to 56 residents. There were 51 residents on the days of the audit. </w:t>
      </w:r>
    </w:p>
    <w:p w14:paraId="6842409E" w14:textId="77777777" w:rsidR="00E16E25" w:rsidRPr="00A4268A" w:rsidRDefault="00000000">
      <w:pPr>
        <w:spacing w:before="240" w:line="276" w:lineRule="auto"/>
        <w:rPr>
          <w:rFonts w:eastAsia="Calibri"/>
        </w:rPr>
      </w:pPr>
      <w:r w:rsidRPr="00A4268A">
        <w:rPr>
          <w:rFonts w:eastAsia="Calibri"/>
        </w:rPr>
        <w:t>This surveillance audit was conducted against a subset of the Ngā Paerewa Health and Disability Services Standard and the service’s contract with Te Whatu Ora Health New Zealand -Whanganui. The audit process included a review of quality systems, the review of residents and staff files, observations, and interviews with residents, family/whānau, staff, management, and a general practitioner.</w:t>
      </w:r>
    </w:p>
    <w:p w14:paraId="50B5CFB4" w14:textId="77777777" w:rsidR="00E16E25" w:rsidRPr="00A4268A" w:rsidRDefault="00000000">
      <w:pPr>
        <w:spacing w:before="240" w:line="276" w:lineRule="auto"/>
        <w:rPr>
          <w:rFonts w:eastAsia="Calibri"/>
        </w:rPr>
      </w:pPr>
      <w:r w:rsidRPr="00A4268A">
        <w:rPr>
          <w:rFonts w:eastAsia="Calibri"/>
        </w:rPr>
        <w:t>Masonic Court has set a number of quality goals which link to the organisation’s business plan. The facility manager has experience in the aged care sector and is supported by the clinical nurse leader (registered nurse). Feedback from residents and family/whānau was very positive about the care and the services provided.</w:t>
      </w:r>
    </w:p>
    <w:p w14:paraId="69EE1237" w14:textId="77777777" w:rsidR="00E16E25" w:rsidRPr="00A4268A" w:rsidRDefault="00000000">
      <w:pPr>
        <w:spacing w:before="240" w:line="276" w:lineRule="auto"/>
        <w:rPr>
          <w:rFonts w:eastAsia="Calibri"/>
        </w:rPr>
      </w:pPr>
      <w:r w:rsidRPr="00A4268A">
        <w:rPr>
          <w:rFonts w:eastAsia="Calibri"/>
        </w:rPr>
        <w:t xml:space="preserve">The service has addressed previous audit findings relating to registered nurse staffing and satisfaction surveys. Aspects of medicine management remain an area for improvement. </w:t>
      </w:r>
    </w:p>
    <w:p w14:paraId="6D3DC269" w14:textId="77777777" w:rsidR="00E16E25" w:rsidRPr="00A4268A" w:rsidRDefault="00000000">
      <w:pPr>
        <w:spacing w:before="240" w:line="276" w:lineRule="auto"/>
        <w:rPr>
          <w:rFonts w:eastAsia="Calibri"/>
        </w:rPr>
      </w:pPr>
      <w:r w:rsidRPr="00A4268A">
        <w:rPr>
          <w:rFonts w:eastAsia="Calibri"/>
        </w:rPr>
        <w:t xml:space="preserve">This surveillance audit identified shortfalls related to care planning interventions, and infection control. </w:t>
      </w:r>
    </w:p>
    <w:bookmarkEnd w:id="13"/>
    <w:p w14:paraId="75582EB4" w14:textId="77777777" w:rsidR="00E16E25" w:rsidRPr="00A4268A" w:rsidRDefault="00E16E25">
      <w:pPr>
        <w:spacing w:before="240" w:line="276" w:lineRule="auto"/>
        <w:rPr>
          <w:rFonts w:eastAsia="Calibri"/>
        </w:rPr>
      </w:pPr>
    </w:p>
    <w:p w14:paraId="53049345" w14:textId="77777777" w:rsidR="00460D43"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6E25" w14:paraId="3A983175" w14:textId="77777777" w:rsidTr="00A4268A">
        <w:trPr>
          <w:cantSplit/>
        </w:trPr>
        <w:tc>
          <w:tcPr>
            <w:tcW w:w="10206" w:type="dxa"/>
            <w:vAlign w:val="center"/>
          </w:tcPr>
          <w:p w14:paraId="71929CD9" w14:textId="77777777" w:rsidR="00FB778F"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098286B" w14:textId="77777777" w:rsidR="00460D43"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85366D1" w14:textId="77777777" w:rsidR="00460D43"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29C2085" w14:textId="77777777" w:rsidR="00460D43"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BAE369C" w14:textId="77777777" w:rsidR="00460D43" w:rsidRDefault="00000000">
      <w:pPr>
        <w:spacing w:before="240" w:line="276" w:lineRule="auto"/>
        <w:rPr>
          <w:rFonts w:eastAsia="Calibri"/>
        </w:rPr>
      </w:pPr>
      <w:bookmarkStart w:id="16" w:name="ConsumerRights"/>
      <w:r w:rsidRPr="00A4268A">
        <w:rPr>
          <w:rFonts w:eastAsia="Calibri"/>
        </w:rPr>
        <w:t xml:space="preserve">The service provides an environment that supports residents’ rights, and culturally safe care. Details relating to the Health and Disability Commissioner’s (HDC) Code of Health and Disability Services Consumers Rights (the Code) is included in the information packs given to new or potential residents and family/whānau. There is a Māori health plan in place. </w:t>
      </w:r>
    </w:p>
    <w:p w14:paraId="6571FF19" w14:textId="77777777" w:rsidR="00E16E25"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Staff provide services and support to people in a way that is inclusive and respects their identity and their experiences. </w:t>
      </w:r>
    </w:p>
    <w:p w14:paraId="615448CF" w14:textId="77777777" w:rsidR="00E16E25" w:rsidRPr="00A4268A" w:rsidRDefault="00000000">
      <w:pPr>
        <w:spacing w:before="240" w:line="276" w:lineRule="auto"/>
        <w:rPr>
          <w:rFonts w:eastAsia="Calibri"/>
        </w:rPr>
      </w:pPr>
      <w:r w:rsidRPr="00A4268A">
        <w:rPr>
          <w:rFonts w:eastAsia="Calibri"/>
        </w:rPr>
        <w:t>There is evidence that family/whānau are kept informed. The rights of the resident and/or their family/whānau to make a complaint are understood, respected, and upheld by the service. There is an established system for the management of complaints that meets guidelines established by the Health and Disability Commissioner.</w:t>
      </w:r>
    </w:p>
    <w:bookmarkEnd w:id="16"/>
    <w:p w14:paraId="797A0829" w14:textId="77777777" w:rsidR="00E16E25" w:rsidRPr="00A4268A" w:rsidRDefault="00E16E25">
      <w:pPr>
        <w:spacing w:before="240" w:line="276" w:lineRule="auto"/>
        <w:rPr>
          <w:rFonts w:eastAsia="Calibri"/>
        </w:rPr>
      </w:pPr>
    </w:p>
    <w:p w14:paraId="5997FA5D" w14:textId="77777777" w:rsidR="00460D43"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6E25" w14:paraId="04960D11" w14:textId="77777777" w:rsidTr="00A4268A">
        <w:trPr>
          <w:cantSplit/>
        </w:trPr>
        <w:tc>
          <w:tcPr>
            <w:tcW w:w="10206" w:type="dxa"/>
            <w:vAlign w:val="center"/>
          </w:tcPr>
          <w:p w14:paraId="366CAA29"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1C8C1B6" w14:textId="77777777" w:rsidR="00460D43"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DBC1C4A" w14:textId="77777777" w:rsidR="00460D43"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B8008EA" w14:textId="77777777" w:rsidR="00460D43" w:rsidRDefault="00000000">
      <w:pPr>
        <w:spacing w:before="240" w:line="276" w:lineRule="auto"/>
        <w:rPr>
          <w:rFonts w:eastAsia="Calibri"/>
        </w:rPr>
      </w:pPr>
      <w:bookmarkStart w:id="19" w:name="OrganisationalManagement"/>
      <w:r w:rsidRPr="00A4268A">
        <w:rPr>
          <w:rFonts w:eastAsia="Calibri"/>
        </w:rPr>
        <w:t xml:space="preserve">Masonic Court has an overarching strategy with clear business goals to support organisational values. The Masonic Court business plan aligns with the mission statement and operational objectives. Effective quality and risk management systems that take a risk-based approach are in place to meet the needs of the residents and staff. Quality improvement projects are implemented. Internal </w:t>
      </w:r>
      <w:r w:rsidRPr="00A4268A">
        <w:rPr>
          <w:rFonts w:eastAsia="Calibri"/>
        </w:rPr>
        <w:lastRenderedPageBreak/>
        <w:t>audits, meetings, and collation of data is completed, with corrective actions developed as indicated. Meeting schedules are maintained.</w:t>
      </w:r>
    </w:p>
    <w:p w14:paraId="49E2B447" w14:textId="77777777" w:rsidR="00E16E25" w:rsidRPr="00A4268A" w:rsidRDefault="00000000">
      <w:pPr>
        <w:spacing w:before="240" w:line="276" w:lineRule="auto"/>
        <w:rPr>
          <w:rFonts w:eastAsia="Calibri"/>
        </w:rPr>
      </w:pPr>
      <w:r w:rsidRPr="00A4268A">
        <w:rPr>
          <w:rFonts w:eastAsia="Calibri"/>
        </w:rPr>
        <w:t xml:space="preserve">The service has an implemented health and safety programme. Hazards are managed. Incident forms are documented, and results are analysed. </w:t>
      </w:r>
    </w:p>
    <w:p w14:paraId="192AD546" w14:textId="77777777" w:rsidR="00E16E25" w:rsidRPr="00A4268A" w:rsidRDefault="00000000">
      <w:pPr>
        <w:spacing w:before="240" w:line="276" w:lineRule="auto"/>
        <w:rPr>
          <w:rFonts w:eastAsia="Calibri"/>
        </w:rPr>
      </w:pPr>
      <w:r w:rsidRPr="00A4268A">
        <w:rPr>
          <w:rFonts w:eastAsia="Calibri"/>
        </w:rPr>
        <w:t>A recruitment and orientation procedure is established. Staff are buddied with more experienced staff during their orientation. There is a staffing and rostering policy. A staff education/training programme is being implemented.</w:t>
      </w:r>
    </w:p>
    <w:bookmarkEnd w:id="19"/>
    <w:p w14:paraId="1B448ADD" w14:textId="77777777" w:rsidR="00E16E25" w:rsidRPr="00A4268A" w:rsidRDefault="00E16E25">
      <w:pPr>
        <w:spacing w:before="240" w:line="276" w:lineRule="auto"/>
        <w:rPr>
          <w:rFonts w:eastAsia="Calibri"/>
        </w:rPr>
      </w:pPr>
    </w:p>
    <w:p w14:paraId="2F900F1C" w14:textId="77777777" w:rsidR="00460D43"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6E25" w14:paraId="7520D794" w14:textId="77777777" w:rsidTr="00A4268A">
        <w:trPr>
          <w:cantSplit/>
        </w:trPr>
        <w:tc>
          <w:tcPr>
            <w:tcW w:w="10206" w:type="dxa"/>
            <w:vAlign w:val="center"/>
          </w:tcPr>
          <w:p w14:paraId="44A0824F"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CB3E212" w14:textId="77777777" w:rsidR="00460D43"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BF4B06A" w14:textId="77777777" w:rsidR="00460D43"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07FB3963" w14:textId="77777777" w:rsidR="00E536CC"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are responsible for the assessment, development, and evaluation of care plans. </w:t>
      </w:r>
    </w:p>
    <w:p w14:paraId="4BD53EBD" w14:textId="77777777" w:rsidR="00E16E25" w:rsidRPr="00A4268A" w:rsidRDefault="00000000" w:rsidP="00621629">
      <w:pPr>
        <w:spacing w:before="240" w:line="276" w:lineRule="auto"/>
        <w:rPr>
          <w:rFonts w:eastAsia="Calibri"/>
        </w:rPr>
      </w:pPr>
      <w:r w:rsidRPr="00A4268A">
        <w:rPr>
          <w:rFonts w:eastAsia="Calibri"/>
        </w:rPr>
        <w:t>The organisation uses an electronic medicine management system for e-prescribing, and administration of medications. The general practitioner is responsible for all medication reviews. Staff involved in medication administration are assessed as competent to do so.</w:t>
      </w:r>
    </w:p>
    <w:p w14:paraId="4ED4C634" w14:textId="77777777" w:rsidR="00E16E25" w:rsidRPr="00A4268A" w:rsidRDefault="00000000" w:rsidP="00621629">
      <w:pPr>
        <w:spacing w:before="240" w:line="276" w:lineRule="auto"/>
        <w:rPr>
          <w:rFonts w:eastAsia="Calibri"/>
        </w:rPr>
      </w:pPr>
      <w:r w:rsidRPr="00A4268A">
        <w:rPr>
          <w:rFonts w:eastAsia="Calibri"/>
        </w:rPr>
        <w:t>The food service caters for residents’ specific dietary likes and dislikes. A current food control plan is in place.</w:t>
      </w:r>
    </w:p>
    <w:p w14:paraId="53C4A829" w14:textId="77777777" w:rsidR="00E16E25"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3A73FC9E" w14:textId="77777777" w:rsidR="00E16E25" w:rsidRPr="00A4268A" w:rsidRDefault="00E16E25" w:rsidP="00621629">
      <w:pPr>
        <w:spacing w:before="240" w:line="276" w:lineRule="auto"/>
        <w:rPr>
          <w:rFonts w:eastAsia="Calibri"/>
        </w:rPr>
      </w:pPr>
    </w:p>
    <w:p w14:paraId="0EAF1D6E" w14:textId="77777777" w:rsidR="00460D43"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6E25" w14:paraId="5195D88D" w14:textId="77777777" w:rsidTr="00A4268A">
        <w:trPr>
          <w:cantSplit/>
        </w:trPr>
        <w:tc>
          <w:tcPr>
            <w:tcW w:w="10206" w:type="dxa"/>
            <w:vAlign w:val="center"/>
          </w:tcPr>
          <w:p w14:paraId="6F08CB3E"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F69F1E6" w14:textId="77777777" w:rsidR="00460D43"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E71DF71" w14:textId="77777777" w:rsidR="00460D43"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CA185A4" w14:textId="77777777" w:rsidR="00460D43" w:rsidRDefault="00000000">
      <w:pPr>
        <w:spacing w:before="240" w:line="276" w:lineRule="auto"/>
        <w:rPr>
          <w:rFonts w:eastAsia="Calibri"/>
        </w:rPr>
      </w:pPr>
      <w:bookmarkStart w:id="25" w:name="SafeAndAppropriateEnvironment"/>
      <w:r w:rsidRPr="00A4268A">
        <w:rPr>
          <w:rFonts w:eastAsia="Calibri"/>
        </w:rPr>
        <w:t xml:space="preserve">There is a current building warrant of fitness. There is a planned and reactive maintenance programme in place. </w:t>
      </w:r>
    </w:p>
    <w:bookmarkEnd w:id="25"/>
    <w:p w14:paraId="5B90DE69" w14:textId="77777777" w:rsidR="00E16E25" w:rsidRPr="00A4268A" w:rsidRDefault="00E16E25">
      <w:pPr>
        <w:spacing w:before="240" w:line="276" w:lineRule="auto"/>
        <w:rPr>
          <w:rFonts w:eastAsia="Calibri"/>
        </w:rPr>
      </w:pPr>
    </w:p>
    <w:p w14:paraId="5FB14978" w14:textId="77777777" w:rsidR="00460D43"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6E25" w14:paraId="55C019DA" w14:textId="77777777" w:rsidTr="00A4268A">
        <w:trPr>
          <w:cantSplit/>
        </w:trPr>
        <w:tc>
          <w:tcPr>
            <w:tcW w:w="10206" w:type="dxa"/>
            <w:vAlign w:val="center"/>
          </w:tcPr>
          <w:p w14:paraId="2F5C6CF1"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07CC260E" w14:textId="77777777" w:rsidR="00460D43"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DDCAC05" w14:textId="77777777" w:rsidR="00460D43"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45AC9876" w14:textId="77777777" w:rsidR="00460D43" w:rsidRDefault="00000000">
      <w:pPr>
        <w:spacing w:before="240" w:line="276" w:lineRule="auto"/>
        <w:rPr>
          <w:rFonts w:eastAsia="Calibri"/>
        </w:rPr>
      </w:pPr>
      <w:bookmarkStart w:id="28" w:name="RestraintMinimisationAndSafePractice"/>
      <w:r w:rsidRPr="00A4268A">
        <w:rPr>
          <w:rFonts w:eastAsia="Calibri"/>
        </w:rPr>
        <w:t>An infection control programme is documented for the service. Staff have attended education around infection control.</w:t>
      </w:r>
    </w:p>
    <w:p w14:paraId="0961BFA9" w14:textId="77777777" w:rsidR="00E16E25" w:rsidRPr="00A4268A" w:rsidRDefault="00000000">
      <w:pPr>
        <w:spacing w:before="240" w:line="276" w:lineRule="auto"/>
        <w:rPr>
          <w:rFonts w:eastAsia="Calibri"/>
        </w:rPr>
      </w:pPr>
      <w:r w:rsidRPr="00A4268A">
        <w:rPr>
          <w:rFonts w:eastAsia="Calibri"/>
        </w:rPr>
        <w:t xml:space="preserve">Surveillance of health care-associated infections is undertaken, and results are shared with all staff. Follow-up action is taken as and when required. There has been one outbreak since the previous audit in June 2022. </w:t>
      </w:r>
    </w:p>
    <w:bookmarkEnd w:id="28"/>
    <w:p w14:paraId="0602733D" w14:textId="77777777" w:rsidR="00E16E25" w:rsidRPr="00A4268A" w:rsidRDefault="00E16E25">
      <w:pPr>
        <w:spacing w:before="240" w:line="276" w:lineRule="auto"/>
        <w:rPr>
          <w:rFonts w:eastAsia="Calibri"/>
        </w:rPr>
      </w:pPr>
    </w:p>
    <w:p w14:paraId="270BB185" w14:textId="77777777" w:rsidR="00460D43"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6E25" w14:paraId="21D867C3" w14:textId="77777777" w:rsidTr="00A4268A">
        <w:trPr>
          <w:cantSplit/>
        </w:trPr>
        <w:tc>
          <w:tcPr>
            <w:tcW w:w="10206" w:type="dxa"/>
            <w:vAlign w:val="center"/>
          </w:tcPr>
          <w:p w14:paraId="06A6044D"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9FFAE4E" w14:textId="77777777" w:rsidR="00460D43"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0CE9FE1" w14:textId="77777777" w:rsidR="00460D43"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6116255" w14:textId="77777777" w:rsidR="00460D43" w:rsidRDefault="00000000">
      <w:pPr>
        <w:spacing w:before="240" w:line="276" w:lineRule="auto"/>
        <w:rPr>
          <w:rFonts w:eastAsia="Calibri"/>
        </w:rPr>
      </w:pPr>
      <w:bookmarkStart w:id="31" w:name="InfectionPreventionAndControl"/>
      <w:r w:rsidRPr="00A4268A">
        <w:rPr>
          <w:rFonts w:eastAsia="Calibri"/>
        </w:rPr>
        <w:t>The service is committed to maintaining a restraint-free service. There were no residents using restraints at the time of the audit. This is supported by the Board and policies and procedures. Staff interviewed demonstrated a sound knowledge and understanding of providing the least restrictive practice, de-escalation techniques and alternative interventions to prevent the use of restraint.</w:t>
      </w:r>
    </w:p>
    <w:bookmarkEnd w:id="31"/>
    <w:p w14:paraId="63F61D16" w14:textId="77777777" w:rsidR="00E16E25" w:rsidRPr="00A4268A" w:rsidRDefault="00E16E25">
      <w:pPr>
        <w:spacing w:before="240" w:line="276" w:lineRule="auto"/>
        <w:rPr>
          <w:rFonts w:eastAsia="Calibri"/>
        </w:rPr>
      </w:pPr>
    </w:p>
    <w:p w14:paraId="73C6B665" w14:textId="77777777" w:rsidR="00460D43" w:rsidRDefault="00000000" w:rsidP="000E6E02">
      <w:pPr>
        <w:pStyle w:val="Heading2"/>
        <w:spacing w:before="0"/>
        <w:rPr>
          <w:rFonts w:cs="Arial"/>
        </w:rPr>
      </w:pPr>
      <w:r>
        <w:rPr>
          <w:rFonts w:cs="Arial"/>
        </w:rPr>
        <w:t>Summary of attainment</w:t>
      </w:r>
    </w:p>
    <w:p w14:paraId="295045FE" w14:textId="77777777" w:rsidR="00460D43"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16E25" w14:paraId="403E8F80" w14:textId="77777777">
        <w:tc>
          <w:tcPr>
            <w:tcW w:w="1384" w:type="dxa"/>
            <w:vAlign w:val="center"/>
          </w:tcPr>
          <w:p w14:paraId="0799DA26"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452921D" w14:textId="77777777" w:rsidR="00460D43" w:rsidRDefault="00000000">
            <w:pPr>
              <w:keepNext/>
              <w:spacing w:before="60" w:after="60"/>
              <w:jc w:val="center"/>
              <w:rPr>
                <w:rFonts w:cs="Arial"/>
                <w:b/>
                <w:sz w:val="20"/>
                <w:szCs w:val="20"/>
              </w:rPr>
            </w:pPr>
            <w:r>
              <w:rPr>
                <w:rFonts w:cs="Arial"/>
                <w:b/>
                <w:sz w:val="20"/>
                <w:szCs w:val="20"/>
              </w:rPr>
              <w:t>Continuous Improvement</w:t>
            </w:r>
          </w:p>
          <w:p w14:paraId="5EBC1FC0" w14:textId="77777777" w:rsidR="00460D43"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21AF1F2" w14:textId="77777777" w:rsidR="00460D43" w:rsidRDefault="00000000">
            <w:pPr>
              <w:keepNext/>
              <w:spacing w:before="60" w:after="60"/>
              <w:jc w:val="center"/>
              <w:rPr>
                <w:rFonts w:cs="Arial"/>
                <w:b/>
                <w:sz w:val="20"/>
                <w:szCs w:val="20"/>
              </w:rPr>
            </w:pPr>
            <w:r>
              <w:rPr>
                <w:rFonts w:cs="Arial"/>
                <w:b/>
                <w:sz w:val="20"/>
                <w:szCs w:val="20"/>
              </w:rPr>
              <w:t>Fully Attained</w:t>
            </w:r>
          </w:p>
          <w:p w14:paraId="0EC0D205" w14:textId="77777777" w:rsidR="00460D43"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645BC19" w14:textId="77777777" w:rsidR="00460D43" w:rsidRDefault="00000000">
            <w:pPr>
              <w:keepNext/>
              <w:spacing w:before="60" w:after="60"/>
              <w:jc w:val="center"/>
              <w:rPr>
                <w:rFonts w:cs="Arial"/>
                <w:b/>
                <w:sz w:val="20"/>
                <w:szCs w:val="20"/>
              </w:rPr>
            </w:pPr>
            <w:r>
              <w:rPr>
                <w:rFonts w:cs="Arial"/>
                <w:b/>
                <w:sz w:val="20"/>
                <w:szCs w:val="20"/>
              </w:rPr>
              <w:t>Partially Attained Negligible Risk</w:t>
            </w:r>
          </w:p>
          <w:p w14:paraId="0C4DB9FE" w14:textId="77777777" w:rsidR="00460D43"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CE4ED83" w14:textId="77777777" w:rsidR="00460D43" w:rsidRDefault="00000000">
            <w:pPr>
              <w:keepNext/>
              <w:spacing w:before="60" w:after="60"/>
              <w:jc w:val="center"/>
              <w:rPr>
                <w:rFonts w:cs="Arial"/>
                <w:b/>
                <w:sz w:val="20"/>
                <w:szCs w:val="20"/>
              </w:rPr>
            </w:pPr>
            <w:r>
              <w:rPr>
                <w:rFonts w:cs="Arial"/>
                <w:b/>
                <w:sz w:val="20"/>
                <w:szCs w:val="20"/>
              </w:rPr>
              <w:t>Partially Attained Low Risk</w:t>
            </w:r>
          </w:p>
          <w:p w14:paraId="157882D3" w14:textId="77777777" w:rsidR="00460D43"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B3F9006" w14:textId="77777777" w:rsidR="00460D43" w:rsidRDefault="00000000">
            <w:pPr>
              <w:keepNext/>
              <w:spacing w:before="60" w:after="60"/>
              <w:jc w:val="center"/>
              <w:rPr>
                <w:rFonts w:cs="Arial"/>
                <w:b/>
                <w:sz w:val="20"/>
                <w:szCs w:val="20"/>
              </w:rPr>
            </w:pPr>
            <w:r>
              <w:rPr>
                <w:rFonts w:cs="Arial"/>
                <w:b/>
                <w:sz w:val="20"/>
                <w:szCs w:val="20"/>
              </w:rPr>
              <w:t>Partially Attained Moderate Risk</w:t>
            </w:r>
          </w:p>
          <w:p w14:paraId="608518EF" w14:textId="77777777" w:rsidR="00460D43"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D1A7219" w14:textId="77777777" w:rsidR="00460D43" w:rsidRDefault="00000000">
            <w:pPr>
              <w:keepNext/>
              <w:spacing w:before="60" w:after="60"/>
              <w:jc w:val="center"/>
              <w:rPr>
                <w:rFonts w:cs="Arial"/>
                <w:b/>
                <w:sz w:val="20"/>
                <w:szCs w:val="20"/>
              </w:rPr>
            </w:pPr>
            <w:r>
              <w:rPr>
                <w:rFonts w:cs="Arial"/>
                <w:b/>
                <w:sz w:val="20"/>
                <w:szCs w:val="20"/>
              </w:rPr>
              <w:t>Partially Attained High Risk</w:t>
            </w:r>
          </w:p>
          <w:p w14:paraId="2A980ACA" w14:textId="77777777" w:rsidR="00460D43"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5E2BBD4" w14:textId="77777777" w:rsidR="00460D43" w:rsidRDefault="00000000">
            <w:pPr>
              <w:keepNext/>
              <w:spacing w:before="60" w:after="60"/>
              <w:jc w:val="center"/>
              <w:rPr>
                <w:rFonts w:cs="Arial"/>
                <w:b/>
                <w:sz w:val="20"/>
                <w:szCs w:val="20"/>
              </w:rPr>
            </w:pPr>
            <w:r>
              <w:rPr>
                <w:rFonts w:cs="Arial"/>
                <w:b/>
                <w:sz w:val="20"/>
                <w:szCs w:val="20"/>
              </w:rPr>
              <w:t>Partially Attained Critical Risk</w:t>
            </w:r>
          </w:p>
          <w:p w14:paraId="064C82B2" w14:textId="77777777" w:rsidR="00460D43" w:rsidRDefault="00000000">
            <w:pPr>
              <w:keepNext/>
              <w:spacing w:before="60" w:after="60"/>
              <w:jc w:val="center"/>
              <w:rPr>
                <w:rFonts w:cs="Arial"/>
                <w:b/>
                <w:sz w:val="20"/>
                <w:szCs w:val="20"/>
              </w:rPr>
            </w:pPr>
            <w:r>
              <w:rPr>
                <w:rFonts w:cs="Arial"/>
                <w:b/>
                <w:sz w:val="20"/>
                <w:szCs w:val="20"/>
              </w:rPr>
              <w:t>(PA Critical)</w:t>
            </w:r>
          </w:p>
        </w:tc>
      </w:tr>
      <w:tr w:rsidR="00E16E25" w14:paraId="12D58CC0" w14:textId="77777777">
        <w:tc>
          <w:tcPr>
            <w:tcW w:w="1384" w:type="dxa"/>
            <w:vAlign w:val="center"/>
          </w:tcPr>
          <w:p w14:paraId="3B13FB1D"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08956AAB" w14:textId="77777777" w:rsidR="00460D43"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729E182" w14:textId="77777777" w:rsidR="00460D43" w:rsidRDefault="00000000"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4CBD2BB1" w14:textId="77777777" w:rsidR="00460D43"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041FB9F" w14:textId="77777777" w:rsidR="00460D43"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4E5EBFD4" w14:textId="77777777" w:rsidR="00460D43"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23F20348" w14:textId="77777777" w:rsidR="00460D43"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6749DC7" w14:textId="77777777" w:rsidR="00460D43"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16E25" w14:paraId="7B7EC23B" w14:textId="77777777">
        <w:tc>
          <w:tcPr>
            <w:tcW w:w="1384" w:type="dxa"/>
            <w:vAlign w:val="center"/>
          </w:tcPr>
          <w:p w14:paraId="258550BB" w14:textId="77777777" w:rsidR="00460D43" w:rsidRDefault="00000000">
            <w:pPr>
              <w:keepNext/>
              <w:spacing w:before="60" w:after="60"/>
              <w:rPr>
                <w:rFonts w:cs="Arial"/>
                <w:b/>
                <w:sz w:val="20"/>
                <w:szCs w:val="20"/>
              </w:rPr>
            </w:pPr>
            <w:r>
              <w:rPr>
                <w:rFonts w:cs="Arial"/>
                <w:b/>
                <w:sz w:val="20"/>
                <w:szCs w:val="20"/>
              </w:rPr>
              <w:t>Criteria</w:t>
            </w:r>
          </w:p>
        </w:tc>
        <w:tc>
          <w:tcPr>
            <w:tcW w:w="1701" w:type="dxa"/>
            <w:vAlign w:val="center"/>
          </w:tcPr>
          <w:p w14:paraId="0676EB81" w14:textId="77777777" w:rsidR="00460D43"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B3577FA" w14:textId="77777777" w:rsidR="00460D43" w:rsidRDefault="00000000" w:rsidP="00A4268A">
            <w:pPr>
              <w:spacing w:before="60" w:after="60"/>
              <w:jc w:val="center"/>
              <w:rPr>
                <w:rFonts w:cs="Arial"/>
                <w:sz w:val="20"/>
                <w:szCs w:val="20"/>
                <w:lang w:eastAsia="en-NZ"/>
              </w:rPr>
            </w:pPr>
            <w:bookmarkStart w:id="40" w:name="TotalCritFA"/>
            <w:r>
              <w:rPr>
                <w:rFonts w:cs="Arial"/>
                <w:sz w:val="20"/>
                <w:szCs w:val="20"/>
                <w:lang w:eastAsia="en-NZ"/>
              </w:rPr>
              <w:t>46</w:t>
            </w:r>
            <w:bookmarkEnd w:id="40"/>
          </w:p>
        </w:tc>
        <w:tc>
          <w:tcPr>
            <w:tcW w:w="1843" w:type="dxa"/>
            <w:vAlign w:val="center"/>
          </w:tcPr>
          <w:p w14:paraId="6D486991" w14:textId="77777777" w:rsidR="00460D43"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E06BEEA" w14:textId="77777777" w:rsidR="00460D43"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3D6C564" w14:textId="77777777" w:rsidR="00460D43"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515F5183" w14:textId="77777777" w:rsidR="00460D43"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0C6F3AB" w14:textId="77777777" w:rsidR="00460D43"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8EE4CD7" w14:textId="77777777" w:rsidR="00460D43"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16E25" w14:paraId="46502E97" w14:textId="77777777">
        <w:tc>
          <w:tcPr>
            <w:tcW w:w="1384" w:type="dxa"/>
            <w:vAlign w:val="center"/>
          </w:tcPr>
          <w:p w14:paraId="7906B43C"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13D63BA" w14:textId="77777777" w:rsidR="00460D43" w:rsidRDefault="00000000">
            <w:pPr>
              <w:keepNext/>
              <w:spacing w:before="60" w:after="60"/>
              <w:jc w:val="center"/>
              <w:rPr>
                <w:rFonts w:cs="Arial"/>
                <w:b/>
                <w:sz w:val="20"/>
                <w:szCs w:val="20"/>
              </w:rPr>
            </w:pPr>
            <w:r>
              <w:rPr>
                <w:rFonts w:cs="Arial"/>
                <w:b/>
                <w:sz w:val="20"/>
                <w:szCs w:val="20"/>
              </w:rPr>
              <w:t>Unattained Negligible Risk</w:t>
            </w:r>
          </w:p>
          <w:p w14:paraId="7B2788D8" w14:textId="77777777" w:rsidR="00460D43"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6B9C21A" w14:textId="77777777" w:rsidR="00460D43" w:rsidRDefault="00000000">
            <w:pPr>
              <w:keepNext/>
              <w:spacing w:before="60" w:after="60"/>
              <w:jc w:val="center"/>
              <w:rPr>
                <w:rFonts w:cs="Arial"/>
                <w:b/>
                <w:sz w:val="20"/>
                <w:szCs w:val="20"/>
              </w:rPr>
            </w:pPr>
            <w:r>
              <w:rPr>
                <w:rFonts w:cs="Arial"/>
                <w:b/>
                <w:sz w:val="20"/>
                <w:szCs w:val="20"/>
              </w:rPr>
              <w:t>Unattained Low Risk</w:t>
            </w:r>
          </w:p>
          <w:p w14:paraId="0F582E33" w14:textId="77777777" w:rsidR="00460D43"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4F10A55" w14:textId="77777777" w:rsidR="00460D43" w:rsidRDefault="00000000">
            <w:pPr>
              <w:keepNext/>
              <w:spacing w:before="60" w:after="60"/>
              <w:jc w:val="center"/>
              <w:rPr>
                <w:rFonts w:cs="Arial"/>
                <w:b/>
                <w:sz w:val="20"/>
                <w:szCs w:val="20"/>
              </w:rPr>
            </w:pPr>
            <w:r>
              <w:rPr>
                <w:rFonts w:cs="Arial"/>
                <w:b/>
                <w:sz w:val="20"/>
                <w:szCs w:val="20"/>
              </w:rPr>
              <w:t>Unattained Moderate Risk</w:t>
            </w:r>
          </w:p>
          <w:p w14:paraId="6E26345F" w14:textId="77777777" w:rsidR="00460D43"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AB40404" w14:textId="77777777" w:rsidR="00460D43" w:rsidRDefault="00000000">
            <w:pPr>
              <w:keepNext/>
              <w:spacing w:before="60" w:after="60"/>
              <w:jc w:val="center"/>
              <w:rPr>
                <w:rFonts w:cs="Arial"/>
                <w:b/>
                <w:sz w:val="20"/>
                <w:szCs w:val="20"/>
              </w:rPr>
            </w:pPr>
            <w:r>
              <w:rPr>
                <w:rFonts w:cs="Arial"/>
                <w:b/>
                <w:sz w:val="20"/>
                <w:szCs w:val="20"/>
              </w:rPr>
              <w:t>Unattained High Risk</w:t>
            </w:r>
          </w:p>
          <w:p w14:paraId="770AEFAE" w14:textId="77777777" w:rsidR="00460D43"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999EB6E" w14:textId="77777777" w:rsidR="00460D43" w:rsidRDefault="00000000">
            <w:pPr>
              <w:keepNext/>
              <w:spacing w:before="60" w:after="60"/>
              <w:jc w:val="center"/>
              <w:rPr>
                <w:rFonts w:cs="Arial"/>
                <w:b/>
                <w:sz w:val="20"/>
                <w:szCs w:val="20"/>
              </w:rPr>
            </w:pPr>
            <w:r>
              <w:rPr>
                <w:rFonts w:cs="Arial"/>
                <w:b/>
                <w:sz w:val="20"/>
                <w:szCs w:val="20"/>
              </w:rPr>
              <w:t>Unattained Critical Risk</w:t>
            </w:r>
          </w:p>
          <w:p w14:paraId="20E9D9AB" w14:textId="77777777" w:rsidR="00460D43" w:rsidRDefault="00000000">
            <w:pPr>
              <w:keepNext/>
              <w:spacing w:before="60" w:after="60"/>
              <w:jc w:val="center"/>
              <w:rPr>
                <w:rFonts w:cs="Arial"/>
                <w:b/>
                <w:sz w:val="20"/>
                <w:szCs w:val="20"/>
              </w:rPr>
            </w:pPr>
            <w:r>
              <w:rPr>
                <w:rFonts w:cs="Arial"/>
                <w:b/>
                <w:sz w:val="20"/>
                <w:szCs w:val="20"/>
              </w:rPr>
              <w:t>(UA Critical)</w:t>
            </w:r>
          </w:p>
        </w:tc>
      </w:tr>
      <w:tr w:rsidR="00E16E25" w14:paraId="0BB72CB3" w14:textId="77777777">
        <w:tc>
          <w:tcPr>
            <w:tcW w:w="1384" w:type="dxa"/>
            <w:vAlign w:val="center"/>
          </w:tcPr>
          <w:p w14:paraId="0D183CE9"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75E57941" w14:textId="77777777" w:rsidR="00460D43"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F699ECE" w14:textId="77777777" w:rsidR="00460D43"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1FE5021" w14:textId="77777777" w:rsidR="00460D43"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454CF3D" w14:textId="77777777" w:rsidR="00460D43"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49F3B6B" w14:textId="77777777" w:rsidR="00460D43"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16E25" w14:paraId="0AF15B53" w14:textId="77777777">
        <w:tc>
          <w:tcPr>
            <w:tcW w:w="1384" w:type="dxa"/>
            <w:vAlign w:val="center"/>
          </w:tcPr>
          <w:p w14:paraId="0D3A84AE" w14:textId="77777777" w:rsidR="00460D43" w:rsidRDefault="00000000">
            <w:pPr>
              <w:spacing w:before="60" w:after="60"/>
              <w:rPr>
                <w:rFonts w:cs="Arial"/>
                <w:b/>
                <w:sz w:val="20"/>
                <w:szCs w:val="20"/>
              </w:rPr>
            </w:pPr>
            <w:r>
              <w:rPr>
                <w:rFonts w:cs="Arial"/>
                <w:b/>
                <w:sz w:val="20"/>
                <w:szCs w:val="20"/>
              </w:rPr>
              <w:t>Criteria</w:t>
            </w:r>
          </w:p>
        </w:tc>
        <w:tc>
          <w:tcPr>
            <w:tcW w:w="1701" w:type="dxa"/>
            <w:vAlign w:val="center"/>
          </w:tcPr>
          <w:p w14:paraId="1900BCCA" w14:textId="77777777" w:rsidR="00460D43"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C573FFD" w14:textId="77777777" w:rsidR="00460D43"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A3EA600" w14:textId="77777777" w:rsidR="00460D43"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07326B7" w14:textId="77777777" w:rsidR="00460D43"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CA116B8" w14:textId="77777777" w:rsidR="00460D43"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84947C1" w14:textId="77777777" w:rsidR="00460D43"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E52B7B0"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65DCF74"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7EC59EC"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E16E25" w14:paraId="359BE9D2" w14:textId="77777777">
        <w:tc>
          <w:tcPr>
            <w:tcW w:w="0" w:type="auto"/>
          </w:tcPr>
          <w:p w14:paraId="4142A932" w14:textId="77777777" w:rsidR="00EB7645"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561C3BF"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29F5566"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16E25" w14:paraId="4DC3553A" w14:textId="77777777">
        <w:tc>
          <w:tcPr>
            <w:tcW w:w="0" w:type="auto"/>
          </w:tcPr>
          <w:p w14:paraId="3965E6DF"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556D1BB" w14:textId="77777777" w:rsidR="00EB7645"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EB8A8CF" w14:textId="77777777" w:rsidR="00EB7645" w:rsidRPr="00BE00C7" w:rsidRDefault="00000000" w:rsidP="00BE00C7">
            <w:pPr>
              <w:pStyle w:val="OutcomeDescription"/>
              <w:spacing w:before="120" w:after="120"/>
              <w:rPr>
                <w:rFonts w:cs="Arial"/>
                <w:lang w:eastAsia="en-NZ"/>
              </w:rPr>
            </w:pPr>
          </w:p>
        </w:tc>
        <w:tc>
          <w:tcPr>
            <w:tcW w:w="0" w:type="auto"/>
          </w:tcPr>
          <w:p w14:paraId="4D30D7AD"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CEF6D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Masonic Court has a Māori health plan, which staff have implemented. Te Tiriti o Waitangi is considered in their day-to-day work. The service has relationships with Māori stakeholders and local communities. Staff have completed training around cultural safety and Te Tiriti o Waitangi. At the time of the audit, there were Māori staff and residents who confirmed in interview that mana motuhake is recognised. </w:t>
            </w:r>
          </w:p>
          <w:p w14:paraId="4FDF8A24" w14:textId="77777777" w:rsidR="00EB7645" w:rsidRPr="00BE00C7" w:rsidRDefault="00000000" w:rsidP="00BE00C7">
            <w:pPr>
              <w:pStyle w:val="OutcomeDescription"/>
              <w:spacing w:before="120" w:after="120"/>
              <w:rPr>
                <w:rFonts w:cs="Arial"/>
                <w:lang w:eastAsia="en-NZ"/>
              </w:rPr>
            </w:pPr>
          </w:p>
        </w:tc>
      </w:tr>
      <w:tr w:rsidR="00E16E25" w14:paraId="60D245AD" w14:textId="77777777">
        <w:tc>
          <w:tcPr>
            <w:tcW w:w="0" w:type="auto"/>
          </w:tcPr>
          <w:p w14:paraId="59A97D37"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6359D7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1E5D88F" w14:textId="77777777" w:rsidR="00EB7645" w:rsidRPr="00BE00C7" w:rsidRDefault="00000000" w:rsidP="00BE00C7">
            <w:pPr>
              <w:pStyle w:val="OutcomeDescription"/>
              <w:spacing w:before="120" w:after="120"/>
              <w:rPr>
                <w:rFonts w:cs="Arial"/>
                <w:lang w:eastAsia="en-NZ"/>
              </w:rPr>
            </w:pPr>
          </w:p>
        </w:tc>
        <w:tc>
          <w:tcPr>
            <w:tcW w:w="0" w:type="auto"/>
          </w:tcPr>
          <w:p w14:paraId="49B1BDF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D27D2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Masonic Court has a Pacific health plan that encompasses the needs of Pasifika and addresses the Ngā Paerewa Health and Disability Services Standard. The aim is to uphold the principles of Pacific people by acknowledging respectful relationships and embracing cultural and spiritual beliefs and providing high quality healthcare. At the time of the audit there were Pasifika residents. There were staff employed at the facility who identified as Pasifika. </w:t>
            </w:r>
          </w:p>
          <w:p w14:paraId="2018571A" w14:textId="77777777" w:rsidR="00EB7645" w:rsidRPr="00BE00C7" w:rsidRDefault="00000000" w:rsidP="00BE00C7">
            <w:pPr>
              <w:pStyle w:val="OutcomeDescription"/>
              <w:spacing w:before="120" w:after="120"/>
              <w:rPr>
                <w:rFonts w:cs="Arial"/>
                <w:lang w:eastAsia="en-NZ"/>
              </w:rPr>
            </w:pPr>
          </w:p>
        </w:tc>
      </w:tr>
      <w:tr w:rsidR="00E16E25" w14:paraId="794B194B" w14:textId="77777777">
        <w:tc>
          <w:tcPr>
            <w:tcW w:w="0" w:type="auto"/>
          </w:tcPr>
          <w:p w14:paraId="7DC7F7C1"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B78954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C02DF6A" w14:textId="77777777" w:rsidR="00EB7645" w:rsidRPr="00BE00C7" w:rsidRDefault="00000000" w:rsidP="00BE00C7">
            <w:pPr>
              <w:pStyle w:val="OutcomeDescription"/>
              <w:spacing w:before="120" w:after="120"/>
              <w:rPr>
                <w:rFonts w:cs="Arial"/>
                <w:lang w:eastAsia="en-NZ"/>
              </w:rPr>
            </w:pPr>
          </w:p>
        </w:tc>
        <w:tc>
          <w:tcPr>
            <w:tcW w:w="0" w:type="auto"/>
          </w:tcPr>
          <w:p w14:paraId="7541C8A3"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BAFAF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The facility manager (interviewed) demonstrated how it is also provided in welcome packs, in the language most appropriate for the resident, to ensure they are fully informed of their rights. Three residents interviewed (rest home) and two family/whānau (one hospital, one rest home) reported that all staff respected their rights, and that they were supported to know and understand their rights. Care plans reviewed were resident centred and evidenced input into their care and choice/independence. Staff have completed training on the Code of Rights. </w:t>
            </w:r>
          </w:p>
          <w:p w14:paraId="5B3AC958" w14:textId="77777777" w:rsidR="00EB7645" w:rsidRPr="00BE00C7" w:rsidRDefault="00000000" w:rsidP="00BE00C7">
            <w:pPr>
              <w:pStyle w:val="OutcomeDescription"/>
              <w:spacing w:before="120" w:after="120"/>
              <w:rPr>
                <w:rFonts w:cs="Arial"/>
                <w:lang w:eastAsia="en-NZ"/>
              </w:rPr>
            </w:pPr>
          </w:p>
        </w:tc>
      </w:tr>
      <w:tr w:rsidR="00E16E25" w14:paraId="43A3CB7E" w14:textId="77777777">
        <w:tc>
          <w:tcPr>
            <w:tcW w:w="0" w:type="auto"/>
          </w:tcPr>
          <w:p w14:paraId="51165AC4"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1A4E93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E94D9C6" w14:textId="77777777" w:rsidR="00EB7645" w:rsidRPr="00BE00C7" w:rsidRDefault="00000000" w:rsidP="00BE00C7">
            <w:pPr>
              <w:pStyle w:val="OutcomeDescription"/>
              <w:spacing w:before="120" w:after="120"/>
              <w:rPr>
                <w:rFonts w:cs="Arial"/>
                <w:lang w:eastAsia="en-NZ"/>
              </w:rPr>
            </w:pPr>
          </w:p>
        </w:tc>
        <w:tc>
          <w:tcPr>
            <w:tcW w:w="0" w:type="auto"/>
          </w:tcPr>
          <w:p w14:paraId="7F734A2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EFE5F4" w14:textId="77777777" w:rsidR="00EB7645" w:rsidRPr="00BE00C7" w:rsidRDefault="00000000" w:rsidP="00BE00C7">
            <w:pPr>
              <w:pStyle w:val="OutcomeDescription"/>
              <w:spacing w:before="120" w:after="120"/>
              <w:rPr>
                <w:rFonts w:cs="Arial"/>
                <w:lang w:eastAsia="en-NZ"/>
              </w:rPr>
            </w:pPr>
            <w:r w:rsidRPr="00BE00C7">
              <w:rPr>
                <w:rFonts w:cs="Arial"/>
                <w:lang w:eastAsia="en-NZ"/>
              </w:rPr>
              <w:t>An abuse and neglect policy is being implemented. Masonic Court policies prevent any form of discrimination, coercion, harassment, or any other exploitation. A comprehensive house rules / code of conduct is discussed and signed by staff during their induction to the service. The house rules / code of conduct addresses harassment, racism, and bullying. Staff sign to acknowledge that they accept the house rules / code of conduct as part of the employment process.</w:t>
            </w:r>
          </w:p>
          <w:p w14:paraId="02556ED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All residents and families/whānau interviewed confirmed that the staff are very caring, supportive, and respectful. The service implements a process to manage residents’ comfort funds, such as sundry expenses. </w:t>
            </w:r>
          </w:p>
          <w:p w14:paraId="22895C7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three registered nurses and three caregivers confirmed their understanding of professional boundaries, including the boundaries of their role and responsibilities. Professional boundaries are covered as part of orientation. </w:t>
            </w:r>
          </w:p>
          <w:p w14:paraId="0AABE89E" w14:textId="77777777" w:rsidR="00EB7645" w:rsidRPr="00BE00C7" w:rsidRDefault="00000000" w:rsidP="00BE00C7">
            <w:pPr>
              <w:pStyle w:val="OutcomeDescription"/>
              <w:spacing w:before="120" w:after="120"/>
              <w:rPr>
                <w:rFonts w:cs="Arial"/>
                <w:lang w:eastAsia="en-NZ"/>
              </w:rPr>
            </w:pPr>
            <w:r w:rsidRPr="00BE00C7">
              <w:rPr>
                <w:rFonts w:cs="Arial"/>
                <w:lang w:eastAsia="en-NZ"/>
              </w:rPr>
              <w:t>Interviews with eight staff (three caregivers, three registered nurse, one head cook, one maintenance), the facility manager, residents and family/ whānau and documentation reviewed, confirmed that the staff are very caring, supportive, and respectful.</w:t>
            </w:r>
          </w:p>
          <w:p w14:paraId="0007BB29" w14:textId="77777777" w:rsidR="00EB7645" w:rsidRPr="00BE00C7" w:rsidRDefault="00000000" w:rsidP="00BE00C7">
            <w:pPr>
              <w:pStyle w:val="OutcomeDescription"/>
              <w:spacing w:before="120" w:after="120"/>
              <w:rPr>
                <w:rFonts w:cs="Arial"/>
                <w:lang w:eastAsia="en-NZ"/>
              </w:rPr>
            </w:pPr>
          </w:p>
        </w:tc>
      </w:tr>
      <w:tr w:rsidR="00E16E25" w14:paraId="46CCCFFA" w14:textId="77777777">
        <w:tc>
          <w:tcPr>
            <w:tcW w:w="0" w:type="auto"/>
          </w:tcPr>
          <w:p w14:paraId="7DC2721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79F071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ADFBC39" w14:textId="77777777" w:rsidR="00EB7645" w:rsidRPr="00BE00C7" w:rsidRDefault="00000000" w:rsidP="00BE00C7">
            <w:pPr>
              <w:pStyle w:val="OutcomeDescription"/>
              <w:spacing w:before="120" w:after="120"/>
              <w:rPr>
                <w:rFonts w:cs="Arial"/>
                <w:lang w:eastAsia="en-NZ"/>
              </w:rPr>
            </w:pPr>
          </w:p>
        </w:tc>
        <w:tc>
          <w:tcPr>
            <w:tcW w:w="0" w:type="auto"/>
          </w:tcPr>
          <w:p w14:paraId="1444996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BD847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policy that guides informed consent (including Māori, who may wish to involve whānau for collective decision making). Five resident files were reviewed and written general consents sighted for outings, photographs, release of medical information, medication management and medical cares were included and signed as part of the admission process. Residents and family/whānau interviewed were able to describe what informed consent was and knew they had the right to make choices. At interview with family/whānau, they confirmed that they are involved in the decision-making process, and in the planning of resident’s care. </w:t>
            </w:r>
          </w:p>
          <w:p w14:paraId="4F90B695" w14:textId="77777777" w:rsidR="00EB7645" w:rsidRPr="00BE00C7" w:rsidRDefault="00000000" w:rsidP="00BE00C7">
            <w:pPr>
              <w:pStyle w:val="OutcomeDescription"/>
              <w:spacing w:before="120" w:after="120"/>
              <w:rPr>
                <w:rFonts w:cs="Arial"/>
                <w:lang w:eastAsia="en-NZ"/>
              </w:rPr>
            </w:pPr>
            <w:r w:rsidRPr="00BE00C7">
              <w:rPr>
                <w:rFonts w:cs="Arial"/>
                <w:lang w:eastAsia="en-NZ"/>
              </w:rPr>
              <w:t>Discussions with registered nurses and caregivers confirmed they are familiar with the requirements to obtain informed consent for personal cares and entering rooms. Signed admission agreements, enduring power of attorney (EPOA) and activation documentation were evident in the resident files sampled.</w:t>
            </w:r>
          </w:p>
          <w:p w14:paraId="7DB93FAD" w14:textId="77777777" w:rsidR="00EB7645" w:rsidRPr="00BE00C7" w:rsidRDefault="00000000" w:rsidP="00BE00C7">
            <w:pPr>
              <w:pStyle w:val="OutcomeDescription"/>
              <w:spacing w:before="120" w:after="120"/>
              <w:rPr>
                <w:rFonts w:cs="Arial"/>
                <w:lang w:eastAsia="en-NZ"/>
              </w:rPr>
            </w:pPr>
          </w:p>
        </w:tc>
      </w:tr>
      <w:tr w:rsidR="00E16E25" w14:paraId="435D371D" w14:textId="77777777">
        <w:tc>
          <w:tcPr>
            <w:tcW w:w="0" w:type="auto"/>
          </w:tcPr>
          <w:p w14:paraId="3A5374AD"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EAFD5E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AAEF76F" w14:textId="77777777" w:rsidR="00EB7645" w:rsidRPr="00BE00C7" w:rsidRDefault="00000000" w:rsidP="00BE00C7">
            <w:pPr>
              <w:pStyle w:val="OutcomeDescription"/>
              <w:spacing w:before="120" w:after="120"/>
              <w:rPr>
                <w:rFonts w:cs="Arial"/>
                <w:lang w:eastAsia="en-NZ"/>
              </w:rPr>
            </w:pPr>
          </w:p>
        </w:tc>
        <w:tc>
          <w:tcPr>
            <w:tcW w:w="0" w:type="auto"/>
          </w:tcPr>
          <w:p w14:paraId="15572D5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7388D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complaints procedure is an equitable process provided to residents and families/whānau during the resident’s entry to the service. Access to complaint forms is located at the entrance and in visible places throughout the facility or on request from staff. Residents or family/whānau making a complaint can involve an independent support person in the process if they choose. The complaints process is linked to advocacy services. The Code of Health and Disability Services Consumers’ Rights and complaints process is visible, and available in te reo Māori, and English.</w:t>
            </w:r>
          </w:p>
          <w:p w14:paraId="0756AF2D" w14:textId="3675DB03" w:rsidR="00EB7645" w:rsidRPr="00BE00C7" w:rsidRDefault="00000000" w:rsidP="00BE00C7">
            <w:pPr>
              <w:pStyle w:val="OutcomeDescription"/>
              <w:spacing w:before="120" w:after="120"/>
              <w:rPr>
                <w:rFonts w:cs="Arial"/>
                <w:lang w:eastAsia="en-NZ"/>
              </w:rPr>
            </w:pPr>
            <w:r w:rsidRPr="00BE00C7">
              <w:rPr>
                <w:rFonts w:cs="Arial"/>
                <w:lang w:eastAsia="en-NZ"/>
              </w:rPr>
              <w:t>A complaints register is maintained which includes all complaints, dates and actions taken. The</w:t>
            </w:r>
            <w:r w:rsidR="003E52F8">
              <w:rPr>
                <w:rFonts w:cs="Arial"/>
                <w:lang w:eastAsia="en-NZ"/>
              </w:rPr>
              <w:t>re</w:t>
            </w:r>
            <w:r w:rsidRPr="00BE00C7">
              <w:rPr>
                <w:rFonts w:cs="Arial"/>
                <w:lang w:eastAsia="en-NZ"/>
              </w:rPr>
              <w:t xml:space="preserve"> have been five internal complaints received since</w:t>
            </w:r>
            <w:r w:rsidR="003E52F8">
              <w:rPr>
                <w:rFonts w:cs="Arial"/>
                <w:lang w:eastAsia="en-NZ"/>
              </w:rPr>
              <w:t xml:space="preserve"> the</w:t>
            </w:r>
            <w:r w:rsidRPr="00BE00C7">
              <w:rPr>
                <w:rFonts w:cs="Arial"/>
                <w:lang w:eastAsia="en-NZ"/>
              </w:rPr>
              <w:t xml:space="preserve"> last audit, with themes around food and care. It is evidenced in meeting minutes that complaints are discussed with staff and the Board. The health and disability commissioner (HDC) complaint from 2021 remains open (noted in previous audit, June 2022), with all required documents and reports supplied to HDC. </w:t>
            </w:r>
          </w:p>
          <w:p w14:paraId="238B14D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Documentation of complaints, including follow-up letters and resolution, demonstrates that complaints are being managed in accordance with </w:t>
            </w:r>
            <w:r w:rsidRPr="00BE00C7">
              <w:rPr>
                <w:rFonts w:cs="Arial"/>
                <w:lang w:eastAsia="en-NZ"/>
              </w:rPr>
              <w:lastRenderedPageBreak/>
              <w:t xml:space="preserve">guidelines set by the Health and Disability Commissioner (HDC). All complaints are documented as resolved and closed. </w:t>
            </w:r>
          </w:p>
          <w:p w14:paraId="29AC08A6" w14:textId="77777777" w:rsidR="00EB7645" w:rsidRPr="00BE00C7" w:rsidRDefault="00000000" w:rsidP="00BE00C7">
            <w:pPr>
              <w:pStyle w:val="OutcomeDescription"/>
              <w:spacing w:before="120" w:after="120"/>
              <w:rPr>
                <w:rFonts w:cs="Arial"/>
                <w:lang w:eastAsia="en-NZ"/>
              </w:rPr>
            </w:pPr>
            <w:r w:rsidRPr="00BE00C7">
              <w:rPr>
                <w:rFonts w:cs="Arial"/>
                <w:lang w:eastAsia="en-NZ"/>
              </w:rPr>
              <w:t>Discussions with residents and family/ whānau confirmed that they were provided with information on the complaints process and remarked that any concerns or issues they have raised, were addressed promptly. Information about the support resources for Māori is available to staff to assist Māori in the complaints process. Interpreters contact details are available. The facility manager acknowledged their understanding that for Māori, there is a preference for face-to-face communication and to include whānau participation. Staff interviewed confirmed they are informed of complaints (and any subsequent corrective actions) in staff meetings.</w:t>
            </w:r>
          </w:p>
          <w:p w14:paraId="47D4A225" w14:textId="77777777" w:rsidR="00EB7645" w:rsidRPr="00BE00C7" w:rsidRDefault="00000000" w:rsidP="00BE00C7">
            <w:pPr>
              <w:pStyle w:val="OutcomeDescription"/>
              <w:spacing w:before="120" w:after="120"/>
              <w:rPr>
                <w:rFonts w:cs="Arial"/>
                <w:lang w:eastAsia="en-NZ"/>
              </w:rPr>
            </w:pPr>
          </w:p>
        </w:tc>
      </w:tr>
      <w:tr w:rsidR="00E16E25" w14:paraId="2DCEA703" w14:textId="77777777">
        <w:tc>
          <w:tcPr>
            <w:tcW w:w="0" w:type="auto"/>
          </w:tcPr>
          <w:p w14:paraId="6A182CE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C804E5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14991E8" w14:textId="77777777" w:rsidR="00EB7645" w:rsidRPr="00BE00C7" w:rsidRDefault="00000000" w:rsidP="00BE00C7">
            <w:pPr>
              <w:pStyle w:val="OutcomeDescription"/>
              <w:spacing w:before="120" w:after="120"/>
              <w:rPr>
                <w:rFonts w:cs="Arial"/>
                <w:lang w:eastAsia="en-NZ"/>
              </w:rPr>
            </w:pPr>
          </w:p>
        </w:tc>
        <w:tc>
          <w:tcPr>
            <w:tcW w:w="0" w:type="auto"/>
          </w:tcPr>
          <w:p w14:paraId="1E6F3D43"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8DEDD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Masonic Court, located in Whanganui, is certified for up to 56 beds: eleven dedicated rest home level and 45 dual purpose beds. There are no double or shared rooms. </w:t>
            </w:r>
          </w:p>
          <w:p w14:paraId="5BEAE57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At the time of audit, there were 51 residents in the facility: 34 rest home level of care residents, including one on long-term support chronic health contract (LTS-CHC) and two on Accident Compensation Corporation (ACC) funding; and 17 hospital level of care residents, including four on Accident Compensation Corporation (ACC) funding, two on a palliative care contract and one on intermediate care. All remaining residents were on the age-related residential care agreement (ARRC). </w:t>
            </w:r>
          </w:p>
          <w:p w14:paraId="5D70F5B1" w14:textId="77777777" w:rsidR="00EB7645" w:rsidRPr="00BE00C7" w:rsidRDefault="00000000" w:rsidP="00BE00C7">
            <w:pPr>
              <w:pStyle w:val="OutcomeDescription"/>
              <w:spacing w:before="120" w:after="120"/>
              <w:rPr>
                <w:rFonts w:cs="Arial"/>
                <w:lang w:eastAsia="en-NZ"/>
              </w:rPr>
            </w:pPr>
            <w:r w:rsidRPr="00BE00C7">
              <w:rPr>
                <w:rFonts w:cs="Arial"/>
                <w:lang w:eastAsia="en-NZ"/>
              </w:rPr>
              <w:t>Masonic Court is governed by a Trust Board, consisting of nine Board members with a range of experience and skills, including clinical expertise. The governance body meets legislative, contractual, and regulatory requirements. The governance body understands the obligation to comply with Ngā Paerewa NZS 8134:2021. The organisation values were displayed in the facility and in information available to residents and family/whānau and is included in the strategic business plan.</w:t>
            </w:r>
          </w:p>
          <w:p w14:paraId="518E78B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currently Māori representatives at governance level and as a Board they demonstrate core competencies which include understanding of the service’s obligations under Te Tiriti, health equity, and cultural safety. Masonic Court’s philosophy and values flow from the principles of the free masonry and underpins the business plan, quality goals and objectives. The strategic business plan is developed annually, and has key outcomes which </w:t>
            </w:r>
            <w:r w:rsidRPr="00BE00C7">
              <w:rPr>
                <w:rFonts w:cs="Arial"/>
                <w:lang w:eastAsia="en-NZ"/>
              </w:rPr>
              <w:lastRenderedPageBreak/>
              <w:t xml:space="preserve">are resident centred, such as resident satisfaction; health and safety; complaint; education; ongoing refurbishment of the facility; new equipment; and a new information technology (IT) system and fiscal stability, which are monitored at Board meetings. Business plans and goals are reviewed regularly by the Board of Trustees, with the 2023 goals having been signed off by the facility manager and Board representative. The organisation has an annual quality and risk management plan, which is developed with input from facility staff. The plan ensures barriers to equitable service delivery for Māori and tāngata whaikaha are addressed. </w:t>
            </w:r>
          </w:p>
          <w:p w14:paraId="61BAEB0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Māori health plan describes how the organisation will ensure equity. The facility manager described how the facility has embarked on cultural awareness training, creating working relationships with local Māori and Pacific groups, introducing the basics of te reo Māori and supporting staff to upskill in Māori tikanga. Families/whānau are encouraged to participate in the planning, implementation, monitoring, and evaluation of service delivery.</w:t>
            </w:r>
          </w:p>
          <w:p w14:paraId="5AD6B1B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oversees the facility’s quality and operational performance and holds a weekly meeting with the Board secretary, who visits the facility in person, as well as producing a monthly report for the Board. </w:t>
            </w:r>
          </w:p>
          <w:p w14:paraId="796BF12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(non-clinical) has been in the role for almost three years, is experienced in elderly care management and is responsible for the daily operations for the facility. They are supported by a part time clinical nurse leader (CNL) (on leave at the time of the audit), who has been in the role for two years, and an assistant manager. The manager, clinical nurse lead, and assistant manager have maintained at least eight hours annually of professional development activities related to managing a rest home. </w:t>
            </w:r>
          </w:p>
          <w:p w14:paraId="3D101A53" w14:textId="77777777" w:rsidR="00EB7645" w:rsidRPr="00BE00C7" w:rsidRDefault="00000000" w:rsidP="00BE00C7">
            <w:pPr>
              <w:pStyle w:val="OutcomeDescription"/>
              <w:spacing w:before="120" w:after="120"/>
              <w:rPr>
                <w:rFonts w:cs="Arial"/>
                <w:lang w:eastAsia="en-NZ"/>
              </w:rPr>
            </w:pPr>
          </w:p>
        </w:tc>
      </w:tr>
      <w:tr w:rsidR="00E16E25" w14:paraId="7EA46651" w14:textId="77777777">
        <w:tc>
          <w:tcPr>
            <w:tcW w:w="0" w:type="auto"/>
          </w:tcPr>
          <w:p w14:paraId="6BE9F52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96EDBE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t>
            </w:r>
            <w:r w:rsidRPr="00BE00C7">
              <w:rPr>
                <w:rFonts w:cs="Arial"/>
                <w:lang w:eastAsia="en-NZ"/>
              </w:rPr>
              <w:lastRenderedPageBreak/>
              <w:t>wide governance systems in place relating to continuous quality improvement that take a risk-based approach, and these systems meet the needs of people using the services and our health care and support workers.</w:t>
            </w:r>
          </w:p>
          <w:p w14:paraId="7CF79EDC" w14:textId="77777777" w:rsidR="00EB7645" w:rsidRPr="00BE00C7" w:rsidRDefault="00000000" w:rsidP="00BE00C7">
            <w:pPr>
              <w:pStyle w:val="OutcomeDescription"/>
              <w:spacing w:before="120" w:after="120"/>
              <w:rPr>
                <w:rFonts w:cs="Arial"/>
                <w:lang w:eastAsia="en-NZ"/>
              </w:rPr>
            </w:pPr>
          </w:p>
        </w:tc>
        <w:tc>
          <w:tcPr>
            <w:tcW w:w="0" w:type="auto"/>
          </w:tcPr>
          <w:p w14:paraId="42964B9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DFC33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Masonic Court has an implemented quality and risk management programme, developed by an external contractor. The quality system includes performance monitoring; internal audits; resident family satisfaction; staff retention; and the collection, collation, and benchmarking of clinical indicator data. Monthly quality improvement and staff meetings provide an avenue for discussions in relation to (but not limited to): quality data; health and safety; infection control/pandemic strategies; complaints received; staffing; and education. Internal audits, meetings, and collation of data were </w:t>
            </w:r>
            <w:r w:rsidRPr="00BE00C7">
              <w:rPr>
                <w:rFonts w:cs="Arial"/>
                <w:lang w:eastAsia="en-NZ"/>
              </w:rPr>
              <w:lastRenderedPageBreak/>
              <w:t xml:space="preserve">documented as taking place, with corrective actions documented where indicated to address service improvements, with evidence of progress and sign off when achieved. Quality goals and progress towards attainment are discussed at meetings. Quality data and trends are added to meeting minutes and available for staff to access in the staffroom. Corrective actions are discussed at staff meetings to ensure any outstanding matters are addressed with sign off when completed as sighted in the meeting minutes. </w:t>
            </w:r>
          </w:p>
          <w:p w14:paraId="1551E902"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 family/whānau satisfaction surveys are completed annually. The November 2022 and most recent November 2023 resident, family/ whānau satisfaction surveys have been collated, analysed, and indicate that residents, and family/ whānau have reported high levels of satisfaction with the service provided. The results have been communicated to residents and family/whānau, and quality actions/improvements related to food and laundry have been put in place as indicated. This is an improvement on the previous audit, and the partial attainment relating to # 2.2.3 has been satisfied.</w:t>
            </w:r>
          </w:p>
          <w:p w14:paraId="0264B025" w14:textId="77777777" w:rsidR="00EB7645"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and an up-to-date hazard register was reviewed (sighted). Manufacturer safety datasheets are up to date. Staff are kept informed on health and safety issues in handovers and meetings. In the event of a staff accident or incident, a debrief process is documented on the accident/incident form.</w:t>
            </w:r>
          </w:p>
          <w:p w14:paraId="6BC63AA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Electronic accident/incident forms are completed for each incident/accident, and immediate action is documented with any follow-up action(s) required, evidenced in the twelve accident/incident records reviewed. Each incident involving a resident reflected a clinical assessment and a timely follow up by a registered nurse. Opportunities to minimise future risks were identified where possible through a corrective action plan and discussions at staff meetings. Incident and accident data is collated monthly and analysed for trending. Results are discussed at the meetings. </w:t>
            </w:r>
          </w:p>
          <w:p w14:paraId="2EC60ABE" w14:textId="77777777" w:rsidR="00EB7645"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evidenced awareness of their requirement to notify relevant authorities in relation to essential notifications. There have been Section 31 notifications completed to notify HealthCERT of an outbreak and registered nurse shortage; with the last one completed first week of January 2024. There was one gastroenteritis related outbreak since previous audit, which was appropriately notified.</w:t>
            </w:r>
          </w:p>
          <w:p w14:paraId="7E96EA38" w14:textId="77777777" w:rsidR="00EB7645" w:rsidRPr="00BE00C7" w:rsidRDefault="00000000" w:rsidP="00BE00C7">
            <w:pPr>
              <w:pStyle w:val="OutcomeDescription"/>
              <w:spacing w:before="120" w:after="120"/>
              <w:rPr>
                <w:rFonts w:cs="Arial"/>
                <w:lang w:eastAsia="en-NZ"/>
              </w:rPr>
            </w:pPr>
          </w:p>
        </w:tc>
      </w:tr>
      <w:tr w:rsidR="00E16E25" w14:paraId="3654A8AE" w14:textId="77777777">
        <w:tc>
          <w:tcPr>
            <w:tcW w:w="0" w:type="auto"/>
          </w:tcPr>
          <w:p w14:paraId="03F63AE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83F2F3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B028B99" w14:textId="77777777" w:rsidR="00EB7645" w:rsidRPr="00BE00C7" w:rsidRDefault="00000000" w:rsidP="00BE00C7">
            <w:pPr>
              <w:pStyle w:val="OutcomeDescription"/>
              <w:spacing w:before="120" w:after="120"/>
              <w:rPr>
                <w:rFonts w:cs="Arial"/>
                <w:lang w:eastAsia="en-NZ"/>
              </w:rPr>
            </w:pPr>
          </w:p>
        </w:tc>
        <w:tc>
          <w:tcPr>
            <w:tcW w:w="0" w:type="auto"/>
          </w:tcPr>
          <w:p w14:paraId="3BB23EC7"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1F3C1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The roster provides sufficient and appropriate coverage for the effective delivery of care and support. The registered nurses, activities staff, and a selection of caregivers hold current first aid certificates. There is a first aid trained staff member on duty 24/7. Interviews with staff confirmed that their workload is manageable, and that management is very supportive. Staff and residents are informed when there are changes to staffing levels, evidenced in staff interviews. </w:t>
            </w:r>
          </w:p>
          <w:p w14:paraId="095162D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clinical nurse leader are available Monday to Friday. Clinical on call is rotated between the clinical nurse leader and the senior registered nurses. The facility manager is available 24/7 for any non-clinical concerns. </w:t>
            </w:r>
          </w:p>
          <w:p w14:paraId="12490708"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have been Section 31 notifications completed to notify HealthCERT of registered nurse shortage since last audit. The last notification was completed in the first week of January 2024. The service now has a full complement of registered nurse staff to ensure 24/7 registered nurse cover of shifts. This was sighted on the rosters reviewed. The previous audit shortfall (# 2.3.1) has been addressed.</w:t>
            </w:r>
          </w:p>
          <w:p w14:paraId="169F713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that includes mandatory training completed for 2023 and being implemented for 2024. A record of completion is maintained on the electronic staff file records and hard copy training register. The education and training schedule lists compulsory training, which includes Māori health, tikanga, and Te Tiriti O Waitangi. Cultural awareness training is part of orientation and provided annually to all staff. External training opportunities for care staff includes training through Te Whatu Ora Health New Zealand -Whanganui. </w:t>
            </w:r>
          </w:p>
          <w:p w14:paraId="7DC7CE87" w14:textId="77777777" w:rsidR="00EB7645" w:rsidRPr="00BE00C7" w:rsidRDefault="00000000" w:rsidP="00BE00C7">
            <w:pPr>
              <w:pStyle w:val="OutcomeDescription"/>
              <w:spacing w:before="120" w:after="120"/>
              <w:rPr>
                <w:rFonts w:cs="Arial"/>
                <w:lang w:eastAsia="en-NZ"/>
              </w:rPr>
            </w:pPr>
            <w:r w:rsidRPr="00BE00C7">
              <w:rPr>
                <w:rFonts w:cs="Arial"/>
                <w:lang w:eastAsia="en-NZ"/>
              </w:rPr>
              <w:t>Competencies and questionnaires are completed by staff, which are linked to the education and training programme. Staff completed competency assessments and questionnaires as part of their orientation related to cultural competency; fire safety; infection prevention and control; moving and handling; falls; Code of Rights; ageing; communication; restraint; dementia; challenging behaviour; and medication management. All care staff who administer medications and those who are medication checkers are required to complete medication competencies annually. A record of completion is maintained in the electronic competency register.</w:t>
            </w:r>
          </w:p>
          <w:p w14:paraId="754B190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 service supports and encourages caregivers to obtain a New Zealand Qualification Authority (NZQA) qualification. Of the 22 caregivers, 12 have completed NZQA level 3 and above, and five completed NZQA level 2.</w:t>
            </w:r>
          </w:p>
          <w:p w14:paraId="5D0C622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Additional RN competencies cover medication administration; syringe driver; nebuliser; oxygen; interRAI assessment; and wound management. There are seven registered nurses (including the clinical nurse leader), with two being interRAI trained. </w:t>
            </w:r>
          </w:p>
          <w:p w14:paraId="3F1F7EEA" w14:textId="77777777" w:rsidR="00EB7645" w:rsidRPr="00BE00C7" w:rsidRDefault="00000000" w:rsidP="00BE00C7">
            <w:pPr>
              <w:pStyle w:val="OutcomeDescription"/>
              <w:spacing w:before="120" w:after="120"/>
              <w:rPr>
                <w:rFonts w:cs="Arial"/>
                <w:lang w:eastAsia="en-NZ"/>
              </w:rPr>
            </w:pPr>
          </w:p>
        </w:tc>
      </w:tr>
      <w:tr w:rsidR="00E16E25" w14:paraId="7838E93E" w14:textId="77777777">
        <w:tc>
          <w:tcPr>
            <w:tcW w:w="0" w:type="auto"/>
          </w:tcPr>
          <w:p w14:paraId="68D7F49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FCF862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75B11BD" w14:textId="77777777" w:rsidR="00EB7645" w:rsidRPr="00BE00C7" w:rsidRDefault="00000000" w:rsidP="00BE00C7">
            <w:pPr>
              <w:pStyle w:val="OutcomeDescription"/>
              <w:spacing w:before="120" w:after="120"/>
              <w:rPr>
                <w:rFonts w:cs="Arial"/>
                <w:lang w:eastAsia="en-NZ"/>
              </w:rPr>
            </w:pPr>
          </w:p>
        </w:tc>
        <w:tc>
          <w:tcPr>
            <w:tcW w:w="0" w:type="auto"/>
          </w:tcPr>
          <w:p w14:paraId="1BC44BA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968D1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stored securely in the facility manager’s office. The staff files reviewed evidenced implementation of the recruitment process, employment contracts, police checking, and completed orientation programmes specific to their roles. All staff signed a house rules/code of conduct document at time of employment commencement. </w:t>
            </w:r>
          </w:p>
          <w:p w14:paraId="2EAFCC9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job descriptions in place for all positions that includes outcomes, accountability, responsibilities, and additional roles (eg, restraint coordinator, infection control coordinator) to be achieved in each position. All staff sign their job description during their onboarding to the service. </w:t>
            </w:r>
          </w:p>
          <w:p w14:paraId="29490597" w14:textId="77777777" w:rsidR="00EB7645"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 appraisal policy is implemented, and all staff who had been employed for over one year have an annual appraisal completed.</w:t>
            </w:r>
          </w:p>
          <w:p w14:paraId="71683CE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w:t>
            </w:r>
          </w:p>
          <w:p w14:paraId="46F676D0" w14:textId="77777777" w:rsidR="00EB7645" w:rsidRPr="00BE00C7" w:rsidRDefault="00000000" w:rsidP="00BE00C7">
            <w:pPr>
              <w:pStyle w:val="OutcomeDescription"/>
              <w:spacing w:before="120" w:after="120"/>
              <w:rPr>
                <w:rFonts w:cs="Arial"/>
                <w:lang w:eastAsia="en-NZ"/>
              </w:rPr>
            </w:pPr>
          </w:p>
        </w:tc>
      </w:tr>
      <w:tr w:rsidR="00E16E25" w14:paraId="3FDD66D5" w14:textId="77777777">
        <w:tc>
          <w:tcPr>
            <w:tcW w:w="0" w:type="auto"/>
          </w:tcPr>
          <w:p w14:paraId="3A58EE01"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00AF673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6417946D" w14:textId="77777777" w:rsidR="00EB7645" w:rsidRPr="00BE00C7" w:rsidRDefault="00000000" w:rsidP="00BE00C7">
            <w:pPr>
              <w:pStyle w:val="OutcomeDescription"/>
              <w:spacing w:before="120" w:after="120"/>
              <w:rPr>
                <w:rFonts w:cs="Arial"/>
                <w:lang w:eastAsia="en-NZ"/>
              </w:rPr>
            </w:pPr>
          </w:p>
        </w:tc>
        <w:tc>
          <w:tcPr>
            <w:tcW w:w="0" w:type="auto"/>
          </w:tcPr>
          <w:p w14:paraId="77A6059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7308D87" w14:textId="0273B2B6" w:rsidR="00EB7645" w:rsidRPr="00BE00C7" w:rsidRDefault="00000000" w:rsidP="00BE00C7">
            <w:pPr>
              <w:pStyle w:val="OutcomeDescription"/>
              <w:spacing w:before="120" w:after="120"/>
              <w:rPr>
                <w:rFonts w:cs="Arial"/>
                <w:lang w:eastAsia="en-NZ"/>
              </w:rPr>
            </w:pPr>
            <w:r w:rsidRPr="00BE00C7">
              <w:rPr>
                <w:rFonts w:cs="Arial"/>
                <w:lang w:eastAsia="en-NZ"/>
              </w:rPr>
              <w:t>Five resident files were reviewed: three rest home; including one on Accident Compensation Corporation (ACC) funding, and one on long-term support chronic health contract (LTS-CHC), and two hospital level of care, including one on intermediate care. The registered nurses (RNs) are responsible for all residents’ assessments, care planning and evaluation of care; however, there were long</w:t>
            </w:r>
            <w:r w:rsidR="005559E9">
              <w:rPr>
                <w:rFonts w:cs="Arial"/>
                <w:lang w:eastAsia="en-NZ"/>
              </w:rPr>
              <w:t>-t</w:t>
            </w:r>
            <w:r w:rsidRPr="00BE00C7">
              <w:rPr>
                <w:rFonts w:cs="Arial"/>
                <w:lang w:eastAsia="en-NZ"/>
              </w:rPr>
              <w:t xml:space="preserve">erm care plans and short-term care plans developed and evaluated by non-regulated staff. Care plans are based on </w:t>
            </w:r>
            <w:r w:rsidRPr="00BE00C7">
              <w:rPr>
                <w:rFonts w:cs="Arial"/>
                <w:lang w:eastAsia="en-NZ"/>
              </w:rPr>
              <w:lastRenderedPageBreak/>
              <w:t>data collected during the initial nursing assessments, and information from pre-entry assessments completed by the Needs Assessment Service Coordination (NASC) or other referral agencies.</w:t>
            </w:r>
          </w:p>
          <w:p w14:paraId="5CB245A3" w14:textId="2B9B9C2D" w:rsidR="00EB7645"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were completed within the required timeframes for residents, detailing needs and preferences. The individualised long-term care plans (LTCPs) are developed with information gathered during the initial assessments and the interRAI assessment. All LTCP and interRAI sampled (except for intermediate care and ACC) had been completed within three weeks of the residents’ admission to the facility. Documented interventions and early warning signs meet the residents’ assessed needs; however, the interventions were not detailed to provide guidance to care staff in the delivery of care. The activity assessments include a cultural assessment, which gathers information about cultural needs, values, and beliefs. Information from these assessments is used to develop the resident’s individual activity care plan. </w:t>
            </w:r>
          </w:p>
          <w:p w14:paraId="3E267700" w14:textId="77777777" w:rsidR="00EB7645"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registered nurses and include the degree of achievement towards meeting desired goals and outcomes. Residents interviewed confirmed assessments are completed according to their needs and in the privacy of their bedrooms.</w:t>
            </w:r>
          </w:p>
          <w:p w14:paraId="64B00D5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50FCDAB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There are weekly GP visits and as required. Medical documentation and records reviewed were current. The GP interviewed </w:t>
            </w:r>
            <w:r w:rsidRPr="00BE00C7">
              <w:rPr>
                <w:rFonts w:cs="Arial"/>
                <w:lang w:eastAsia="en-NZ"/>
              </w:rPr>
              <w:lastRenderedPageBreak/>
              <w:t>stated that they had recently started their contract with the service and are establishing systems and communication pathways with the team. The contracted GP is also available on call during work hours and afterhours. On weekends, the service accesses Whanganui Accident Medical (WAM) Centre or the emergency department. There is access to a physiotherapist and continence specialist as required. A podiatrist visits regularly and a dietitian, speech language therapist, hospice, psychiatrist, wound care nurse specialist and medical specialists are available as required through Te Whatu Ora - Whanganui.</w:t>
            </w:r>
          </w:p>
          <w:p w14:paraId="0F5F479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were available at the facility. A review of the wound care plans evidenced that most wounds were assessed in a timely manner and reviewed at appropriate intervals; however, not all pressure injuries had the stage / grade documented. Photos were taken where this was required. Where wounds required additional specialist input, this was initiated, and a wound nurse specialist was consulted. At the time of the audit, there were 27 active wounds from 13 residents, including seven pressure injuries (one stage I, one stage II, and the rest did not have their grade/stage documented). </w:t>
            </w:r>
          </w:p>
          <w:p w14:paraId="554B4786" w14:textId="59964428" w:rsidR="00EB7645" w:rsidRPr="00BE00C7" w:rsidRDefault="00000000"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up to date. Neurological observations are recorded following unwitnessed falls or where there is suspected injury to the head. A range of monitoring charts are available for the care staff to utilise. These include (but not limited to) monthly blood pressure; fluid balance; weight; bowel records; and repositioning chart. Review of records confirmed that these monitoring charts were completed as indicated. Staff interviews confirmed they are familiar with the needs of all residents in the facility and that they have access to equipment, supplies and products they require to meet those needs. Staff receive handover at the beginning of their shift</w:t>
            </w:r>
            <w:r w:rsidR="009C408E">
              <w:rPr>
                <w:rFonts w:cs="Arial"/>
                <w:lang w:eastAsia="en-NZ"/>
              </w:rPr>
              <w:t>,</w:t>
            </w:r>
            <w:r w:rsidRPr="00BE00C7">
              <w:rPr>
                <w:rFonts w:cs="Arial"/>
                <w:lang w:eastAsia="en-NZ"/>
              </w:rPr>
              <w:t xml:space="preserve"> which was observed to be comprehensive on the day of the audit. </w:t>
            </w:r>
          </w:p>
          <w:p w14:paraId="2C728176" w14:textId="77777777" w:rsidR="00EB7645" w:rsidRPr="00BE00C7" w:rsidRDefault="00000000" w:rsidP="005559E9">
            <w:pPr>
              <w:pStyle w:val="OutcomeDescription"/>
              <w:spacing w:before="120" w:after="120"/>
              <w:rPr>
                <w:rFonts w:cs="Arial"/>
                <w:lang w:eastAsia="en-NZ"/>
              </w:rPr>
            </w:pPr>
          </w:p>
        </w:tc>
      </w:tr>
      <w:tr w:rsidR="00E16E25" w14:paraId="4877082B" w14:textId="77777777">
        <w:tc>
          <w:tcPr>
            <w:tcW w:w="0" w:type="auto"/>
          </w:tcPr>
          <w:p w14:paraId="2BBEC07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FEB3D5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w:t>
            </w:r>
            <w:r w:rsidRPr="00BE00C7">
              <w:rPr>
                <w:rFonts w:cs="Arial"/>
                <w:lang w:eastAsia="en-NZ"/>
              </w:rPr>
              <w:lastRenderedPageBreak/>
              <w:t>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E9D532E" w14:textId="77777777" w:rsidR="00EB7645" w:rsidRPr="00BE00C7" w:rsidRDefault="00000000" w:rsidP="00BE00C7">
            <w:pPr>
              <w:pStyle w:val="OutcomeDescription"/>
              <w:spacing w:before="120" w:after="120"/>
              <w:rPr>
                <w:rFonts w:cs="Arial"/>
                <w:lang w:eastAsia="en-NZ"/>
              </w:rPr>
            </w:pPr>
          </w:p>
        </w:tc>
        <w:tc>
          <w:tcPr>
            <w:tcW w:w="0" w:type="auto"/>
          </w:tcPr>
          <w:p w14:paraId="448CC90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807F52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medications have been assessed for competency on an annual basis. Education around safe medication administration has been provided. </w:t>
            </w:r>
          </w:p>
          <w:p w14:paraId="1455493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All medication charts and signing sheets are electronic, with the exception of the recently admitted respite resident. Staff were observed to be safely administering medications. The registered nurses and caregivers interviewed could describe their role regarding medication administration. The service uses blister packs for all regular medications. All medications are checked on delivery against the medication chart and any discrepancies are fed back to the supplying pharmacy. </w:t>
            </w:r>
          </w:p>
          <w:p w14:paraId="26E7821A" w14:textId="77777777" w:rsidR="00EB7645" w:rsidRPr="00BE00C7" w:rsidRDefault="00000000" w:rsidP="00BE00C7">
            <w:pPr>
              <w:pStyle w:val="OutcomeDescription"/>
              <w:spacing w:before="120" w:after="120"/>
              <w:rPr>
                <w:rFonts w:cs="Arial"/>
                <w:lang w:eastAsia="en-NZ"/>
              </w:rPr>
            </w:pPr>
            <w:r w:rsidRPr="00BE00C7">
              <w:rPr>
                <w:rFonts w:cs="Arial"/>
                <w:lang w:eastAsia="en-NZ"/>
              </w:rPr>
              <w:t>Medications were appropriately stored in the medication trolley and the medication cupboard. There is a process for checking expiry dates and out of date medications are returned to the pharmacy. There were no expired or out of date medications in storage. This is an improvement on the previous audit. The medication fridge temperature monitoring was completed daily. This is an improvement on the previous audit. The medication room temperatures have not been monitored daily and there were no documented corrective actions when temperatures were above 25 degrees. Not all eyedrops and creams have been dated on opening. Controlled drugs are stored appropriately, and weekly stock check has been completed regularly by medication competent staff. Six-month pharmacist check and reconciliation has been completed since last audit, with last check completed November 2023. This is an improvement on the previous audit. Medication incidents were completed in the event of a drug error and corrective actions were acted upon.</w:t>
            </w:r>
          </w:p>
          <w:p w14:paraId="1A76EA3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general practitioner had reviewed all resident medication charts three-monthly, and each medication chart has photo identification and allergy status identified. The effectiveness of ‘as required’ medications is not always recorded in the electronic medication system. This continues to be an ongoing partial attainment. There were no residents self-administering medications. The medication policy describes the procedure for self-medicating residents, and this can be implemented as required. There are no standing orders in use. </w:t>
            </w:r>
          </w:p>
          <w:p w14:paraId="5F04712F" w14:textId="77777777" w:rsidR="00EB7645" w:rsidRPr="00BE00C7" w:rsidRDefault="00000000" w:rsidP="00BE00C7">
            <w:pPr>
              <w:pStyle w:val="OutcomeDescription"/>
              <w:spacing w:before="120" w:after="120"/>
              <w:rPr>
                <w:rFonts w:cs="Arial"/>
                <w:lang w:eastAsia="en-NZ"/>
              </w:rPr>
            </w:pPr>
          </w:p>
        </w:tc>
      </w:tr>
      <w:tr w:rsidR="00E16E25" w14:paraId="048BB9A3" w14:textId="77777777">
        <w:tc>
          <w:tcPr>
            <w:tcW w:w="0" w:type="auto"/>
          </w:tcPr>
          <w:p w14:paraId="19812946"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B19192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r>
            <w:r w:rsidRPr="00BE00C7">
              <w:rPr>
                <w:rFonts w:cs="Arial"/>
                <w:lang w:eastAsia="en-NZ"/>
              </w:rPr>
              <w:lastRenderedPageBreak/>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CE5D164" w14:textId="77777777" w:rsidR="00EB7645" w:rsidRPr="00BE00C7" w:rsidRDefault="00000000" w:rsidP="00BE00C7">
            <w:pPr>
              <w:pStyle w:val="OutcomeDescription"/>
              <w:spacing w:before="120" w:after="120"/>
              <w:rPr>
                <w:rFonts w:cs="Arial"/>
                <w:lang w:eastAsia="en-NZ"/>
              </w:rPr>
            </w:pPr>
          </w:p>
        </w:tc>
        <w:tc>
          <w:tcPr>
            <w:tcW w:w="0" w:type="auto"/>
          </w:tcPr>
          <w:p w14:paraId="779ED15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D161D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dietary profile and nutritional assessment identifies residents’ personal food preferences, allergies, intolerances, any special diets, cultural preferences, </w:t>
            </w:r>
            <w:r w:rsidRPr="00BE00C7">
              <w:rPr>
                <w:rFonts w:cs="Arial"/>
                <w:lang w:eastAsia="en-NZ"/>
              </w:rPr>
              <w:lastRenderedPageBreak/>
              <w:t xml:space="preserve">and modified texture requirements. A daily running sheet ensures residents receive their special diets and food preferences. Copies of individual dietary profile and nutritional assessments were available in the kitchen folder. A food control plan is in place and expires 26 August 2024. </w:t>
            </w:r>
          </w:p>
          <w:p w14:paraId="55A3B60B" w14:textId="77777777" w:rsidR="00EB7645" w:rsidRPr="00BE00C7" w:rsidRDefault="00000000" w:rsidP="00BE00C7">
            <w:pPr>
              <w:pStyle w:val="OutcomeDescription"/>
              <w:spacing w:before="120" w:after="120"/>
              <w:rPr>
                <w:rFonts w:cs="Arial"/>
                <w:lang w:eastAsia="en-NZ"/>
              </w:rPr>
            </w:pPr>
          </w:p>
        </w:tc>
      </w:tr>
      <w:tr w:rsidR="00E16E25" w14:paraId="47D0C46F" w14:textId="77777777">
        <w:tc>
          <w:tcPr>
            <w:tcW w:w="0" w:type="auto"/>
          </w:tcPr>
          <w:p w14:paraId="7F5D5C6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BAFED5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730BC01" w14:textId="77777777" w:rsidR="00EB7645" w:rsidRPr="00BE00C7" w:rsidRDefault="00000000" w:rsidP="00BE00C7">
            <w:pPr>
              <w:pStyle w:val="OutcomeDescription"/>
              <w:spacing w:before="120" w:after="120"/>
              <w:rPr>
                <w:rFonts w:cs="Arial"/>
                <w:lang w:eastAsia="en-NZ"/>
              </w:rPr>
            </w:pPr>
          </w:p>
        </w:tc>
        <w:tc>
          <w:tcPr>
            <w:tcW w:w="0" w:type="auto"/>
          </w:tcPr>
          <w:p w14:paraId="53A9624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2D326A" w14:textId="77777777" w:rsidR="00EB7645" w:rsidRPr="00BE00C7" w:rsidRDefault="00000000" w:rsidP="00BE00C7">
            <w:pPr>
              <w:pStyle w:val="OutcomeDescription"/>
              <w:spacing w:before="120" w:after="120"/>
              <w:rPr>
                <w:rFonts w:cs="Arial"/>
                <w:lang w:eastAsia="en-NZ"/>
              </w:rPr>
            </w:pPr>
            <w:r w:rsidRPr="00BE00C7">
              <w:rPr>
                <w:rFonts w:cs="Arial"/>
                <w:lang w:eastAsia="en-NZ"/>
              </w:rPr>
              <w:t>A standard transfer notification form is utilised when residents are required to be transferred to the public hospital or another service. Residents and their families/whānau were involved in all transfers to and from the service and there was sufficient evidence in the residents’ records to confirm this. Records sampled evidenced that the transfer and discharge planning included risk mitigation and current residents’ needs. The discharge plan sampled confirmed that, where required, a referral to other allied health providers to ensure the safety of the resident was completed.</w:t>
            </w:r>
          </w:p>
          <w:p w14:paraId="74F3CB72" w14:textId="77777777" w:rsidR="00EB7645" w:rsidRPr="00BE00C7" w:rsidRDefault="00000000" w:rsidP="00BE00C7">
            <w:pPr>
              <w:pStyle w:val="OutcomeDescription"/>
              <w:spacing w:before="120" w:after="120"/>
              <w:rPr>
                <w:rFonts w:cs="Arial"/>
                <w:lang w:eastAsia="en-NZ"/>
              </w:rPr>
            </w:pPr>
          </w:p>
        </w:tc>
      </w:tr>
      <w:tr w:rsidR="00E16E25" w14:paraId="15619463" w14:textId="77777777">
        <w:tc>
          <w:tcPr>
            <w:tcW w:w="0" w:type="auto"/>
          </w:tcPr>
          <w:p w14:paraId="2F0C9F15"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23FAA6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F7990C8" w14:textId="77777777" w:rsidR="00EB7645" w:rsidRPr="00BE00C7" w:rsidRDefault="00000000" w:rsidP="00BE00C7">
            <w:pPr>
              <w:pStyle w:val="OutcomeDescription"/>
              <w:spacing w:before="120" w:after="120"/>
              <w:rPr>
                <w:rFonts w:cs="Arial"/>
                <w:lang w:eastAsia="en-NZ"/>
              </w:rPr>
            </w:pPr>
          </w:p>
        </w:tc>
        <w:tc>
          <w:tcPr>
            <w:tcW w:w="0" w:type="auto"/>
          </w:tcPr>
          <w:p w14:paraId="65B40E30"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9136D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Masonic Court and comply with legislation relevant to the health and disability services being provided. The environment is inclusive of people’s cultures and supports cultural practices. </w:t>
            </w:r>
          </w:p>
          <w:p w14:paraId="28F24D3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current building warrant of fitness expires 22 June 2024. There is an annual maintenance plan that includes electrical testing and tagging, equipment checks, call bell checks, calibration of medical equipment, and monthly testing of hot water temperatures. Essential contractors/tradespeople are available 24 hours a day as required. Hot water temperature recording reviewed had corrective actions undertaken when outside of expected ranges, including discussion at the health and safety meeting and escalation to the Board through the facility managers monthly report. </w:t>
            </w:r>
          </w:p>
          <w:p w14:paraId="72893921" w14:textId="77777777" w:rsidR="00EB7645" w:rsidRPr="00BE00C7" w:rsidRDefault="00000000" w:rsidP="00BE00C7">
            <w:pPr>
              <w:pStyle w:val="OutcomeDescription"/>
              <w:spacing w:before="120" w:after="120"/>
              <w:rPr>
                <w:rFonts w:cs="Arial"/>
                <w:lang w:eastAsia="en-NZ"/>
              </w:rPr>
            </w:pPr>
          </w:p>
        </w:tc>
      </w:tr>
      <w:tr w:rsidR="00E16E25" w14:paraId="5FC33CBF" w14:textId="77777777">
        <w:tc>
          <w:tcPr>
            <w:tcW w:w="0" w:type="auto"/>
          </w:tcPr>
          <w:p w14:paraId="5B8654EF"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B752CC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94424A9" w14:textId="77777777" w:rsidR="00EB7645" w:rsidRPr="00BE00C7" w:rsidRDefault="00000000" w:rsidP="00BE00C7">
            <w:pPr>
              <w:pStyle w:val="OutcomeDescription"/>
              <w:spacing w:before="120" w:after="120"/>
              <w:rPr>
                <w:rFonts w:cs="Arial"/>
                <w:lang w:eastAsia="en-NZ"/>
              </w:rPr>
            </w:pPr>
          </w:p>
        </w:tc>
        <w:tc>
          <w:tcPr>
            <w:tcW w:w="0" w:type="auto"/>
          </w:tcPr>
          <w:p w14:paraId="763F5B1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961FD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infection prevention and control manual outlines a comprehensive range of policies, standards and guidelines and includes defining roles, responsibilities and oversight, and the training and education of staff. Policies and procedures are provided by an external consultant, with input from infection control specialists and reviewed by the management team. Infection control is included in the internal audit schedule. Any corrective actions identified have been implemented and signed off as resolved. The infection control programme is reviewed and reported on annually.</w:t>
            </w:r>
          </w:p>
          <w:p w14:paraId="5550C556" w14:textId="77777777" w:rsidR="00EB7645" w:rsidRPr="00BE00C7" w:rsidRDefault="00000000" w:rsidP="00BE00C7">
            <w:pPr>
              <w:pStyle w:val="OutcomeDescription"/>
              <w:spacing w:before="120" w:after="120"/>
              <w:rPr>
                <w:rFonts w:cs="Arial"/>
                <w:lang w:eastAsia="en-NZ"/>
              </w:rPr>
            </w:pPr>
            <w:r w:rsidRPr="00BE00C7">
              <w:rPr>
                <w:rFonts w:cs="Arial"/>
                <w:lang w:eastAsia="en-NZ"/>
              </w:rPr>
              <w:t>Infection prevention and control is part of staff orientation and included in the annual training plan. Staff education includes (but is not limited to): standard precautions; isolation procedures; hand washing; and donning and doffing of personal protective equipment (PPE). The clinical nurse leader is the infection control coordinator. The service receives additional support from expertise at Te Whatu Ora- Whanganui.</w:t>
            </w:r>
          </w:p>
          <w:p w14:paraId="16AF57AD" w14:textId="77777777" w:rsidR="00EB7645" w:rsidRPr="00BE00C7" w:rsidRDefault="00000000" w:rsidP="00BE00C7">
            <w:pPr>
              <w:pStyle w:val="OutcomeDescription"/>
              <w:spacing w:before="120" w:after="120"/>
              <w:rPr>
                <w:rFonts w:cs="Arial"/>
                <w:lang w:eastAsia="en-NZ"/>
              </w:rPr>
            </w:pPr>
          </w:p>
        </w:tc>
      </w:tr>
      <w:tr w:rsidR="00E16E25" w14:paraId="0ACCC164" w14:textId="77777777">
        <w:tc>
          <w:tcPr>
            <w:tcW w:w="0" w:type="auto"/>
          </w:tcPr>
          <w:p w14:paraId="5FFE4E5E"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A1143F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3693013" w14:textId="77777777" w:rsidR="00EB7645" w:rsidRPr="00BE00C7" w:rsidRDefault="00000000" w:rsidP="00BE00C7">
            <w:pPr>
              <w:pStyle w:val="OutcomeDescription"/>
              <w:spacing w:before="120" w:after="120"/>
              <w:rPr>
                <w:rFonts w:cs="Arial"/>
                <w:lang w:eastAsia="en-NZ"/>
              </w:rPr>
            </w:pPr>
          </w:p>
        </w:tc>
        <w:tc>
          <w:tcPr>
            <w:tcW w:w="0" w:type="auto"/>
          </w:tcPr>
          <w:p w14:paraId="35661E79"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9ABCC1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programme, as described in the infection prevention control policy. Monthly infection data is collected for all infections based on signs, symptoms, and the definition of the infection. Infections are entered into the infection register and surveillance of all infections (including organisms) is collated onto a monthly infection summary. Reports include antibiotic use. </w:t>
            </w:r>
          </w:p>
          <w:p w14:paraId="3EC0864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This data is monitored and analysed for trends, monthly and annually. Masonic Court does not incorporate ethnicity data into surveillance methods and data captured around infections. Infection control surveillance results are discussed at quality improvement and staff meetings. Meeting minutes and data are available for staff. Action plans are completed for any infection rates of concern. Internal infection control audits are completed, with corrective actions for areas of improvement. </w:t>
            </w:r>
          </w:p>
          <w:p w14:paraId="7AEC7DC0" w14:textId="77777777" w:rsidR="00EB7645" w:rsidRPr="00BE00C7" w:rsidRDefault="00000000" w:rsidP="00BE00C7">
            <w:pPr>
              <w:pStyle w:val="OutcomeDescription"/>
              <w:spacing w:before="120" w:after="120"/>
              <w:rPr>
                <w:rFonts w:cs="Arial"/>
                <w:lang w:eastAsia="en-NZ"/>
              </w:rPr>
            </w:pPr>
            <w:r w:rsidRPr="00BE00C7">
              <w:rPr>
                <w:rFonts w:cs="Arial"/>
                <w:lang w:eastAsia="en-NZ"/>
              </w:rPr>
              <w:t>Masonic Court receives regular notifications and alerts from Te Whatu Ora- Whanganui for any community concerns. There has been one gastroenteritis related outbreak reported since the previous audit in July 2022. This was well documented, managed, and reported to Public Health.</w:t>
            </w:r>
          </w:p>
          <w:p w14:paraId="5DA129C8" w14:textId="77777777" w:rsidR="00EB7645" w:rsidRPr="00BE00C7" w:rsidRDefault="00000000" w:rsidP="00BE00C7">
            <w:pPr>
              <w:pStyle w:val="OutcomeDescription"/>
              <w:spacing w:before="120" w:after="120"/>
              <w:rPr>
                <w:rFonts w:cs="Arial"/>
                <w:lang w:eastAsia="en-NZ"/>
              </w:rPr>
            </w:pPr>
          </w:p>
        </w:tc>
      </w:tr>
      <w:tr w:rsidR="00E16E25" w14:paraId="1EB35861" w14:textId="77777777">
        <w:tc>
          <w:tcPr>
            <w:tcW w:w="0" w:type="auto"/>
          </w:tcPr>
          <w:p w14:paraId="6C23C3B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318FC2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08E63EB" w14:textId="77777777" w:rsidR="00EB7645" w:rsidRPr="00BE00C7" w:rsidRDefault="00000000" w:rsidP="00BE00C7">
            <w:pPr>
              <w:pStyle w:val="OutcomeDescription"/>
              <w:spacing w:before="120" w:after="120"/>
              <w:rPr>
                <w:rFonts w:cs="Arial"/>
                <w:lang w:eastAsia="en-NZ"/>
              </w:rPr>
            </w:pPr>
          </w:p>
        </w:tc>
        <w:tc>
          <w:tcPr>
            <w:tcW w:w="0" w:type="auto"/>
          </w:tcPr>
          <w:p w14:paraId="519C22F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F6031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Policies and procedures meet the requirements of the Standard. An interview with the registered nurses, caregivers and the facility manager described Masonic Court’s commitment to restraint minimisation. This is supported by the Board and policies and procedures. On the days of audit, there were no restraints in use. The clinical nurse leader is the restraint coordinator. </w:t>
            </w:r>
          </w:p>
          <w:p w14:paraId="11E2883E" w14:textId="77777777" w:rsidR="00EB7645" w:rsidRPr="00BE00C7" w:rsidRDefault="00000000" w:rsidP="00BE00C7">
            <w:pPr>
              <w:pStyle w:val="OutcomeDescription"/>
              <w:spacing w:before="120" w:after="120"/>
              <w:rPr>
                <w:rFonts w:cs="Arial"/>
                <w:lang w:eastAsia="en-NZ"/>
              </w:rPr>
            </w:pPr>
            <w:r w:rsidRPr="00BE00C7">
              <w:rPr>
                <w:rFonts w:cs="Arial"/>
                <w:lang w:eastAsia="en-NZ"/>
              </w:rPr>
              <w:t>Restraint is included as part of the orientation for staff and staff attend training related to restraints, falls prevention, and management of behaviours that challenge and de-escalation techniques. Alternatives to restraint, behaviours that challenge, and residents who are a high falls risk, are discussed at staff meetings and quality improvement meetings. Any use of restraint and how it is being monitored and analysed, would be reported at these meetings.</w:t>
            </w:r>
          </w:p>
          <w:p w14:paraId="3A916D31" w14:textId="77777777" w:rsidR="00EB7645" w:rsidRPr="00BE00C7" w:rsidRDefault="00000000" w:rsidP="00BE00C7">
            <w:pPr>
              <w:pStyle w:val="OutcomeDescription"/>
              <w:spacing w:before="120" w:after="120"/>
              <w:rPr>
                <w:rFonts w:cs="Arial"/>
                <w:lang w:eastAsia="en-NZ"/>
              </w:rPr>
            </w:pPr>
            <w:r w:rsidRPr="00BE00C7">
              <w:rPr>
                <w:rFonts w:cs="Arial"/>
                <w:lang w:eastAsia="en-NZ"/>
              </w:rPr>
              <w:t>A comprehensive suite of assessment, approval, monitoring, and quality review process is documented for all use of restraint. The facility manager and the RNs interviewed described ways they would work in partnership with residents and family/whānau to promote and ensure services are mana enhancing, and the cultural advisor will be consulted as required.</w:t>
            </w:r>
          </w:p>
          <w:p w14:paraId="7816D341" w14:textId="77777777" w:rsidR="00EB7645" w:rsidRPr="00BE00C7" w:rsidRDefault="00000000" w:rsidP="00BE00C7">
            <w:pPr>
              <w:pStyle w:val="OutcomeDescription"/>
              <w:spacing w:before="120" w:after="120"/>
              <w:rPr>
                <w:rFonts w:cs="Arial"/>
                <w:lang w:eastAsia="en-NZ"/>
              </w:rPr>
            </w:pPr>
          </w:p>
        </w:tc>
      </w:tr>
    </w:tbl>
    <w:p w14:paraId="61524D24" w14:textId="77777777" w:rsidR="00EB7645" w:rsidRPr="00BE00C7" w:rsidRDefault="00000000" w:rsidP="00BE00C7">
      <w:pPr>
        <w:pStyle w:val="OutcomeDescription"/>
        <w:spacing w:before="120" w:after="120"/>
        <w:rPr>
          <w:rFonts w:cs="Arial"/>
          <w:lang w:eastAsia="en-NZ"/>
        </w:rPr>
      </w:pPr>
      <w:bookmarkStart w:id="56" w:name="AuditSummaryAttainment"/>
      <w:bookmarkEnd w:id="56"/>
    </w:p>
    <w:p w14:paraId="2D6637FE" w14:textId="77777777" w:rsidR="00460D43" w:rsidRDefault="00000000">
      <w:pPr>
        <w:pStyle w:val="Heading1"/>
        <w:rPr>
          <w:rFonts w:cs="Arial"/>
        </w:rPr>
      </w:pPr>
      <w:r>
        <w:rPr>
          <w:rFonts w:cs="Arial"/>
        </w:rPr>
        <w:lastRenderedPageBreak/>
        <w:t>Specific results for criterion where corrective actions are required</w:t>
      </w:r>
    </w:p>
    <w:p w14:paraId="457EE3EA" w14:textId="77777777" w:rsidR="00460D43"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FFA5D47" w14:textId="77777777" w:rsidR="00460D43"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32D93B65" w14:textId="77777777" w:rsidR="00460D43"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1308"/>
        <w:gridCol w:w="3704"/>
        <w:gridCol w:w="3694"/>
        <w:gridCol w:w="2394"/>
      </w:tblGrid>
      <w:tr w:rsidR="00E16E25" w14:paraId="34FFAA8D" w14:textId="77777777">
        <w:tc>
          <w:tcPr>
            <w:tcW w:w="0" w:type="auto"/>
          </w:tcPr>
          <w:p w14:paraId="52C859EC" w14:textId="77777777" w:rsidR="00EB7645"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B2E9078"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4692E59"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223F5C3"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897DCD5"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16E25" w14:paraId="2ABD5849" w14:textId="77777777">
        <w:tc>
          <w:tcPr>
            <w:tcW w:w="0" w:type="auto"/>
          </w:tcPr>
          <w:p w14:paraId="4F3EC587"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3.2.3</w:t>
            </w:r>
          </w:p>
          <w:p w14:paraId="362CB1DF" w14:textId="77777777" w:rsidR="00EB7645"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w:t>
            </w:r>
            <w:r w:rsidRPr="00BE00C7">
              <w:rPr>
                <w:rFonts w:cs="Arial"/>
                <w:lang w:eastAsia="en-NZ"/>
              </w:rPr>
              <w:lastRenderedPageBreak/>
              <w:t>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6BB08C14" w14:textId="77777777" w:rsidR="00EB7645" w:rsidRPr="00BE00C7" w:rsidRDefault="00000000" w:rsidP="00BE00C7">
            <w:pPr>
              <w:pStyle w:val="OutcomeDescription"/>
              <w:spacing w:before="120" w:after="120"/>
              <w:rPr>
                <w:rFonts w:cs="Arial"/>
                <w:lang w:eastAsia="en-NZ"/>
              </w:rPr>
            </w:pPr>
          </w:p>
        </w:tc>
        <w:tc>
          <w:tcPr>
            <w:tcW w:w="0" w:type="auto"/>
          </w:tcPr>
          <w:p w14:paraId="6EFAD3D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79D298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has comprehensive policies related to assessment, support planning and care evaluation. Registered nurses are responsible for completing assessments (including interRAI), developing resident centred care interventions, and evaluating the care delivery six-monthly or earlier, as residents needs change. However, three of the assessments, care planning and evaluation reviewed evidenced them being completed by non-regulated staff. The service seeks multidisciplinary input as appropriate to the needs of the resident. Care plan evaluations identify progress to meeting goals. </w:t>
            </w:r>
          </w:p>
          <w:p w14:paraId="534F253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 outcome of assessments informs the long-term care plans, with interventions to deliver care. However, interventions in long-term care plans reviewed were not detailed to provide guidance for staff in the delivery of care. A review of the wound care plans evidenced that most wounds were assessed in a timely manner and reviewed at appropriate intervals; however, not all pressure injuries had their stage / grade documented.</w:t>
            </w:r>
          </w:p>
          <w:p w14:paraId="1E529A07" w14:textId="77777777" w:rsidR="00EB7645" w:rsidRPr="00BE00C7" w:rsidRDefault="00000000" w:rsidP="00BE00C7">
            <w:pPr>
              <w:pStyle w:val="OutcomeDescription"/>
              <w:spacing w:before="120" w:after="120"/>
              <w:rPr>
                <w:rFonts w:cs="Arial"/>
                <w:lang w:eastAsia="en-NZ"/>
              </w:rPr>
            </w:pPr>
            <w:r w:rsidRPr="00BE00C7">
              <w:rPr>
                <w:rFonts w:cs="Arial"/>
                <w:lang w:eastAsia="en-NZ"/>
              </w:rPr>
              <w:t>Supplementary documentation reviewed and interviews with resident, family/whānau and care staff identified that the shortfalls noted relates to documentation only and the residents received the required care; therefore, the risk is assessed as a low risk.</w:t>
            </w:r>
          </w:p>
          <w:p w14:paraId="61EBAE1F" w14:textId="77777777" w:rsidR="00EB7645" w:rsidRPr="00BE00C7" w:rsidRDefault="00000000" w:rsidP="00BE00C7">
            <w:pPr>
              <w:pStyle w:val="OutcomeDescription"/>
              <w:spacing w:before="120" w:after="120"/>
              <w:rPr>
                <w:rFonts w:cs="Arial"/>
                <w:lang w:eastAsia="en-NZ"/>
              </w:rPr>
            </w:pPr>
          </w:p>
        </w:tc>
        <w:tc>
          <w:tcPr>
            <w:tcW w:w="0" w:type="auto"/>
          </w:tcPr>
          <w:p w14:paraId="2983C23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Care plans reviewed for two hospital and one rest home resident evidence assessments, interventions and care evaluation being completed and signed off by a non-regulated staff member. </w:t>
            </w:r>
          </w:p>
          <w:p w14:paraId="3EBE817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 There were no detailed interventions to guide staff in the delivery of care service for a). one hospital resident in relation to pressure injury risk management. The same resident did not have detailed interventions related to pain management. </w:t>
            </w:r>
          </w:p>
          <w:p w14:paraId="2D7A532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(iii). One rest home resident in relation to management of a urinary tract infection. </w:t>
            </w:r>
          </w:p>
          <w:p w14:paraId="48D4E898"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(iv). One rest home resident had no interventions documented in relation to a). diabetes management including signs and symptoms of hypo and hyperglycaemia and management, b). The initial care plan and nutritional and dietary profile did not refer to the resident being diabetic, and c) the same resident did not have a wound care plan for the stage II pressure injury since admission (for three days).</w:t>
            </w:r>
          </w:p>
          <w:p w14:paraId="2AEBD88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(v). Documentation reviewed for five of seven pressure injuries did not have the classified stages/grades documented. </w:t>
            </w:r>
          </w:p>
          <w:p w14:paraId="34DD72B4" w14:textId="77777777" w:rsidR="00EB7645" w:rsidRPr="00BE00C7" w:rsidRDefault="00000000" w:rsidP="00BE00C7">
            <w:pPr>
              <w:pStyle w:val="OutcomeDescription"/>
              <w:spacing w:before="120" w:after="120"/>
              <w:rPr>
                <w:rFonts w:cs="Arial"/>
                <w:lang w:eastAsia="en-NZ"/>
              </w:rPr>
            </w:pPr>
          </w:p>
        </w:tc>
        <w:tc>
          <w:tcPr>
            <w:tcW w:w="0" w:type="auto"/>
          </w:tcPr>
          <w:p w14:paraId="2E8632D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that only registered nurses (or enrolled nurses under direction and delegation) are responsible for resident clinical assessments, care planning and evaluations. </w:t>
            </w:r>
          </w:p>
          <w:p w14:paraId="6D58441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 (iv). Ensure that there are detailed interventions to guide staff in the delivery of care services. </w:t>
            </w:r>
          </w:p>
          <w:p w14:paraId="6E38B06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(iii). Ensure that all pressure injuries have </w:t>
            </w:r>
            <w:r w:rsidRPr="00BE00C7">
              <w:rPr>
                <w:rFonts w:cs="Arial"/>
                <w:lang w:eastAsia="en-NZ"/>
              </w:rPr>
              <w:lastRenderedPageBreak/>
              <w:t xml:space="preserve">their stage/grade documented. </w:t>
            </w:r>
          </w:p>
          <w:p w14:paraId="0FD3F9B9" w14:textId="77777777" w:rsidR="00EB7645" w:rsidRPr="00BE00C7" w:rsidRDefault="00000000" w:rsidP="00BE00C7">
            <w:pPr>
              <w:pStyle w:val="OutcomeDescription"/>
              <w:spacing w:before="120" w:after="120"/>
              <w:rPr>
                <w:rFonts w:cs="Arial"/>
                <w:lang w:eastAsia="en-NZ"/>
              </w:rPr>
            </w:pPr>
          </w:p>
          <w:p w14:paraId="521FD864"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r w:rsidR="00E16E25" w14:paraId="4F7CE4DA" w14:textId="77777777">
        <w:tc>
          <w:tcPr>
            <w:tcW w:w="0" w:type="auto"/>
          </w:tcPr>
          <w:p w14:paraId="3CF0A7D6"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3.4.1</w:t>
            </w:r>
          </w:p>
          <w:p w14:paraId="776382DF" w14:textId="77777777" w:rsidR="00EB7645"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3FA0A5D0" w14:textId="77777777" w:rsidR="00EB7645"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105FFB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medication competent caregivers are responsible for the administration of medications. Those responsible for medication administration have all completed medication competencies and education related to medication management. There is a policy and process on safe medicine management including reconciliation, storage, and documentation requirements. However, medication room temperature monitoring had not </w:t>
            </w:r>
            <w:r w:rsidRPr="00BE00C7">
              <w:rPr>
                <w:rFonts w:cs="Arial"/>
                <w:lang w:eastAsia="en-NZ"/>
              </w:rPr>
              <w:lastRenderedPageBreak/>
              <w:t xml:space="preserve">been consistently done daily as per policy. There were entries when the temperature recorded was above 25 degrees; however, there was no evidence of corrective actions put in place to manage the risk. </w:t>
            </w:r>
          </w:p>
          <w:p w14:paraId="2E2F0F0E" w14:textId="77777777" w:rsidR="00EB7645" w:rsidRPr="00BE00C7" w:rsidRDefault="00000000" w:rsidP="00BE00C7">
            <w:pPr>
              <w:pStyle w:val="OutcomeDescription"/>
              <w:spacing w:before="120" w:after="120"/>
              <w:rPr>
                <w:rFonts w:cs="Arial"/>
                <w:lang w:eastAsia="en-NZ"/>
              </w:rPr>
            </w:pPr>
            <w:r w:rsidRPr="00BE00C7">
              <w:rPr>
                <w:rFonts w:cs="Arial"/>
                <w:lang w:eastAsia="en-NZ"/>
              </w:rPr>
              <w:t>Review of the medication charts and progress notes indicated that staff were not always documenting the outcome or effectiveness of pro re nata (PRN) medications when they were administered. Observation of the medication round confirmed that creams and eye drops in use in the medication trolley, were all not dated on opening. Staff have received training related to medicine management and audits have been completed as scheduled.</w:t>
            </w:r>
          </w:p>
          <w:p w14:paraId="5E615930" w14:textId="77777777" w:rsidR="00EB7645" w:rsidRPr="00BE00C7" w:rsidRDefault="00000000" w:rsidP="00BE00C7">
            <w:pPr>
              <w:pStyle w:val="OutcomeDescription"/>
              <w:spacing w:before="120" w:after="120"/>
              <w:rPr>
                <w:rFonts w:cs="Arial"/>
                <w:lang w:eastAsia="en-NZ"/>
              </w:rPr>
            </w:pPr>
          </w:p>
        </w:tc>
        <w:tc>
          <w:tcPr>
            <w:tcW w:w="0" w:type="auto"/>
          </w:tcPr>
          <w:p w14:paraId="57A75CC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Eye drops and creams not dated on opening. </w:t>
            </w:r>
          </w:p>
          <w:p w14:paraId="4A9E3B8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 Medication room temperature monitoring not completed daily. </w:t>
            </w:r>
          </w:p>
          <w:p w14:paraId="335F1EC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(iii). There were entries of medication room temperatures greater than 25 degrees with no corrective actions documented as having been completed. </w:t>
            </w:r>
          </w:p>
          <w:p w14:paraId="632BDB7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(iv). Six of ten charts did not demonstrate documentation on the </w:t>
            </w:r>
            <w:r w:rsidRPr="00BE00C7">
              <w:rPr>
                <w:rFonts w:cs="Arial"/>
                <w:lang w:eastAsia="en-NZ"/>
              </w:rPr>
              <w:lastRenderedPageBreak/>
              <w:t>effectiveness of PRN medication administered to residents.</w:t>
            </w:r>
          </w:p>
          <w:p w14:paraId="248EEF52" w14:textId="77777777" w:rsidR="00EB7645" w:rsidRPr="00BE00C7" w:rsidRDefault="00000000" w:rsidP="00BE00C7">
            <w:pPr>
              <w:pStyle w:val="OutcomeDescription"/>
              <w:spacing w:before="120" w:after="120"/>
              <w:rPr>
                <w:rFonts w:cs="Arial"/>
                <w:lang w:eastAsia="en-NZ"/>
              </w:rPr>
            </w:pPr>
          </w:p>
        </w:tc>
        <w:tc>
          <w:tcPr>
            <w:tcW w:w="0" w:type="auto"/>
          </w:tcPr>
          <w:p w14:paraId="1A7FF22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(i). Ensure eye drops and creams are dated on opening.</w:t>
            </w:r>
          </w:p>
          <w:p w14:paraId="3978D7EC" w14:textId="77777777" w:rsidR="00EB7645" w:rsidRPr="00BE00C7" w:rsidRDefault="00000000" w:rsidP="00BE00C7">
            <w:pPr>
              <w:pStyle w:val="OutcomeDescription"/>
              <w:spacing w:before="120" w:after="120"/>
              <w:rPr>
                <w:rFonts w:cs="Arial"/>
                <w:lang w:eastAsia="en-NZ"/>
              </w:rPr>
            </w:pPr>
            <w:r w:rsidRPr="00BE00C7">
              <w:rPr>
                <w:rFonts w:cs="Arial"/>
                <w:lang w:eastAsia="en-NZ"/>
              </w:rPr>
              <w:t>(ii). Ensure medication room temperatures are monitored and recorded as per policy.</w:t>
            </w:r>
          </w:p>
          <w:p w14:paraId="6C003CD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(iii). Where temperatures are out of expected range, ensure </w:t>
            </w:r>
            <w:r w:rsidRPr="00BE00C7">
              <w:rPr>
                <w:rFonts w:cs="Arial"/>
                <w:lang w:eastAsia="en-NZ"/>
              </w:rPr>
              <w:lastRenderedPageBreak/>
              <w:t>that corrective actions are put in place.</w:t>
            </w:r>
          </w:p>
          <w:p w14:paraId="602B089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(iv). Ensure effectiveness of PRN medications is monitored and documented. </w:t>
            </w:r>
          </w:p>
          <w:p w14:paraId="6DF4F4FF" w14:textId="77777777" w:rsidR="00EB7645" w:rsidRPr="00BE00C7" w:rsidRDefault="00000000" w:rsidP="00BE00C7">
            <w:pPr>
              <w:pStyle w:val="OutcomeDescription"/>
              <w:spacing w:before="120" w:after="120"/>
              <w:rPr>
                <w:rFonts w:cs="Arial"/>
                <w:lang w:eastAsia="en-NZ"/>
              </w:rPr>
            </w:pPr>
          </w:p>
          <w:p w14:paraId="6967D5AB" w14:textId="77777777" w:rsidR="00EB7645" w:rsidRPr="00BE00C7" w:rsidRDefault="00000000" w:rsidP="00BE00C7">
            <w:pPr>
              <w:pStyle w:val="OutcomeDescription"/>
              <w:spacing w:before="120" w:after="120"/>
              <w:rPr>
                <w:rFonts w:cs="Arial"/>
                <w:lang w:eastAsia="en-NZ"/>
              </w:rPr>
            </w:pPr>
            <w:r w:rsidRPr="00BE00C7">
              <w:rPr>
                <w:rFonts w:cs="Arial"/>
                <w:lang w:eastAsia="en-NZ"/>
              </w:rPr>
              <w:t>60 days</w:t>
            </w:r>
          </w:p>
        </w:tc>
      </w:tr>
      <w:tr w:rsidR="00E16E25" w14:paraId="06A8B2AE" w14:textId="77777777">
        <w:tc>
          <w:tcPr>
            <w:tcW w:w="0" w:type="auto"/>
          </w:tcPr>
          <w:p w14:paraId="05644FF9"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5.4.3</w:t>
            </w:r>
          </w:p>
          <w:p w14:paraId="745CAF96" w14:textId="77777777" w:rsidR="00EB7645"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22C90D2C"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60B183E" w14:textId="77777777" w:rsidR="00EB7645" w:rsidRPr="00BE00C7" w:rsidRDefault="00000000" w:rsidP="00BE00C7">
            <w:pPr>
              <w:pStyle w:val="OutcomeDescription"/>
              <w:spacing w:before="120" w:after="120"/>
              <w:rPr>
                <w:rFonts w:cs="Arial"/>
                <w:lang w:eastAsia="en-NZ"/>
              </w:rPr>
            </w:pPr>
            <w:r w:rsidRPr="00BE00C7">
              <w:rPr>
                <w:rFonts w:cs="Arial"/>
                <w:lang w:eastAsia="en-NZ"/>
              </w:rPr>
              <w:t>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and annually. Infection control surveillance is discussed at staff, health and safety, and quality improvement meetings. Masonic Court captures ethnicity data on admission and is working towards incorporating this into surveillance methods and data captured around infections.</w:t>
            </w:r>
          </w:p>
          <w:p w14:paraId="42ADD266" w14:textId="77777777" w:rsidR="00EB7645" w:rsidRPr="00BE00C7" w:rsidRDefault="00000000" w:rsidP="00BE00C7">
            <w:pPr>
              <w:pStyle w:val="OutcomeDescription"/>
              <w:spacing w:before="120" w:after="120"/>
              <w:rPr>
                <w:rFonts w:cs="Arial"/>
                <w:lang w:eastAsia="en-NZ"/>
              </w:rPr>
            </w:pPr>
          </w:p>
        </w:tc>
        <w:tc>
          <w:tcPr>
            <w:tcW w:w="0" w:type="auto"/>
          </w:tcPr>
          <w:p w14:paraId="216D5EA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Infection surveillance does not include ethnicity data.</w:t>
            </w:r>
          </w:p>
          <w:p w14:paraId="7BD5376F" w14:textId="77777777" w:rsidR="00EB7645" w:rsidRPr="00BE00C7" w:rsidRDefault="00000000" w:rsidP="00BE00C7">
            <w:pPr>
              <w:pStyle w:val="OutcomeDescription"/>
              <w:spacing w:before="120" w:after="120"/>
              <w:rPr>
                <w:rFonts w:cs="Arial"/>
                <w:lang w:eastAsia="en-NZ"/>
              </w:rPr>
            </w:pPr>
          </w:p>
        </w:tc>
        <w:tc>
          <w:tcPr>
            <w:tcW w:w="0" w:type="auto"/>
          </w:tcPr>
          <w:p w14:paraId="3DBC8673" w14:textId="77777777" w:rsidR="00EB7645" w:rsidRPr="00BE00C7" w:rsidRDefault="00000000" w:rsidP="00BE00C7">
            <w:pPr>
              <w:pStyle w:val="OutcomeDescription"/>
              <w:spacing w:before="120" w:after="120"/>
              <w:rPr>
                <w:rFonts w:cs="Arial"/>
                <w:lang w:eastAsia="en-NZ"/>
              </w:rPr>
            </w:pPr>
            <w:r w:rsidRPr="00BE00C7">
              <w:rPr>
                <w:rFonts w:cs="Arial"/>
                <w:lang w:eastAsia="en-NZ"/>
              </w:rPr>
              <w:t>Ensure infection surveillance includes ethnicity data.</w:t>
            </w:r>
          </w:p>
          <w:p w14:paraId="047EBDA0" w14:textId="77777777" w:rsidR="00EB7645" w:rsidRPr="00BE00C7" w:rsidRDefault="00000000" w:rsidP="00BE00C7">
            <w:pPr>
              <w:pStyle w:val="OutcomeDescription"/>
              <w:spacing w:before="120" w:after="120"/>
              <w:rPr>
                <w:rFonts w:cs="Arial"/>
                <w:lang w:eastAsia="en-NZ"/>
              </w:rPr>
            </w:pPr>
          </w:p>
          <w:p w14:paraId="0D3D606B"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10DB6D78" w14:textId="77777777" w:rsidR="00EB7645" w:rsidRPr="00BE00C7" w:rsidRDefault="00000000" w:rsidP="00BE00C7">
      <w:pPr>
        <w:pStyle w:val="OutcomeDescription"/>
        <w:spacing w:before="120" w:after="120"/>
        <w:rPr>
          <w:rFonts w:cs="Arial"/>
          <w:lang w:eastAsia="en-NZ"/>
        </w:rPr>
      </w:pPr>
      <w:bookmarkStart w:id="57" w:name="AuditSummaryCAMCriterion"/>
      <w:bookmarkEnd w:id="57"/>
    </w:p>
    <w:p w14:paraId="4D03472B" w14:textId="77777777" w:rsidR="00460D43" w:rsidRDefault="00000000">
      <w:pPr>
        <w:pStyle w:val="Heading1"/>
        <w:rPr>
          <w:rFonts w:cs="Arial"/>
        </w:rPr>
      </w:pPr>
      <w:r>
        <w:rPr>
          <w:rFonts w:cs="Arial"/>
        </w:rPr>
        <w:lastRenderedPageBreak/>
        <w:t>Specific results for criterion where a continuous improvement has been recorded</w:t>
      </w:r>
    </w:p>
    <w:p w14:paraId="11CE2DC4" w14:textId="77777777" w:rsidR="00460D43"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DBE7652" w14:textId="77777777" w:rsidR="00460D43"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 healthy</w:t>
      </w:r>
      <w:r w:rsidRPr="00FB778F">
        <w:rPr>
          <w:rFonts w:cs="Arial"/>
          <w:sz w:val="24"/>
          <w:lang w:eastAsia="en-NZ"/>
        </w:rPr>
        <w:t xml:space="preserve"> futures in Section 1: Our rights. </w:t>
      </w:r>
    </w:p>
    <w:p w14:paraId="7ECDF184" w14:textId="77777777" w:rsidR="00460D43"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16E25" w14:paraId="3BC3C2DE" w14:textId="77777777">
        <w:tc>
          <w:tcPr>
            <w:tcW w:w="0" w:type="auto"/>
          </w:tcPr>
          <w:p w14:paraId="3DB74AF7"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0179005" w14:textId="77777777" w:rsidR="00EB7645" w:rsidRPr="00BE00C7" w:rsidRDefault="00000000" w:rsidP="00BE00C7">
      <w:pPr>
        <w:pStyle w:val="OutcomeDescription"/>
        <w:spacing w:before="120" w:after="120"/>
        <w:rPr>
          <w:rFonts w:cs="Arial"/>
          <w:lang w:eastAsia="en-NZ"/>
        </w:rPr>
      </w:pPr>
      <w:bookmarkStart w:id="58" w:name="AuditSummaryCAMImprovment"/>
      <w:bookmarkEnd w:id="58"/>
    </w:p>
    <w:p w14:paraId="02FCF3B3" w14:textId="77777777" w:rsidR="008F3634"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46EB8" w14:textId="77777777" w:rsidR="00A7376A" w:rsidRDefault="00A7376A">
      <w:r>
        <w:separator/>
      </w:r>
    </w:p>
  </w:endnote>
  <w:endnote w:type="continuationSeparator" w:id="0">
    <w:p w14:paraId="185662CF" w14:textId="77777777" w:rsidR="00A7376A" w:rsidRDefault="00A7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90BE" w14:textId="77777777" w:rsidR="000B00BC" w:rsidRDefault="00000000">
    <w:pPr>
      <w:pStyle w:val="Footer"/>
    </w:pPr>
  </w:p>
  <w:p w14:paraId="4B1ECC26" w14:textId="77777777" w:rsidR="005A4A55" w:rsidRDefault="00000000"/>
  <w:p w14:paraId="778AA2D8" w14:textId="77777777" w:rsidR="005A4A55"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8592" w14:textId="77777777" w:rsidR="000B00BC"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Ruapehu Masonic Association Trust - Masonic Court Rest Home</w:t>
    </w:r>
    <w:bookmarkEnd w:id="59"/>
    <w:r>
      <w:rPr>
        <w:rFonts w:cs="Arial"/>
        <w:sz w:val="16"/>
        <w:szCs w:val="20"/>
      </w:rPr>
      <w:tab/>
      <w:t xml:space="preserve">Date of Audit: </w:t>
    </w:r>
    <w:bookmarkStart w:id="60" w:name="AuditStartDate1"/>
    <w:r>
      <w:rPr>
        <w:rFonts w:cs="Arial"/>
        <w:sz w:val="16"/>
        <w:szCs w:val="20"/>
      </w:rPr>
      <w:t>15 February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4CC1C97" w14:textId="77777777" w:rsidR="005A4A5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23AC" w14:textId="77777777" w:rsidR="000B00B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4B0C5" w14:textId="77777777" w:rsidR="00A7376A" w:rsidRDefault="00A7376A">
      <w:r>
        <w:separator/>
      </w:r>
    </w:p>
  </w:footnote>
  <w:footnote w:type="continuationSeparator" w:id="0">
    <w:p w14:paraId="6C82FF70" w14:textId="77777777" w:rsidR="00A7376A" w:rsidRDefault="00A73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769D" w14:textId="77777777" w:rsidR="000B00BC" w:rsidRDefault="00000000">
    <w:pPr>
      <w:pStyle w:val="Header"/>
    </w:pPr>
  </w:p>
  <w:p w14:paraId="0B2F2F5E" w14:textId="77777777" w:rsidR="005A4A55"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AB62" w14:textId="77777777" w:rsidR="000B00BC" w:rsidRDefault="00000000">
    <w:pPr>
      <w:pStyle w:val="Header"/>
    </w:pPr>
  </w:p>
  <w:p w14:paraId="1F239C01" w14:textId="77777777" w:rsidR="005A4A55"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3B27" w14:textId="77777777" w:rsidR="000B00B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5764F74">
      <w:start w:val="1"/>
      <w:numFmt w:val="decimal"/>
      <w:lvlText w:val="%1."/>
      <w:lvlJc w:val="left"/>
      <w:pPr>
        <w:ind w:left="360" w:hanging="360"/>
      </w:pPr>
    </w:lvl>
    <w:lvl w:ilvl="1" w:tplc="903E0C1E" w:tentative="1">
      <w:start w:val="1"/>
      <w:numFmt w:val="lowerLetter"/>
      <w:lvlText w:val="%2."/>
      <w:lvlJc w:val="left"/>
      <w:pPr>
        <w:ind w:left="1080" w:hanging="360"/>
      </w:pPr>
    </w:lvl>
    <w:lvl w:ilvl="2" w:tplc="438CAFF4" w:tentative="1">
      <w:start w:val="1"/>
      <w:numFmt w:val="lowerRoman"/>
      <w:lvlText w:val="%3."/>
      <w:lvlJc w:val="right"/>
      <w:pPr>
        <w:ind w:left="1800" w:hanging="180"/>
      </w:pPr>
    </w:lvl>
    <w:lvl w:ilvl="3" w:tplc="D832AAB4" w:tentative="1">
      <w:start w:val="1"/>
      <w:numFmt w:val="decimal"/>
      <w:lvlText w:val="%4."/>
      <w:lvlJc w:val="left"/>
      <w:pPr>
        <w:ind w:left="2520" w:hanging="360"/>
      </w:pPr>
    </w:lvl>
    <w:lvl w:ilvl="4" w:tplc="25EAFF1E" w:tentative="1">
      <w:start w:val="1"/>
      <w:numFmt w:val="lowerLetter"/>
      <w:lvlText w:val="%5."/>
      <w:lvlJc w:val="left"/>
      <w:pPr>
        <w:ind w:left="3240" w:hanging="360"/>
      </w:pPr>
    </w:lvl>
    <w:lvl w:ilvl="5" w:tplc="AB601B00" w:tentative="1">
      <w:start w:val="1"/>
      <w:numFmt w:val="lowerRoman"/>
      <w:lvlText w:val="%6."/>
      <w:lvlJc w:val="right"/>
      <w:pPr>
        <w:ind w:left="3960" w:hanging="180"/>
      </w:pPr>
    </w:lvl>
    <w:lvl w:ilvl="6" w:tplc="4382529C" w:tentative="1">
      <w:start w:val="1"/>
      <w:numFmt w:val="decimal"/>
      <w:lvlText w:val="%7."/>
      <w:lvlJc w:val="left"/>
      <w:pPr>
        <w:ind w:left="4680" w:hanging="360"/>
      </w:pPr>
    </w:lvl>
    <w:lvl w:ilvl="7" w:tplc="B290E834" w:tentative="1">
      <w:start w:val="1"/>
      <w:numFmt w:val="lowerLetter"/>
      <w:lvlText w:val="%8."/>
      <w:lvlJc w:val="left"/>
      <w:pPr>
        <w:ind w:left="5400" w:hanging="360"/>
      </w:pPr>
    </w:lvl>
    <w:lvl w:ilvl="8" w:tplc="CA7EC48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A74E820">
      <w:start w:val="1"/>
      <w:numFmt w:val="bullet"/>
      <w:lvlText w:val=""/>
      <w:lvlJc w:val="left"/>
      <w:pPr>
        <w:ind w:left="720" w:hanging="360"/>
      </w:pPr>
      <w:rPr>
        <w:rFonts w:ascii="Symbol" w:hAnsi="Symbol" w:hint="default"/>
      </w:rPr>
    </w:lvl>
    <w:lvl w:ilvl="1" w:tplc="B79C4DC4" w:tentative="1">
      <w:start w:val="1"/>
      <w:numFmt w:val="bullet"/>
      <w:lvlText w:val="o"/>
      <w:lvlJc w:val="left"/>
      <w:pPr>
        <w:ind w:left="1440" w:hanging="360"/>
      </w:pPr>
      <w:rPr>
        <w:rFonts w:ascii="Courier New" w:hAnsi="Courier New" w:cs="Courier New" w:hint="default"/>
      </w:rPr>
    </w:lvl>
    <w:lvl w:ilvl="2" w:tplc="DC1A5004" w:tentative="1">
      <w:start w:val="1"/>
      <w:numFmt w:val="bullet"/>
      <w:lvlText w:val=""/>
      <w:lvlJc w:val="left"/>
      <w:pPr>
        <w:ind w:left="2160" w:hanging="360"/>
      </w:pPr>
      <w:rPr>
        <w:rFonts w:ascii="Wingdings" w:hAnsi="Wingdings" w:hint="default"/>
      </w:rPr>
    </w:lvl>
    <w:lvl w:ilvl="3" w:tplc="377C16E4" w:tentative="1">
      <w:start w:val="1"/>
      <w:numFmt w:val="bullet"/>
      <w:lvlText w:val=""/>
      <w:lvlJc w:val="left"/>
      <w:pPr>
        <w:ind w:left="2880" w:hanging="360"/>
      </w:pPr>
      <w:rPr>
        <w:rFonts w:ascii="Symbol" w:hAnsi="Symbol" w:hint="default"/>
      </w:rPr>
    </w:lvl>
    <w:lvl w:ilvl="4" w:tplc="A9469766" w:tentative="1">
      <w:start w:val="1"/>
      <w:numFmt w:val="bullet"/>
      <w:lvlText w:val="o"/>
      <w:lvlJc w:val="left"/>
      <w:pPr>
        <w:ind w:left="3600" w:hanging="360"/>
      </w:pPr>
      <w:rPr>
        <w:rFonts w:ascii="Courier New" w:hAnsi="Courier New" w:cs="Courier New" w:hint="default"/>
      </w:rPr>
    </w:lvl>
    <w:lvl w:ilvl="5" w:tplc="B540C7F0" w:tentative="1">
      <w:start w:val="1"/>
      <w:numFmt w:val="bullet"/>
      <w:lvlText w:val=""/>
      <w:lvlJc w:val="left"/>
      <w:pPr>
        <w:ind w:left="4320" w:hanging="360"/>
      </w:pPr>
      <w:rPr>
        <w:rFonts w:ascii="Wingdings" w:hAnsi="Wingdings" w:hint="default"/>
      </w:rPr>
    </w:lvl>
    <w:lvl w:ilvl="6" w:tplc="C2164A0E" w:tentative="1">
      <w:start w:val="1"/>
      <w:numFmt w:val="bullet"/>
      <w:lvlText w:val=""/>
      <w:lvlJc w:val="left"/>
      <w:pPr>
        <w:ind w:left="5040" w:hanging="360"/>
      </w:pPr>
      <w:rPr>
        <w:rFonts w:ascii="Symbol" w:hAnsi="Symbol" w:hint="default"/>
      </w:rPr>
    </w:lvl>
    <w:lvl w:ilvl="7" w:tplc="5FC6B068" w:tentative="1">
      <w:start w:val="1"/>
      <w:numFmt w:val="bullet"/>
      <w:lvlText w:val="o"/>
      <w:lvlJc w:val="left"/>
      <w:pPr>
        <w:ind w:left="5760" w:hanging="360"/>
      </w:pPr>
      <w:rPr>
        <w:rFonts w:ascii="Courier New" w:hAnsi="Courier New" w:cs="Courier New" w:hint="default"/>
      </w:rPr>
    </w:lvl>
    <w:lvl w:ilvl="8" w:tplc="0CFC69A4" w:tentative="1">
      <w:start w:val="1"/>
      <w:numFmt w:val="bullet"/>
      <w:lvlText w:val=""/>
      <w:lvlJc w:val="left"/>
      <w:pPr>
        <w:ind w:left="6480" w:hanging="360"/>
      </w:pPr>
      <w:rPr>
        <w:rFonts w:ascii="Wingdings" w:hAnsi="Wingdings" w:hint="default"/>
      </w:rPr>
    </w:lvl>
  </w:abstractNum>
  <w:num w:numId="1" w16cid:durableId="371004918">
    <w:abstractNumId w:val="1"/>
  </w:num>
  <w:num w:numId="2" w16cid:durableId="186529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25"/>
    <w:rsid w:val="003E52F8"/>
    <w:rsid w:val="005559E9"/>
    <w:rsid w:val="009C408E"/>
    <w:rsid w:val="00A7376A"/>
    <w:rsid w:val="00E16E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ABBC"/>
  <w15:docId w15:val="{B204B73E-63AE-434D-9816-4ECCF2BC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8737</Words>
  <Characters>49802</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Yvonne Kaveney</cp:lastModifiedBy>
  <cp:revision>3</cp:revision>
  <dcterms:created xsi:type="dcterms:W3CDTF">2024-04-04T02:22:00Z</dcterms:created>
  <dcterms:modified xsi:type="dcterms:W3CDTF">2024-04-04T02:27:00Z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