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61F5" w14:textId="77777777" w:rsidR="00460D43" w:rsidRDefault="00000000">
      <w:pPr>
        <w:pStyle w:val="Heading1"/>
        <w:rPr>
          <w:rFonts w:cs="Arial"/>
        </w:rPr>
      </w:pPr>
      <w:bookmarkStart w:id="0" w:name="PRMS_RIName"/>
      <w:r>
        <w:rPr>
          <w:rFonts w:cs="Arial"/>
        </w:rPr>
        <w:t>Oceania Care Company Limited - Heretaunga Home &amp; Village</w:t>
      </w:r>
      <w:bookmarkEnd w:id="0"/>
    </w:p>
    <w:p w14:paraId="5990A049" w14:textId="77777777" w:rsidR="00460D43" w:rsidRDefault="00000000">
      <w:pPr>
        <w:pStyle w:val="Heading2"/>
        <w:spacing w:after="0"/>
        <w:rPr>
          <w:rFonts w:cs="Arial"/>
        </w:rPr>
      </w:pPr>
      <w:r>
        <w:rPr>
          <w:rFonts w:cs="Arial"/>
        </w:rPr>
        <w:t>Introduction</w:t>
      </w:r>
    </w:p>
    <w:p w14:paraId="1C61F7C6"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56B25F1"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A9B858A"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5EC3B2"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D863EDB" w14:textId="77777777" w:rsidR="00460D43" w:rsidRDefault="00000000">
      <w:pPr>
        <w:spacing w:before="240" w:after="240"/>
        <w:rPr>
          <w:rFonts w:cs="Arial"/>
          <w:lang w:eastAsia="en-NZ"/>
        </w:rPr>
      </w:pPr>
      <w:r>
        <w:rPr>
          <w:rFonts w:cs="Arial"/>
          <w:lang w:eastAsia="en-NZ"/>
        </w:rPr>
        <w:t>The specifics of this audit included:</w:t>
      </w:r>
    </w:p>
    <w:p w14:paraId="5226446E"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11C06F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B43940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Heretaunga Home &amp; Village</w:t>
      </w:r>
      <w:bookmarkEnd w:id="5"/>
    </w:p>
    <w:p w14:paraId="7A93DFF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604ACE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2023</w:t>
      </w:r>
      <w:bookmarkEnd w:id="7"/>
      <w:r w:rsidRPr="009418D4">
        <w:rPr>
          <w:rFonts w:cs="Arial"/>
        </w:rPr>
        <w:tab/>
        <w:t xml:space="preserve">End date: </w:t>
      </w:r>
      <w:bookmarkStart w:id="8" w:name="AuditEndDate"/>
      <w:r>
        <w:rPr>
          <w:rFonts w:cs="Arial"/>
        </w:rPr>
        <w:t>8 November 2023</w:t>
      </w:r>
      <w:bookmarkEnd w:id="8"/>
    </w:p>
    <w:p w14:paraId="4C69D23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2B16517" w14:textId="77777777" w:rsidR="00622B5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3A7FDB2D"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608338C" w14:textId="77777777" w:rsidR="00460D43" w:rsidRDefault="00000000">
      <w:pPr>
        <w:pStyle w:val="Heading1"/>
        <w:rPr>
          <w:rFonts w:cs="Arial"/>
        </w:rPr>
      </w:pPr>
      <w:r>
        <w:rPr>
          <w:rFonts w:cs="Arial"/>
        </w:rPr>
        <w:lastRenderedPageBreak/>
        <w:t>Executive summary of the audit</w:t>
      </w:r>
    </w:p>
    <w:p w14:paraId="13AE78C6" w14:textId="77777777" w:rsidR="00460D43" w:rsidRDefault="00000000">
      <w:pPr>
        <w:pStyle w:val="Heading2"/>
        <w:rPr>
          <w:rFonts w:cs="Arial"/>
        </w:rPr>
      </w:pPr>
      <w:r>
        <w:rPr>
          <w:rFonts w:cs="Arial"/>
        </w:rPr>
        <w:t>Introduction</w:t>
      </w:r>
    </w:p>
    <w:p w14:paraId="275C018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FB330F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86B6CC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389C0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2C5B56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5CDA8C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DD1C60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3A5955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25EEBF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22B58" w14:paraId="0A7DB41C" w14:textId="77777777">
        <w:trPr>
          <w:cantSplit/>
          <w:tblHeader/>
        </w:trPr>
        <w:tc>
          <w:tcPr>
            <w:tcW w:w="1260" w:type="dxa"/>
            <w:tcBorders>
              <w:bottom w:val="single" w:sz="4" w:space="0" w:color="000000"/>
            </w:tcBorders>
            <w:vAlign w:val="center"/>
          </w:tcPr>
          <w:p w14:paraId="4E8E6560"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D3F222"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FCEF86" w14:textId="77777777" w:rsidR="00460D43" w:rsidRDefault="00000000">
            <w:pPr>
              <w:spacing w:before="60" w:after="60"/>
              <w:rPr>
                <w:rFonts w:eastAsia="Calibri"/>
                <w:b/>
                <w:szCs w:val="24"/>
              </w:rPr>
            </w:pPr>
            <w:r>
              <w:rPr>
                <w:rFonts w:eastAsia="Calibri"/>
                <w:b/>
                <w:szCs w:val="24"/>
              </w:rPr>
              <w:t>Definition</w:t>
            </w:r>
          </w:p>
        </w:tc>
      </w:tr>
      <w:tr w:rsidR="00622B58" w14:paraId="1285383C" w14:textId="77777777">
        <w:trPr>
          <w:cantSplit/>
          <w:trHeight w:val="964"/>
        </w:trPr>
        <w:tc>
          <w:tcPr>
            <w:tcW w:w="1260" w:type="dxa"/>
            <w:tcBorders>
              <w:bottom w:val="single" w:sz="4" w:space="0" w:color="000000"/>
            </w:tcBorders>
            <w:shd w:val="clear" w:color="0066FF" w:fill="0000FF"/>
            <w:vAlign w:val="center"/>
          </w:tcPr>
          <w:p w14:paraId="1373542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6FA4D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814D6E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22B58" w14:paraId="7BB20341" w14:textId="77777777">
        <w:trPr>
          <w:cantSplit/>
          <w:trHeight w:val="964"/>
        </w:trPr>
        <w:tc>
          <w:tcPr>
            <w:tcW w:w="1260" w:type="dxa"/>
            <w:shd w:val="clear" w:color="33CC33" w:fill="00FF00"/>
            <w:vAlign w:val="center"/>
          </w:tcPr>
          <w:p w14:paraId="1BCB00E2" w14:textId="77777777" w:rsidR="00460D43" w:rsidRDefault="00000000">
            <w:pPr>
              <w:spacing w:before="60" w:after="60"/>
              <w:rPr>
                <w:rFonts w:eastAsia="Calibri"/>
                <w:szCs w:val="24"/>
              </w:rPr>
            </w:pPr>
          </w:p>
        </w:tc>
        <w:tc>
          <w:tcPr>
            <w:tcW w:w="7095" w:type="dxa"/>
            <w:shd w:val="clear" w:color="auto" w:fill="auto"/>
            <w:vAlign w:val="center"/>
          </w:tcPr>
          <w:p w14:paraId="55EDA296"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832F1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622B58" w14:paraId="39E22C86" w14:textId="77777777">
        <w:trPr>
          <w:cantSplit/>
          <w:trHeight w:val="964"/>
        </w:trPr>
        <w:tc>
          <w:tcPr>
            <w:tcW w:w="1260" w:type="dxa"/>
            <w:tcBorders>
              <w:bottom w:val="single" w:sz="4" w:space="0" w:color="000000"/>
            </w:tcBorders>
            <w:shd w:val="clear" w:color="auto" w:fill="FFFF00"/>
            <w:vAlign w:val="center"/>
          </w:tcPr>
          <w:p w14:paraId="7733D184" w14:textId="77777777" w:rsidR="00460D43" w:rsidRDefault="00000000">
            <w:pPr>
              <w:spacing w:before="60" w:after="60"/>
              <w:rPr>
                <w:rFonts w:eastAsia="Calibri"/>
                <w:szCs w:val="24"/>
              </w:rPr>
            </w:pPr>
          </w:p>
        </w:tc>
        <w:tc>
          <w:tcPr>
            <w:tcW w:w="7095" w:type="dxa"/>
            <w:shd w:val="clear" w:color="auto" w:fill="auto"/>
            <w:vAlign w:val="center"/>
          </w:tcPr>
          <w:p w14:paraId="19F9AD5E"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7C9EBB"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22B58" w14:paraId="5E266BFE" w14:textId="77777777">
        <w:trPr>
          <w:cantSplit/>
          <w:trHeight w:val="964"/>
        </w:trPr>
        <w:tc>
          <w:tcPr>
            <w:tcW w:w="1260" w:type="dxa"/>
            <w:tcBorders>
              <w:bottom w:val="single" w:sz="4" w:space="0" w:color="000000"/>
            </w:tcBorders>
            <w:shd w:val="clear" w:color="auto" w:fill="FFC800"/>
            <w:vAlign w:val="center"/>
          </w:tcPr>
          <w:p w14:paraId="34D2DA2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8091E2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D7B42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22B58" w14:paraId="69C34B15" w14:textId="77777777">
        <w:trPr>
          <w:cantSplit/>
          <w:trHeight w:val="964"/>
        </w:trPr>
        <w:tc>
          <w:tcPr>
            <w:tcW w:w="1260" w:type="dxa"/>
            <w:shd w:val="clear" w:color="auto" w:fill="FF0000"/>
            <w:vAlign w:val="center"/>
          </w:tcPr>
          <w:p w14:paraId="0309E1D8" w14:textId="77777777" w:rsidR="00460D43" w:rsidRDefault="00000000">
            <w:pPr>
              <w:spacing w:before="60" w:after="60"/>
              <w:rPr>
                <w:rFonts w:eastAsia="Calibri"/>
                <w:szCs w:val="24"/>
              </w:rPr>
            </w:pPr>
          </w:p>
        </w:tc>
        <w:tc>
          <w:tcPr>
            <w:tcW w:w="7095" w:type="dxa"/>
            <w:shd w:val="clear" w:color="auto" w:fill="auto"/>
            <w:vAlign w:val="center"/>
          </w:tcPr>
          <w:p w14:paraId="2D29C48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655D91"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4244271" w14:textId="77777777" w:rsidR="00460D43" w:rsidRDefault="00000000">
      <w:pPr>
        <w:pStyle w:val="Heading2"/>
        <w:spacing w:after="0"/>
        <w:rPr>
          <w:rFonts w:cs="Arial"/>
        </w:rPr>
      </w:pPr>
      <w:r>
        <w:rPr>
          <w:rFonts w:cs="Arial"/>
        </w:rPr>
        <w:t>General overview of the audit</w:t>
      </w:r>
    </w:p>
    <w:p w14:paraId="7E15AC68" w14:textId="77777777" w:rsidR="00E536CC" w:rsidRDefault="00000000">
      <w:pPr>
        <w:spacing w:before="240" w:line="276" w:lineRule="auto"/>
        <w:rPr>
          <w:rFonts w:eastAsia="Calibri"/>
        </w:rPr>
      </w:pPr>
      <w:bookmarkStart w:id="13" w:name="GeneralOverview"/>
      <w:r w:rsidRPr="00A4268A">
        <w:rPr>
          <w:rFonts w:eastAsia="Calibri"/>
        </w:rPr>
        <w:t>Heretaunga Rest Home and Village is certified to provide rest home, hospital and secure dementia care services for up to 58 residents. This facility is owned and operated by Oceania Healthcare, which is an operator of residential aged-care and retirement village facilities in New Zealand.</w:t>
      </w:r>
    </w:p>
    <w:p w14:paraId="20841D4D" w14:textId="77777777" w:rsidR="00622B58"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contracts with Te Whatu Ora – Health New Zealand Capital, Coast and Hutt Valley. It included review of relevant policies and procedures, review of residents’ and staff files, observations, and interviews with residents and whānau, governance representatives, staff, and allied health professionals associated with the service. Residents and whānau were complimentary about the care provided.</w:t>
      </w:r>
    </w:p>
    <w:p w14:paraId="0764CED8" w14:textId="77777777" w:rsidR="00622B58" w:rsidRPr="00A4268A" w:rsidRDefault="00000000">
      <w:pPr>
        <w:spacing w:before="240" w:line="276" w:lineRule="auto"/>
        <w:rPr>
          <w:rFonts w:eastAsia="Calibri"/>
        </w:rPr>
      </w:pPr>
      <w:r w:rsidRPr="00A4268A">
        <w:rPr>
          <w:rFonts w:eastAsia="Calibri"/>
        </w:rPr>
        <w:t>No areas requiring improvement were identified at the previous audit. Improvements required in respect of this audit relate to the contractual requirement to have dementia qualified staff working in the secure dementia unit, staff education, and medication room temperature storage capability.</w:t>
      </w:r>
    </w:p>
    <w:bookmarkEnd w:id="13"/>
    <w:p w14:paraId="415FECF7" w14:textId="77777777" w:rsidR="00622B58" w:rsidRPr="00A4268A" w:rsidRDefault="00622B58">
      <w:pPr>
        <w:spacing w:before="240" w:line="276" w:lineRule="auto"/>
        <w:rPr>
          <w:rFonts w:eastAsia="Calibri"/>
        </w:rPr>
      </w:pPr>
    </w:p>
    <w:p w14:paraId="181297ED"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09D3590C" w14:textId="77777777" w:rsidTr="00A4268A">
        <w:trPr>
          <w:cantSplit/>
        </w:trPr>
        <w:tc>
          <w:tcPr>
            <w:tcW w:w="10206" w:type="dxa"/>
            <w:vAlign w:val="center"/>
          </w:tcPr>
          <w:p w14:paraId="1C5B0A8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B0D0E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94B66F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BAEAE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C0BD7C3" w14:textId="77777777" w:rsidR="00460D43" w:rsidRDefault="00000000">
      <w:pPr>
        <w:spacing w:before="240" w:line="276" w:lineRule="auto"/>
        <w:rPr>
          <w:rFonts w:eastAsia="Calibri"/>
        </w:rPr>
      </w:pPr>
      <w:bookmarkStart w:id="16" w:name="ConsumerRights"/>
      <w:r w:rsidRPr="00A4268A">
        <w:rPr>
          <w:rFonts w:eastAsia="Calibri"/>
        </w:rPr>
        <w:t>Heretaunga Rest Home and Village provided an environment that supported residents’ rights and culturally safe care. Staff demonstrated an understanding of residents' rights and obligations. There was a health plan that encapsulated care specifically directed at Māori, Pasifika, and other ethnicities. The service collaborated with external Māori supports, including the local Orongomai Marae, to encourage a Māori worldview of health in service delivery. Systems are in place to enable the service to provide equitable and effective services based on Te Tiriti o Waitangi and the principles of mana motuhake (self-determination). There were no residents who identified as Māori residing at Heretaunga Rest Home and Village on the days of audit; however, there were staff employed who identified as Māori.</w:t>
      </w:r>
    </w:p>
    <w:p w14:paraId="3D61025F" w14:textId="77777777" w:rsidR="00622B58" w:rsidRPr="00A4268A" w:rsidRDefault="00000000">
      <w:pPr>
        <w:spacing w:before="240" w:line="276" w:lineRule="auto"/>
        <w:rPr>
          <w:rFonts w:eastAsia="Calibri"/>
        </w:rPr>
      </w:pPr>
      <w:r w:rsidRPr="00A4268A">
        <w:rPr>
          <w:rFonts w:eastAsia="Calibri"/>
        </w:rPr>
        <w:t>There was a Pasifika resident and a number of Pasifika staff in Heretaunga Rest Home and Village at the time of the audit. Systems and processes were in place to enable the resident to be provided with services that recognised their worldviews and were culturally safe.</w:t>
      </w:r>
    </w:p>
    <w:p w14:paraId="4DA4C8A2" w14:textId="77777777" w:rsidR="00622B58"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choices, and their experiences. There was evidence that residents and their whānau were kept well informed.</w:t>
      </w:r>
    </w:p>
    <w:p w14:paraId="45B1CBB0" w14:textId="77777777" w:rsidR="00622B58" w:rsidRPr="00A4268A" w:rsidRDefault="00000000">
      <w:pPr>
        <w:spacing w:before="240" w:line="276" w:lineRule="auto"/>
        <w:rPr>
          <w:rFonts w:eastAsia="Calibri"/>
        </w:rPr>
      </w:pPr>
      <w:r w:rsidRPr="00A4268A">
        <w:rPr>
          <w:rFonts w:eastAsia="Calibri"/>
        </w:rPr>
        <w:t>Complaints were resolved promptly and effectively in collaboration with all parties involved. Whilst none of the complaints received had been from Māori, there were processes in place to ensure that the complaints process works equitably for Māori, including access to support from kaumatua from Orongomai Marae.</w:t>
      </w:r>
    </w:p>
    <w:bookmarkEnd w:id="16"/>
    <w:p w14:paraId="50DFFACD" w14:textId="77777777" w:rsidR="00622B58" w:rsidRPr="00A4268A" w:rsidRDefault="00622B58">
      <w:pPr>
        <w:spacing w:before="240" w:line="276" w:lineRule="auto"/>
        <w:rPr>
          <w:rFonts w:eastAsia="Calibri"/>
        </w:rPr>
      </w:pPr>
    </w:p>
    <w:p w14:paraId="3BA5587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787277B5" w14:textId="77777777" w:rsidTr="00A4268A">
        <w:trPr>
          <w:cantSplit/>
        </w:trPr>
        <w:tc>
          <w:tcPr>
            <w:tcW w:w="10206" w:type="dxa"/>
            <w:vAlign w:val="center"/>
          </w:tcPr>
          <w:p w14:paraId="513FF72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DFA04F7"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9D3121"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A6747D9"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people with disabilities. Planning ensures the purpose, values, direction, scope, and goals of the organisation are defined. Service performance is monitored and reviewed at planned intervals. The clinical governance structure in place is appropriate to the size and complexity of the services provided by Heretaunga Rest Home and Village.</w:t>
      </w:r>
    </w:p>
    <w:p w14:paraId="473C3BA7" w14:textId="77777777" w:rsidR="00622B58" w:rsidRPr="00A4268A" w:rsidRDefault="00000000">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participate in quality activities. An integrated approach includes collection and analysis of quality improvement data and identifies trends that lead to improvements. Actual and potential risks are identified and mitigated.</w:t>
      </w:r>
    </w:p>
    <w:p w14:paraId="6CC95E1E" w14:textId="77777777" w:rsidR="00622B58" w:rsidRPr="00A4268A" w:rsidRDefault="00000000">
      <w:pPr>
        <w:spacing w:before="240" w:line="276" w:lineRule="auto"/>
        <w:rPr>
          <w:rFonts w:eastAsia="Calibri"/>
        </w:rPr>
      </w:pPr>
      <w:r w:rsidRPr="00A4268A">
        <w:rPr>
          <w:rFonts w:eastAsia="Calibri"/>
        </w:rPr>
        <w:t>There is an education programme in place that includes competencies relevant to the services offered by Heretaunga Rest Home and Village.</w:t>
      </w:r>
    </w:p>
    <w:p w14:paraId="042C86AF" w14:textId="77777777" w:rsidR="00622B58"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bookmarkEnd w:id="19"/>
    <w:p w14:paraId="3B379CB3" w14:textId="77777777" w:rsidR="00622B58" w:rsidRPr="00A4268A" w:rsidRDefault="00622B58">
      <w:pPr>
        <w:spacing w:before="240" w:line="276" w:lineRule="auto"/>
        <w:rPr>
          <w:rFonts w:eastAsia="Calibri"/>
        </w:rPr>
      </w:pPr>
    </w:p>
    <w:p w14:paraId="5F83508C"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6E53CBFB" w14:textId="77777777" w:rsidTr="00A4268A">
        <w:trPr>
          <w:cantSplit/>
        </w:trPr>
        <w:tc>
          <w:tcPr>
            <w:tcW w:w="10206" w:type="dxa"/>
            <w:vAlign w:val="center"/>
          </w:tcPr>
          <w:p w14:paraId="4BB5FCA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FAB4F51"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0EA16F"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FC53FE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Heretaunga Rest Home and Village a person-centred and whānau-centred approach was adopted. Relevant information was provided to the potential resident and their whānau.</w:t>
      </w:r>
    </w:p>
    <w:p w14:paraId="6D31C4DA" w14:textId="77777777" w:rsidR="00622B58"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individualised, based on comprehensive information, and accommodated any recent problems that might arise. Files reviewed demonstrated that care met the needs of residents and their whānau and that care plans had been evaluated on a regular and timely basis.</w:t>
      </w:r>
    </w:p>
    <w:p w14:paraId="2959DF06" w14:textId="77777777" w:rsidR="00622B58"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77CDBE85" w14:textId="77777777" w:rsidR="00622B58"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2B12F040" w14:textId="77777777" w:rsidR="00622B58"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10978B83" w14:textId="77777777" w:rsidR="00622B58" w:rsidRPr="00A4268A" w:rsidRDefault="00622B58" w:rsidP="00621629">
      <w:pPr>
        <w:spacing w:before="240" w:line="276" w:lineRule="auto"/>
        <w:rPr>
          <w:rFonts w:eastAsia="Calibri"/>
        </w:rPr>
      </w:pPr>
    </w:p>
    <w:p w14:paraId="20CFE646"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759FB63D" w14:textId="77777777" w:rsidTr="00A4268A">
        <w:trPr>
          <w:cantSplit/>
        </w:trPr>
        <w:tc>
          <w:tcPr>
            <w:tcW w:w="10206" w:type="dxa"/>
            <w:vAlign w:val="center"/>
          </w:tcPr>
          <w:p w14:paraId="62C1E26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3181EA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F5CC93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B1F4703"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had been checked and assessed as required. External areas are accessible, safe, and secure. Shade and seating in garden areas meet the needs of residents, including people with disabilities.</w:t>
      </w:r>
    </w:p>
    <w:p w14:paraId="49F3F383" w14:textId="77777777" w:rsidR="00622B58" w:rsidRPr="00A4268A" w:rsidRDefault="00000000">
      <w:pPr>
        <w:spacing w:before="240" w:line="276" w:lineRule="auto"/>
        <w:rPr>
          <w:rFonts w:eastAsia="Calibri"/>
        </w:rPr>
      </w:pPr>
      <w:r w:rsidRPr="00A4268A">
        <w:rPr>
          <w:rFonts w:eastAsia="Calibri"/>
        </w:rPr>
        <w:t>There have been no changes to the building or evacuation planning since the previous audit.</w:t>
      </w:r>
    </w:p>
    <w:bookmarkEnd w:id="25"/>
    <w:p w14:paraId="2ED1D5FD" w14:textId="77777777" w:rsidR="00622B58" w:rsidRPr="00A4268A" w:rsidRDefault="00622B58">
      <w:pPr>
        <w:spacing w:before="240" w:line="276" w:lineRule="auto"/>
        <w:rPr>
          <w:rFonts w:eastAsia="Calibri"/>
        </w:rPr>
      </w:pPr>
    </w:p>
    <w:p w14:paraId="430B05E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255BF36C" w14:textId="77777777" w:rsidTr="00A4268A">
        <w:trPr>
          <w:cantSplit/>
        </w:trPr>
        <w:tc>
          <w:tcPr>
            <w:tcW w:w="10206" w:type="dxa"/>
            <w:vAlign w:val="center"/>
          </w:tcPr>
          <w:p w14:paraId="18ED60B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5A3BCAB"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589DFCF"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3964D4D"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business and care manager, clinical manager and the infection control coordinator at Heretaunga Rest Home and Village ensured the safety of residents and staff through a planned infection prevention (IP) and antimicrobial stewardship (AMS) programme that was appropriate to the size and complexity of the service.</w:t>
      </w:r>
    </w:p>
    <w:p w14:paraId="48205F5C" w14:textId="77777777" w:rsidR="00622B58" w:rsidRPr="00A4268A" w:rsidRDefault="00000000">
      <w:pPr>
        <w:spacing w:before="240" w:line="276" w:lineRule="auto"/>
        <w:rPr>
          <w:rFonts w:eastAsia="Calibri"/>
        </w:rPr>
      </w:pPr>
      <w:r w:rsidRPr="00A4268A">
        <w:rPr>
          <w:rFonts w:eastAsia="Calibri"/>
        </w:rPr>
        <w:t>It was adequately resourced. The experienced and trained infection control coordinator led the programme and was engaged in procurement processes.</w:t>
      </w:r>
    </w:p>
    <w:p w14:paraId="1CF724D7" w14:textId="77777777" w:rsidR="00622B58" w:rsidRPr="00A4268A" w:rsidRDefault="00000000">
      <w:pPr>
        <w:spacing w:before="240" w:line="276" w:lineRule="auto"/>
        <w:rPr>
          <w:rFonts w:eastAsia="Calibri"/>
        </w:rPr>
      </w:pPr>
      <w:r w:rsidRPr="00A4268A">
        <w:rPr>
          <w:rFonts w:eastAsia="Calibri"/>
        </w:rPr>
        <w:lastRenderedPageBreak/>
        <w:t>Aged care-specific infection surveillance was undertaken with follow-up action taken as required. Results were monitored and shared with the organisation’s management, staff and to governance. Action plans were implemented as and when required.</w:t>
      </w:r>
    </w:p>
    <w:bookmarkEnd w:id="28"/>
    <w:p w14:paraId="504D0C78" w14:textId="77777777" w:rsidR="00622B58" w:rsidRPr="00A4268A" w:rsidRDefault="00622B58">
      <w:pPr>
        <w:spacing w:before="240" w:line="276" w:lineRule="auto"/>
        <w:rPr>
          <w:rFonts w:eastAsia="Calibri"/>
        </w:rPr>
      </w:pPr>
    </w:p>
    <w:p w14:paraId="36E4328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2B58" w14:paraId="7150F1DA" w14:textId="77777777" w:rsidTr="00A4268A">
        <w:trPr>
          <w:cantSplit/>
        </w:trPr>
        <w:tc>
          <w:tcPr>
            <w:tcW w:w="10206" w:type="dxa"/>
            <w:vAlign w:val="center"/>
          </w:tcPr>
          <w:p w14:paraId="6B745F0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A6F846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369DC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95B285D" w14:textId="77777777" w:rsidR="00460D43" w:rsidRDefault="00000000">
      <w:pPr>
        <w:spacing w:before="240" w:line="276" w:lineRule="auto"/>
        <w:rPr>
          <w:rFonts w:eastAsia="Calibri"/>
        </w:rPr>
      </w:pPr>
      <w:bookmarkStart w:id="31" w:name="InfectionPreventionAndControl"/>
      <w:r w:rsidRPr="00A4268A">
        <w:rPr>
          <w:rFonts w:eastAsia="Calibri"/>
        </w:rPr>
        <w:t>The service is working towards being a restraint-free environment. This is supported by the governing body and policies and procedures. There were two residents using restraints at Heretaunga Rest Home and Village at the time of audit. A comprehensive assessment, approval, and monitoring process, with regular reviews occurs for any restraint used.</w:t>
      </w:r>
    </w:p>
    <w:p w14:paraId="49284E7A" w14:textId="77777777" w:rsidR="00622B58" w:rsidRPr="00A4268A" w:rsidRDefault="00000000">
      <w:pPr>
        <w:spacing w:before="240" w:line="276" w:lineRule="auto"/>
        <w:rPr>
          <w:rFonts w:eastAsia="Calibri"/>
        </w:rPr>
      </w:pPr>
      <w:r w:rsidRPr="00A4268A">
        <w:rPr>
          <w:rFonts w:eastAsia="Calibri"/>
        </w:rPr>
        <w:t>Restraint education/training is included at orientation and then annually, and competencies are assessed. Staff interviewed demonstrated a sound knowledge and understanding of providing least restrictive practice, de-escalation techniques, alternative interventions to restraint, and restraint monitoring.</w:t>
      </w:r>
    </w:p>
    <w:bookmarkEnd w:id="31"/>
    <w:p w14:paraId="2A577E3B" w14:textId="77777777" w:rsidR="00622B58" w:rsidRPr="00A4268A" w:rsidRDefault="00622B58">
      <w:pPr>
        <w:spacing w:before="240" w:line="276" w:lineRule="auto"/>
        <w:rPr>
          <w:rFonts w:eastAsia="Calibri"/>
        </w:rPr>
      </w:pPr>
    </w:p>
    <w:p w14:paraId="79926416" w14:textId="77777777" w:rsidR="00460D43" w:rsidRDefault="00000000" w:rsidP="000E6E02">
      <w:pPr>
        <w:pStyle w:val="Heading2"/>
        <w:spacing w:before="0"/>
        <w:rPr>
          <w:rFonts w:cs="Arial"/>
        </w:rPr>
      </w:pPr>
      <w:r>
        <w:rPr>
          <w:rFonts w:cs="Arial"/>
        </w:rPr>
        <w:lastRenderedPageBreak/>
        <w:t>Summary of attainment</w:t>
      </w:r>
    </w:p>
    <w:p w14:paraId="0016AB3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w:t>
      </w:r>
      <w:r>
        <w:rPr>
          <w:rFonts w:eastAsia="Calibri"/>
        </w:rPr>
        <w:t>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2B58" w14:paraId="196F9142" w14:textId="77777777">
        <w:tc>
          <w:tcPr>
            <w:tcW w:w="1384" w:type="dxa"/>
            <w:vAlign w:val="center"/>
          </w:tcPr>
          <w:p w14:paraId="00B2FCF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D9FCBCD" w14:textId="77777777" w:rsidR="00460D43" w:rsidRDefault="00000000">
            <w:pPr>
              <w:keepNext/>
              <w:spacing w:before="60" w:after="60"/>
              <w:jc w:val="center"/>
              <w:rPr>
                <w:rFonts w:cs="Arial"/>
                <w:b/>
                <w:sz w:val="20"/>
                <w:szCs w:val="20"/>
              </w:rPr>
            </w:pPr>
            <w:r>
              <w:rPr>
                <w:rFonts w:cs="Arial"/>
                <w:b/>
                <w:sz w:val="20"/>
                <w:szCs w:val="20"/>
              </w:rPr>
              <w:t>Continuous Improvement</w:t>
            </w:r>
          </w:p>
          <w:p w14:paraId="265A5BD2"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3815BE1" w14:textId="77777777" w:rsidR="00460D43" w:rsidRDefault="00000000">
            <w:pPr>
              <w:keepNext/>
              <w:spacing w:before="60" w:after="60"/>
              <w:jc w:val="center"/>
              <w:rPr>
                <w:rFonts w:cs="Arial"/>
                <w:b/>
                <w:sz w:val="20"/>
                <w:szCs w:val="20"/>
              </w:rPr>
            </w:pPr>
            <w:r>
              <w:rPr>
                <w:rFonts w:cs="Arial"/>
                <w:b/>
                <w:sz w:val="20"/>
                <w:szCs w:val="20"/>
              </w:rPr>
              <w:t>Fully Attained</w:t>
            </w:r>
          </w:p>
          <w:p w14:paraId="44AEC9B7"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07D387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EEAFB0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7ADFDC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8EEDC9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E9095F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BD534A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D51353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F74783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235D1D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5C1087E" w14:textId="77777777" w:rsidR="00460D43" w:rsidRDefault="00000000">
            <w:pPr>
              <w:keepNext/>
              <w:spacing w:before="60" w:after="60"/>
              <w:jc w:val="center"/>
              <w:rPr>
                <w:rFonts w:cs="Arial"/>
                <w:b/>
                <w:sz w:val="20"/>
                <w:szCs w:val="20"/>
              </w:rPr>
            </w:pPr>
            <w:r>
              <w:rPr>
                <w:rFonts w:cs="Arial"/>
                <w:b/>
                <w:sz w:val="20"/>
                <w:szCs w:val="20"/>
              </w:rPr>
              <w:t>(PA Critical)</w:t>
            </w:r>
          </w:p>
        </w:tc>
      </w:tr>
      <w:tr w:rsidR="00622B58" w14:paraId="47371010" w14:textId="77777777">
        <w:tc>
          <w:tcPr>
            <w:tcW w:w="1384" w:type="dxa"/>
            <w:vAlign w:val="center"/>
          </w:tcPr>
          <w:p w14:paraId="68244F6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40694EE"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B8C53F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717EEF7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B5B147"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E5EACD0"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1186E0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409F96"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2B58" w14:paraId="023957A6" w14:textId="77777777">
        <w:tc>
          <w:tcPr>
            <w:tcW w:w="1384" w:type="dxa"/>
            <w:vAlign w:val="center"/>
          </w:tcPr>
          <w:p w14:paraId="2670219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6C5BC68"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D9A2B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6A453F5E"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D9CEC03"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8171A6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795C25F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F2AA64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CE41FB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2B58" w14:paraId="47E7DBEC" w14:textId="77777777">
        <w:tc>
          <w:tcPr>
            <w:tcW w:w="1384" w:type="dxa"/>
            <w:vAlign w:val="center"/>
          </w:tcPr>
          <w:p w14:paraId="06A1BA54"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575E2E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68DE50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C98DB3E" w14:textId="77777777" w:rsidR="00460D43" w:rsidRDefault="00000000">
            <w:pPr>
              <w:keepNext/>
              <w:spacing w:before="60" w:after="60"/>
              <w:jc w:val="center"/>
              <w:rPr>
                <w:rFonts w:cs="Arial"/>
                <w:b/>
                <w:sz w:val="20"/>
                <w:szCs w:val="20"/>
              </w:rPr>
            </w:pPr>
            <w:r>
              <w:rPr>
                <w:rFonts w:cs="Arial"/>
                <w:b/>
                <w:sz w:val="20"/>
                <w:szCs w:val="20"/>
              </w:rPr>
              <w:t>Unattained Low Risk</w:t>
            </w:r>
          </w:p>
          <w:p w14:paraId="6F1FCA3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19D8104" w14:textId="77777777" w:rsidR="00460D43" w:rsidRDefault="00000000">
            <w:pPr>
              <w:keepNext/>
              <w:spacing w:before="60" w:after="60"/>
              <w:jc w:val="center"/>
              <w:rPr>
                <w:rFonts w:cs="Arial"/>
                <w:b/>
                <w:sz w:val="20"/>
                <w:szCs w:val="20"/>
              </w:rPr>
            </w:pPr>
            <w:r>
              <w:rPr>
                <w:rFonts w:cs="Arial"/>
                <w:b/>
                <w:sz w:val="20"/>
                <w:szCs w:val="20"/>
              </w:rPr>
              <w:t>Unattained Moderate Risk</w:t>
            </w:r>
          </w:p>
          <w:p w14:paraId="026B32A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581D221" w14:textId="77777777" w:rsidR="00460D43" w:rsidRDefault="00000000">
            <w:pPr>
              <w:keepNext/>
              <w:spacing w:before="60" w:after="60"/>
              <w:jc w:val="center"/>
              <w:rPr>
                <w:rFonts w:cs="Arial"/>
                <w:b/>
                <w:sz w:val="20"/>
                <w:szCs w:val="20"/>
              </w:rPr>
            </w:pPr>
            <w:r>
              <w:rPr>
                <w:rFonts w:cs="Arial"/>
                <w:b/>
                <w:sz w:val="20"/>
                <w:szCs w:val="20"/>
              </w:rPr>
              <w:t>Unattained High Risk</w:t>
            </w:r>
          </w:p>
          <w:p w14:paraId="40672A1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0C56BC6" w14:textId="77777777" w:rsidR="00460D43" w:rsidRDefault="00000000">
            <w:pPr>
              <w:keepNext/>
              <w:spacing w:before="60" w:after="60"/>
              <w:jc w:val="center"/>
              <w:rPr>
                <w:rFonts w:cs="Arial"/>
                <w:b/>
                <w:sz w:val="20"/>
                <w:szCs w:val="20"/>
              </w:rPr>
            </w:pPr>
            <w:r>
              <w:rPr>
                <w:rFonts w:cs="Arial"/>
                <w:b/>
                <w:sz w:val="20"/>
                <w:szCs w:val="20"/>
              </w:rPr>
              <w:t>Unattained Critical Risk</w:t>
            </w:r>
          </w:p>
          <w:p w14:paraId="40C45B1A" w14:textId="77777777" w:rsidR="00460D43" w:rsidRDefault="00000000">
            <w:pPr>
              <w:keepNext/>
              <w:spacing w:before="60" w:after="60"/>
              <w:jc w:val="center"/>
              <w:rPr>
                <w:rFonts w:cs="Arial"/>
                <w:b/>
                <w:sz w:val="20"/>
                <w:szCs w:val="20"/>
              </w:rPr>
            </w:pPr>
            <w:r>
              <w:rPr>
                <w:rFonts w:cs="Arial"/>
                <w:b/>
                <w:sz w:val="20"/>
                <w:szCs w:val="20"/>
              </w:rPr>
              <w:t>(UA Critical)</w:t>
            </w:r>
          </w:p>
        </w:tc>
      </w:tr>
      <w:tr w:rsidR="00622B58" w14:paraId="7B419065" w14:textId="77777777">
        <w:tc>
          <w:tcPr>
            <w:tcW w:w="1384" w:type="dxa"/>
            <w:vAlign w:val="center"/>
          </w:tcPr>
          <w:p w14:paraId="24ECC0A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A7B14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494FE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8C347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C51B8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BF197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2B58" w14:paraId="286986FC" w14:textId="77777777">
        <w:tc>
          <w:tcPr>
            <w:tcW w:w="1384" w:type="dxa"/>
            <w:vAlign w:val="center"/>
          </w:tcPr>
          <w:p w14:paraId="1D4D778B"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FEFC4EC"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C6258C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3F4388A"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29B7D0"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A7D6A73"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36C36C7"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97E6A3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1BD14C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DD1C4A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1368"/>
        <w:gridCol w:w="6966"/>
      </w:tblGrid>
      <w:tr w:rsidR="00622B58" w14:paraId="5E6BD478" w14:textId="77777777">
        <w:tc>
          <w:tcPr>
            <w:tcW w:w="0" w:type="auto"/>
          </w:tcPr>
          <w:p w14:paraId="2371BEF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DB6E4A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6F21A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22B58" w14:paraId="666948B2" w14:textId="77777777">
        <w:tc>
          <w:tcPr>
            <w:tcW w:w="0" w:type="auto"/>
          </w:tcPr>
          <w:p w14:paraId="69C2EBA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5D6C99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BFFBB75" w14:textId="77777777" w:rsidR="00EB7645" w:rsidRPr="00BE00C7" w:rsidRDefault="00000000" w:rsidP="00BE00C7">
            <w:pPr>
              <w:pStyle w:val="OutcomeDescription"/>
              <w:spacing w:before="120" w:after="120"/>
              <w:rPr>
                <w:rFonts w:cs="Arial"/>
                <w:lang w:eastAsia="en-NZ"/>
              </w:rPr>
            </w:pPr>
          </w:p>
        </w:tc>
        <w:tc>
          <w:tcPr>
            <w:tcW w:w="0" w:type="auto"/>
          </w:tcPr>
          <w:p w14:paraId="2CC754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5EFE9FB" w14:textId="77777777" w:rsidR="00EB7645" w:rsidRPr="00BE00C7" w:rsidRDefault="00000000" w:rsidP="00BE00C7">
            <w:pPr>
              <w:pStyle w:val="OutcomeDescription"/>
              <w:spacing w:before="120" w:after="120"/>
              <w:rPr>
                <w:rFonts w:cs="Arial"/>
                <w:lang w:eastAsia="en-NZ"/>
              </w:rPr>
            </w:pPr>
            <w:r w:rsidRPr="00BE00C7">
              <w:rPr>
                <w:rFonts w:cs="Arial"/>
                <w:lang w:eastAsia="en-NZ"/>
              </w:rPr>
              <w:t>Heretaunga Rest Home and Village (Heretaunga) has developed policies, procedures, and processes to embed and enact Te Tiriti o Waitangi in all aspects of its work. Heretaunga has a Māori health plan which guides care delivery for Māori using Te Whare Tapa Whā model of care, and by ensuring mana motuhake (self-determination) is respected. The plan has been developed with input from cultural advisers and can be used for residents who identify as Māori. There were no residents who identified as Māori in the facility during the audit.</w:t>
            </w:r>
          </w:p>
          <w:p w14:paraId="0FF0470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interviewed reported that staff respected their right to self-determination, and they felt safe.</w:t>
            </w:r>
          </w:p>
          <w:p w14:paraId="0FE1D9B2" w14:textId="77777777" w:rsidR="00EB7645" w:rsidRPr="00BE00C7" w:rsidRDefault="00000000" w:rsidP="00BE00C7">
            <w:pPr>
              <w:pStyle w:val="OutcomeDescription"/>
              <w:spacing w:before="120" w:after="120"/>
              <w:rPr>
                <w:rFonts w:cs="Arial"/>
                <w:lang w:eastAsia="en-NZ"/>
              </w:rPr>
            </w:pPr>
          </w:p>
        </w:tc>
      </w:tr>
      <w:tr w:rsidR="00622B58" w14:paraId="58125F2F" w14:textId="77777777">
        <w:tc>
          <w:tcPr>
            <w:tcW w:w="0" w:type="auto"/>
          </w:tcPr>
          <w:p w14:paraId="7016B5F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250CF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outcomes.</w:t>
            </w:r>
          </w:p>
          <w:p w14:paraId="61392A60" w14:textId="77777777" w:rsidR="00EB7645" w:rsidRPr="00BE00C7" w:rsidRDefault="00000000" w:rsidP="00BE00C7">
            <w:pPr>
              <w:pStyle w:val="OutcomeDescription"/>
              <w:spacing w:before="120" w:after="120"/>
              <w:rPr>
                <w:rFonts w:cs="Arial"/>
                <w:lang w:eastAsia="en-NZ"/>
              </w:rPr>
            </w:pPr>
          </w:p>
        </w:tc>
        <w:tc>
          <w:tcPr>
            <w:tcW w:w="0" w:type="auto"/>
          </w:tcPr>
          <w:p w14:paraId="691B80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0FA1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peoples’ health plan, and policy and procedure around culturally safe care and diversity and inclusion has been developed at organisational level with input from cultural advisers. It documents care requirements for Pacific peoples to ensure culturally appropriate services. The Fonofale model of care is utilised for Pasifika residents. </w:t>
            </w:r>
          </w:p>
          <w:p w14:paraId="75BB01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resident who identified as Pasifika in the facility during the audit; they reported that their worldview, cultural and spiritual beliefs were </w:t>
            </w:r>
            <w:r w:rsidRPr="00BE00C7">
              <w:rPr>
                <w:rFonts w:cs="Arial"/>
                <w:lang w:eastAsia="en-NZ"/>
              </w:rPr>
              <w:lastRenderedPageBreak/>
              <w:t>embraced. Individualised care planning for the Pasifika resident was appropriate to meet their cultural and spiritual needs.</w:t>
            </w:r>
          </w:p>
          <w:p w14:paraId="2234A107" w14:textId="77777777" w:rsidR="00EB7645" w:rsidRPr="00BE00C7" w:rsidRDefault="00000000" w:rsidP="00BE00C7">
            <w:pPr>
              <w:pStyle w:val="OutcomeDescription"/>
              <w:spacing w:before="120" w:after="120"/>
              <w:rPr>
                <w:rFonts w:cs="Arial"/>
                <w:lang w:eastAsia="en-NZ"/>
              </w:rPr>
            </w:pPr>
          </w:p>
        </w:tc>
      </w:tr>
      <w:tr w:rsidR="00622B58" w14:paraId="6574B72E" w14:textId="77777777">
        <w:tc>
          <w:tcPr>
            <w:tcW w:w="0" w:type="auto"/>
          </w:tcPr>
          <w:p w14:paraId="53DA7F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05AC4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5423129" w14:textId="77777777" w:rsidR="00EB7645" w:rsidRPr="00BE00C7" w:rsidRDefault="00000000" w:rsidP="00BE00C7">
            <w:pPr>
              <w:pStyle w:val="OutcomeDescription"/>
              <w:spacing w:before="120" w:after="120"/>
              <w:rPr>
                <w:rFonts w:cs="Arial"/>
                <w:lang w:eastAsia="en-NZ"/>
              </w:rPr>
            </w:pPr>
          </w:p>
        </w:tc>
        <w:tc>
          <w:tcPr>
            <w:tcW w:w="0" w:type="auto"/>
          </w:tcPr>
          <w:p w14:paraId="4764C3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9B5A5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There had not, however, been any education/training provided on the Code in 2023 (refer criterion 2.3.4).</w:t>
            </w:r>
          </w:p>
          <w:p w14:paraId="05E63B5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The Code was on display in English, te reo Māori, and New Zealand Sign Language (NZSL) throughout the facility. Brochures on the Code and the Advocacy Service were included in the residents’ admission pack, with additional brochures available at reception.</w:t>
            </w:r>
          </w:p>
          <w:p w14:paraId="6C7F29D5" w14:textId="77777777" w:rsidR="00EB7645" w:rsidRPr="00BE00C7" w:rsidRDefault="00000000" w:rsidP="00BE00C7">
            <w:pPr>
              <w:pStyle w:val="OutcomeDescription"/>
              <w:spacing w:before="120" w:after="120"/>
              <w:rPr>
                <w:rFonts w:cs="Arial"/>
                <w:lang w:eastAsia="en-NZ"/>
              </w:rPr>
            </w:pPr>
          </w:p>
        </w:tc>
      </w:tr>
      <w:tr w:rsidR="00622B58" w14:paraId="6988DCC6" w14:textId="77777777">
        <w:tc>
          <w:tcPr>
            <w:tcW w:w="0" w:type="auto"/>
          </w:tcPr>
          <w:p w14:paraId="49A441A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D7719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D2A81C6" w14:textId="77777777" w:rsidR="00EB7645" w:rsidRPr="00BE00C7" w:rsidRDefault="00000000" w:rsidP="00BE00C7">
            <w:pPr>
              <w:pStyle w:val="OutcomeDescription"/>
              <w:spacing w:before="120" w:after="120"/>
              <w:rPr>
                <w:rFonts w:cs="Arial"/>
                <w:lang w:eastAsia="en-NZ"/>
              </w:rPr>
            </w:pPr>
          </w:p>
        </w:tc>
        <w:tc>
          <w:tcPr>
            <w:tcW w:w="0" w:type="auto"/>
          </w:tcPr>
          <w:p w14:paraId="02C159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89E1A9"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Heretaunga included reference checking and police vetting. Policies and procedures outlined safeguards in place to protect people from discrimination, coercion, harassment, physical, sexual, or other exploitation, abuse, or neglect. Workers followed a code of conduct.</w:t>
            </w:r>
          </w:p>
          <w:p w14:paraId="1AA30271" w14:textId="77777777" w:rsidR="00EB7645" w:rsidRPr="00BE00C7" w:rsidRDefault="00000000" w:rsidP="00BE00C7">
            <w:pPr>
              <w:pStyle w:val="OutcomeDescription"/>
              <w:spacing w:before="120" w:after="120"/>
              <w:rPr>
                <w:rFonts w:cs="Arial"/>
                <w:lang w:eastAsia="en-NZ"/>
              </w:rPr>
            </w:pPr>
            <w:r w:rsidRPr="00BE00C7">
              <w:rPr>
                <w:rFonts w:cs="Arial"/>
                <w:lang w:eastAsia="en-NZ"/>
              </w:rPr>
              <w:t>Whilst there had been no specific education/training on abuse and neglect (refer criterion 2.3.4), staff understood the service’s policy on abuse and neglect, including what to do should there be any signs of such practice. Residents reported that their property was respected. Professional boundaries were maintained.</w:t>
            </w:r>
          </w:p>
          <w:p w14:paraId="7AA15EB2"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residents and five whānau interviewed expressed satisfaction with the services provided by the staff at Heretaunga.</w:t>
            </w:r>
          </w:p>
          <w:p w14:paraId="1BBAD4F8" w14:textId="77777777" w:rsidR="00EB7645" w:rsidRPr="00BE00C7" w:rsidRDefault="00000000" w:rsidP="00BE00C7">
            <w:pPr>
              <w:pStyle w:val="OutcomeDescription"/>
              <w:spacing w:before="120" w:after="120"/>
              <w:rPr>
                <w:rFonts w:cs="Arial"/>
                <w:lang w:eastAsia="en-NZ"/>
              </w:rPr>
            </w:pPr>
          </w:p>
        </w:tc>
      </w:tr>
      <w:tr w:rsidR="00622B58" w14:paraId="65B60A89" w14:textId="77777777">
        <w:tc>
          <w:tcPr>
            <w:tcW w:w="0" w:type="auto"/>
          </w:tcPr>
          <w:p w14:paraId="428A77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529F9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t>
            </w:r>
            <w:r w:rsidRPr="00BE00C7">
              <w:rPr>
                <w:rFonts w:cs="Arial"/>
                <w:lang w:eastAsia="en-NZ"/>
              </w:rPr>
              <w:lastRenderedPageBreak/>
              <w:t>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655A679" w14:textId="77777777" w:rsidR="00EB7645" w:rsidRPr="00BE00C7" w:rsidRDefault="00000000" w:rsidP="00BE00C7">
            <w:pPr>
              <w:pStyle w:val="OutcomeDescription"/>
              <w:spacing w:before="120" w:after="120"/>
              <w:rPr>
                <w:rFonts w:cs="Arial"/>
                <w:lang w:eastAsia="en-NZ"/>
              </w:rPr>
            </w:pPr>
          </w:p>
        </w:tc>
        <w:tc>
          <w:tcPr>
            <w:tcW w:w="0" w:type="auto"/>
          </w:tcPr>
          <w:p w14:paraId="5EE05D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6747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at Heretaunga and/or their whānau/legal representatives were provided with the information necessary to make informed decisions. They felt empowered to actively participate in decision-making. The nursing and </w:t>
            </w:r>
            <w:r w:rsidRPr="00BE00C7">
              <w:rPr>
                <w:rFonts w:cs="Arial"/>
                <w:lang w:eastAsia="en-NZ"/>
              </w:rPr>
              <w:lastRenderedPageBreak/>
              <w:t>care staff interviewed understood the principles and practice of informed consent.</w:t>
            </w:r>
          </w:p>
          <w:p w14:paraId="7521A59D"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records.</w:t>
            </w:r>
          </w:p>
          <w:p w14:paraId="26DB814E"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reviewed of residents in the secure unit contained a specialist’s authorisation for the resident to receive care in a secure unit, and an enduring power of attorney (EPOA) that had been activated.</w:t>
            </w:r>
          </w:p>
          <w:p w14:paraId="4DFC5E2F" w14:textId="77777777" w:rsidR="00EB7645" w:rsidRPr="00BE00C7" w:rsidRDefault="00000000" w:rsidP="00BE00C7">
            <w:pPr>
              <w:pStyle w:val="OutcomeDescription"/>
              <w:spacing w:before="120" w:after="120"/>
              <w:rPr>
                <w:rFonts w:cs="Arial"/>
                <w:lang w:eastAsia="en-NZ"/>
              </w:rPr>
            </w:pPr>
          </w:p>
        </w:tc>
      </w:tr>
      <w:tr w:rsidR="00622B58" w14:paraId="6E65AB98" w14:textId="77777777">
        <w:tc>
          <w:tcPr>
            <w:tcW w:w="0" w:type="auto"/>
          </w:tcPr>
          <w:p w14:paraId="13BF25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707CF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1A2B127" w14:textId="77777777" w:rsidR="00EB7645" w:rsidRPr="00BE00C7" w:rsidRDefault="00000000" w:rsidP="00BE00C7">
            <w:pPr>
              <w:pStyle w:val="OutcomeDescription"/>
              <w:spacing w:before="120" w:after="120"/>
              <w:rPr>
                <w:rFonts w:cs="Arial"/>
                <w:lang w:eastAsia="en-NZ"/>
              </w:rPr>
            </w:pPr>
          </w:p>
        </w:tc>
        <w:tc>
          <w:tcPr>
            <w:tcW w:w="0" w:type="auto"/>
          </w:tcPr>
          <w:p w14:paraId="097328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F49942"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3FA8381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12 complaints received in the last 12 months showed that the complaints had been addressed in a timely manner and that the complainants had been informed of the outcome of their complaint.</w:t>
            </w:r>
          </w:p>
          <w:p w14:paraId="337BBB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from Māori in the service but there are processes in place to ensure complaints from Māori are managed in a culturally appropriate way (e.g., through the use of culturally appropriate support from kaumatua from the Orongomai Marae, hui, and tikanga practices specific to the resident or the complainant).</w:t>
            </w:r>
          </w:p>
          <w:p w14:paraId="2CDF35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other complaints received from external sources since the previous audit.</w:t>
            </w:r>
          </w:p>
          <w:p w14:paraId="0A01494C" w14:textId="77777777" w:rsidR="00EB7645" w:rsidRPr="00BE00C7" w:rsidRDefault="00000000" w:rsidP="00BE00C7">
            <w:pPr>
              <w:pStyle w:val="OutcomeDescription"/>
              <w:spacing w:before="120" w:after="120"/>
              <w:rPr>
                <w:rFonts w:cs="Arial"/>
                <w:lang w:eastAsia="en-NZ"/>
              </w:rPr>
            </w:pPr>
          </w:p>
        </w:tc>
      </w:tr>
      <w:tr w:rsidR="00622B58" w14:paraId="5700C340" w14:textId="77777777">
        <w:tc>
          <w:tcPr>
            <w:tcW w:w="0" w:type="auto"/>
          </w:tcPr>
          <w:p w14:paraId="4D74CE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531F7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w:t>
            </w:r>
            <w:r w:rsidRPr="00BE00C7">
              <w:rPr>
                <w:rFonts w:cs="Arial"/>
                <w:lang w:eastAsia="en-NZ"/>
              </w:rPr>
              <w:lastRenderedPageBreak/>
              <w:t>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8F431E0" w14:textId="77777777" w:rsidR="00EB7645" w:rsidRPr="00BE00C7" w:rsidRDefault="00000000" w:rsidP="00BE00C7">
            <w:pPr>
              <w:pStyle w:val="OutcomeDescription"/>
              <w:spacing w:before="120" w:after="120"/>
              <w:rPr>
                <w:rFonts w:cs="Arial"/>
                <w:lang w:eastAsia="en-NZ"/>
              </w:rPr>
            </w:pPr>
          </w:p>
        </w:tc>
        <w:tc>
          <w:tcPr>
            <w:tcW w:w="0" w:type="auto"/>
          </w:tcPr>
          <w:p w14:paraId="0B2A25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FE07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Oceania has a legal team who monitor changes to legislative and clinical requirements </w:t>
            </w:r>
            <w:r w:rsidRPr="00BE00C7">
              <w:rPr>
                <w:rFonts w:cs="Arial"/>
                <w:lang w:eastAsia="en-NZ"/>
              </w:rPr>
              <w:lastRenderedPageBreak/>
              <w:t>and have access to domestic and international legal advice. Information garnered from these sources translates into policy and procedure.</w:t>
            </w:r>
          </w:p>
          <w:p w14:paraId="2E675DBD"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and specialised equipment (eg, information in other languages for the Code of Rights, infection prevention and control, access to equipment needed by residents). Heretaunga utilises the skills of staff and senior managers and supports them in making sure barriers to equitable service delivery are surmounted.</w:t>
            </w:r>
          </w:p>
          <w:p w14:paraId="4E83DB46"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Heretaunga’s service. Cultural safety is embedded in business and quality plans and in staff education. Ethnicity data is being collected to support equity.</w:t>
            </w:r>
          </w:p>
          <w:p w14:paraId="337FEE70"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Internal data collection (e.g., adverse events, complaints, internal audit activities) are aggregated and corrective action (at facility and organisation level as applicable) actioned. Feedback is made to the clinical governance group and to the board. Changes are made to business and/or the strategic plans as required.</w:t>
            </w:r>
          </w:p>
          <w:p w14:paraId="4DEB08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at Heretaunga is appropriate to the size and complexity of the service. Both the business and care manager (BCM) and the clinical manager (CM) at Heretaunga are experienced registered nurses (RNs). The BCM and CM both confirmed knowledge of the sector, regulatory and reporting requirements and both maintain currency within the field.</w:t>
            </w:r>
          </w:p>
          <w:p w14:paraId="4CB760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Capital, Coast and Hutt Valley (Te Whatu Ora Capital, Coast and Hutt Valley) for aged-related residential care (ARRC) for rest home, hospital, and secure dementia care services. Some of the residents reside in care suites </w:t>
            </w:r>
            <w:r w:rsidRPr="00BE00C7">
              <w:rPr>
                <w:rFonts w:cs="Arial"/>
                <w:lang w:eastAsia="en-NZ"/>
              </w:rPr>
              <w:lastRenderedPageBreak/>
              <w:t>which are bought under an occupational rights agreement (ARRC in ORA). Fifty-five (55) residents were receiving services on the day of audit. Thirteen (13) were receiving rest home services (including eight in ARRC in ORA care suites), 23 were receiving hospital level services (including nine in ARRC in ORA care suites and one resident who was residing in the dementia unit with a dispensation from Te Whatu Ora Capital, Coast, and Hutt Valley in place while reassessment back to dementia care is taking place), and 18 were receiving secure dementia care services. One resident in a care suite was private and did not have an ARRC agreement in place.</w:t>
            </w:r>
          </w:p>
          <w:p w14:paraId="31EFC90D" w14:textId="77777777" w:rsidR="00EB7645" w:rsidRPr="00BE00C7" w:rsidRDefault="00000000" w:rsidP="00BE00C7">
            <w:pPr>
              <w:pStyle w:val="OutcomeDescription"/>
              <w:spacing w:before="120" w:after="120"/>
              <w:rPr>
                <w:rFonts w:cs="Arial"/>
                <w:lang w:eastAsia="en-NZ"/>
              </w:rPr>
            </w:pPr>
          </w:p>
        </w:tc>
      </w:tr>
      <w:tr w:rsidR="00622B58" w14:paraId="7EB16CF6" w14:textId="77777777">
        <w:tc>
          <w:tcPr>
            <w:tcW w:w="0" w:type="auto"/>
          </w:tcPr>
          <w:p w14:paraId="534F4B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41765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0A9FCAF" w14:textId="77777777" w:rsidR="00EB7645" w:rsidRPr="00BE00C7" w:rsidRDefault="00000000" w:rsidP="00BE00C7">
            <w:pPr>
              <w:pStyle w:val="OutcomeDescription"/>
              <w:spacing w:before="120" w:after="120"/>
              <w:rPr>
                <w:rFonts w:cs="Arial"/>
                <w:lang w:eastAsia="en-NZ"/>
              </w:rPr>
            </w:pPr>
          </w:p>
        </w:tc>
        <w:tc>
          <w:tcPr>
            <w:tcW w:w="0" w:type="auto"/>
          </w:tcPr>
          <w:p w14:paraId="044FA5C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97CC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accidents, and hazards (including the monitoring of clinical incidents such as falls, pressure injuries, infections, wounds, and medication errors), complaints, audit activities, and policies and procedures. Relevant corrective actions are developed and implemented to address any shortfalls. Progress against quality outcomes is evaluated. Quality data is communicated and discussed, and this was confirmed by staff at interview. Policies reviewed covered all necessary aspects of the service and contractual requirements and were current. Critical analysis of organisational practices to improve health equity is occurring with appropriate follow-up and reporting. A Māori health plan guides care for Māori.</w:t>
            </w:r>
          </w:p>
          <w:p w14:paraId="208121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and CM both understood the processes for the identification, documentation, monitoring, review, and reporting of risks, including health and safety risks, and development of mitigation strategies. Staff document adverse and near miss events in line with the National Adverse Event Reporting Policy. A sample of incident forms reviewed showed these were fully completed, incidents were investigated, action plans were developed, and any corrective actions followed up in a timely manner.</w:t>
            </w:r>
          </w:p>
          <w:p w14:paraId="14FACA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BCM and CM understood and have complied with essential notification reporting requirements. There have been five section 31 notifications completed since the last audit, two in relation to the change in the BCM (firstly in an acting capacity and then as a permanent appointment), one for </w:t>
            </w:r>
            <w:r w:rsidRPr="00BE00C7">
              <w:rPr>
                <w:rFonts w:cs="Arial"/>
                <w:lang w:eastAsia="en-NZ"/>
              </w:rPr>
              <w:lastRenderedPageBreak/>
              <w:t>a CM change and two for pressure injury (one stage 3 and one unstageable).</w:t>
            </w:r>
          </w:p>
          <w:p w14:paraId="74265C57" w14:textId="77777777" w:rsidR="00EB7645" w:rsidRPr="00BE00C7" w:rsidRDefault="00000000" w:rsidP="00BE00C7">
            <w:pPr>
              <w:pStyle w:val="OutcomeDescription"/>
              <w:spacing w:before="120" w:after="120"/>
              <w:rPr>
                <w:rFonts w:cs="Arial"/>
                <w:lang w:eastAsia="en-NZ"/>
              </w:rPr>
            </w:pPr>
          </w:p>
        </w:tc>
      </w:tr>
      <w:tr w:rsidR="00622B58" w14:paraId="22DA325E" w14:textId="77777777">
        <w:tc>
          <w:tcPr>
            <w:tcW w:w="0" w:type="auto"/>
          </w:tcPr>
          <w:p w14:paraId="77AE27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22F0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A67928E" w14:textId="77777777" w:rsidR="00EB7645" w:rsidRPr="00BE00C7" w:rsidRDefault="00000000" w:rsidP="00BE00C7">
            <w:pPr>
              <w:pStyle w:val="OutcomeDescription"/>
              <w:spacing w:before="120" w:after="120"/>
              <w:rPr>
                <w:rFonts w:cs="Arial"/>
                <w:lang w:eastAsia="en-NZ"/>
              </w:rPr>
            </w:pPr>
          </w:p>
        </w:tc>
        <w:tc>
          <w:tcPr>
            <w:tcW w:w="0" w:type="auto"/>
          </w:tcPr>
          <w:p w14:paraId="626E1A31"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4EFA4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in the hospital.</w:t>
            </w:r>
          </w:p>
          <w:p w14:paraId="6873FB9A"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additional functions, such as holding a restraint or infection prevention and control (IPC) portfolio.</w:t>
            </w:r>
          </w:p>
          <w:p w14:paraId="44882E18"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but this has not been delivered for all staff in 2023 (refer criteria 2.3.4). Related competencies are assessed and support equitable service delivery, and these have been completed. Care staff have access to a New Zealand Qualification Authority (NZQA) education programme to meet the requirements of the provider’s agreements with Te Whatu Ora Capital, Coast and Hutt Valley; however, only four staff have completed the appropriate dementia education to allow them to work in the secure dementia unit and five have commenced the programme (refer criterion 2.3.2).</w:t>
            </w:r>
          </w:p>
          <w:p w14:paraId="375D1E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0A741870" w14:textId="77777777" w:rsidR="00EB7645" w:rsidRPr="00BE00C7" w:rsidRDefault="00000000" w:rsidP="00BE00C7">
            <w:pPr>
              <w:pStyle w:val="OutcomeDescription"/>
              <w:spacing w:before="120" w:after="120"/>
              <w:rPr>
                <w:rFonts w:cs="Arial"/>
                <w:lang w:eastAsia="en-NZ"/>
              </w:rPr>
            </w:pPr>
          </w:p>
        </w:tc>
      </w:tr>
      <w:tr w:rsidR="00622B58" w14:paraId="1C5591C7" w14:textId="77777777">
        <w:tc>
          <w:tcPr>
            <w:tcW w:w="0" w:type="auto"/>
          </w:tcPr>
          <w:p w14:paraId="27CB040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32669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lastRenderedPageBreak/>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4A78B8E" w14:textId="77777777" w:rsidR="00EB7645" w:rsidRPr="00BE00C7" w:rsidRDefault="00000000" w:rsidP="00BE00C7">
            <w:pPr>
              <w:pStyle w:val="OutcomeDescription"/>
              <w:spacing w:before="120" w:after="120"/>
              <w:rPr>
                <w:rFonts w:cs="Arial"/>
                <w:lang w:eastAsia="en-NZ"/>
              </w:rPr>
            </w:pPr>
          </w:p>
        </w:tc>
        <w:tc>
          <w:tcPr>
            <w:tcW w:w="0" w:type="auto"/>
          </w:tcPr>
          <w:p w14:paraId="4AA19A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A2D222"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65643C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Qualifications are validated prior to employment. Thereafter, a register of annual practising certificates (APCs) is maintained for registered nurses (RNs) and associated health contractors (general practitioners (GPs), nurse practitioner (NP), pharmacists, physiotherapist, podiatrist, and dietitian).</w:t>
            </w:r>
          </w:p>
          <w:p w14:paraId="517734B2"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six staff records of recent staff employed, evidenced completed induction and orientation and this was confirmed by staff. Staff performance is reviewed and discussed at regular intervals; this was confirmed through review of documentation in six staff records and also confirmed through interviews with staff. Staff reported that they have input into the performance appraisal process, and that they can set their own goals.</w:t>
            </w:r>
          </w:p>
          <w:p w14:paraId="652D77B0" w14:textId="77777777" w:rsidR="00EB7645" w:rsidRPr="00BE00C7" w:rsidRDefault="00000000" w:rsidP="00BE00C7">
            <w:pPr>
              <w:pStyle w:val="OutcomeDescription"/>
              <w:spacing w:before="120" w:after="120"/>
              <w:rPr>
                <w:rFonts w:cs="Arial"/>
                <w:lang w:eastAsia="en-NZ"/>
              </w:rPr>
            </w:pPr>
          </w:p>
        </w:tc>
      </w:tr>
      <w:tr w:rsidR="00622B58" w14:paraId="0AF5661E" w14:textId="77777777">
        <w:tc>
          <w:tcPr>
            <w:tcW w:w="0" w:type="auto"/>
          </w:tcPr>
          <w:p w14:paraId="19C635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40F3B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7639F5" w14:textId="77777777" w:rsidR="00EB7645" w:rsidRPr="00BE00C7" w:rsidRDefault="00000000" w:rsidP="00BE00C7">
            <w:pPr>
              <w:pStyle w:val="OutcomeDescription"/>
              <w:spacing w:before="120" w:after="120"/>
              <w:rPr>
                <w:rFonts w:cs="Arial"/>
                <w:lang w:eastAsia="en-NZ"/>
              </w:rPr>
            </w:pPr>
          </w:p>
        </w:tc>
        <w:tc>
          <w:tcPr>
            <w:tcW w:w="0" w:type="auto"/>
          </w:tcPr>
          <w:p w14:paraId="4D9A49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145A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Heretaunga worked in partnership with the residents and their whānau to support the residents’ wellbeing. Eleven residents’ files were reviewed: six hospital files, two rest home files, and three files of residents who were receiving care in the secure dementia unit. These files included residents who had had an acute event requiring transfer to an acute facility, a resident with a pressure injury, residents at risk of developing pressure injuries, residents with a wound, residents with behaviours that challenge, residents with a recent injury, residents with compromised mobility, residents with diverse cultural needs, and residents with several co-morbidities.</w:t>
            </w:r>
          </w:p>
          <w:p w14:paraId="2ECE9B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files reviewed verified the RN developed the residents’ plan of care following a comprehensive assessment, including consideration of the person’s lived experience, cultural needs, values, and beliefs, and considers wider service integration, where required.</w:t>
            </w:r>
          </w:p>
          <w:p w14:paraId="472E93F9"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their whānau input (as applicable). Timeframes for the initial assessment, general practitioner (GP) or nurse practitioner (NP) input, initial care plan, long-term care plan, short-term care plans, and review/evaluation timeframes met contractual requirements. This was verified by reviewing documentation, sampling residents’ records, interviews, and from observation.</w:t>
            </w:r>
          </w:p>
          <w:p w14:paraId="60EF81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was different from that expected, changes </w:t>
            </w:r>
            <w:r w:rsidRPr="00BE00C7">
              <w:rPr>
                <w:rFonts w:cs="Arial"/>
                <w:lang w:eastAsia="en-NZ"/>
              </w:rPr>
              <w:lastRenderedPageBreak/>
              <w:t>were made to the care plan in collaboration with the resident and their whānau. Residents and their whānau confirmed active involvement in the process. Residents in the secure unit had behaviour assessments and behaviour management plans that included triggers to behaviours and strategies to minimise those triggers. All care plans in the secure unit included a 24-hour plan that addressed the residents’ previous lifestyle patterns. A resident reviewed with a previous large stage three pressure injury, notified to Manatū Hauora (Ministry of Health) via a section 31 notification on September 4 2023, was noted to no longer have that injury at this audit, following a successful wound management regime being implemented with support from the wound care nurse specialist. A resident with an unstageable pressure injury from ill-fitting shoes, had a section 31 notification made on 3 October 2023. The wound is noted as being managed in accordance with best practice guidelines. Heretaunga’s commitment to minimise or resolve pressure injuries was recognised as an area of continuous improvement in the October 2021 audit (HDSS 2008: 1.1.8.1). The evidence verifies the facility’s commitment remains ongoing; however, there was no ongoing documentation to evidence a formal review process including analysis had been undertaken since the last audit.</w:t>
            </w:r>
          </w:p>
          <w:p w14:paraId="5BC76187" w14:textId="77777777" w:rsidR="00EB7645" w:rsidRPr="00BE00C7" w:rsidRDefault="00000000" w:rsidP="009D71A0">
            <w:pPr>
              <w:pStyle w:val="OutcomeDescription"/>
              <w:spacing w:before="120" w:after="120"/>
              <w:rPr>
                <w:rFonts w:cs="Arial"/>
                <w:lang w:eastAsia="en-NZ"/>
              </w:rPr>
            </w:pPr>
          </w:p>
        </w:tc>
      </w:tr>
      <w:tr w:rsidR="00622B58" w14:paraId="75640CDF" w14:textId="77777777">
        <w:tc>
          <w:tcPr>
            <w:tcW w:w="0" w:type="auto"/>
          </w:tcPr>
          <w:p w14:paraId="035B39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DC75F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4B2FBC3" w14:textId="77777777" w:rsidR="00EB7645" w:rsidRPr="00BE00C7" w:rsidRDefault="00000000" w:rsidP="00BE00C7">
            <w:pPr>
              <w:pStyle w:val="OutcomeDescription"/>
              <w:spacing w:before="120" w:after="120"/>
              <w:rPr>
                <w:rFonts w:cs="Arial"/>
                <w:lang w:eastAsia="en-NZ"/>
              </w:rPr>
            </w:pPr>
          </w:p>
        </w:tc>
        <w:tc>
          <w:tcPr>
            <w:tcW w:w="0" w:type="auto"/>
          </w:tcPr>
          <w:p w14:paraId="21713BD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0114B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competent to perform the function they manage. There was a process in place to identify, record, and document residents’ medication sensitivities, and the action required for adverse events.</w:t>
            </w:r>
          </w:p>
          <w:p w14:paraId="029C5106"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41DD042F"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securely, including controlled drugs. The required stock checks were completed. The medicines, however, could not be evidenced as being stored within the recommended temperature range (refer criterion 3.4.1).</w:t>
            </w:r>
          </w:p>
          <w:p w14:paraId="56F650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vaccines being stored onsite.</w:t>
            </w:r>
          </w:p>
          <w:p w14:paraId="428D3F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Prescribing practices met requirements. The required three-monthly GP review was recorded on the medicine chart. Standing orders were not used at Heretaunga.</w:t>
            </w:r>
          </w:p>
          <w:p w14:paraId="3FC5BE7D"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and their whānau were supported to understand their medications.</w:t>
            </w:r>
          </w:p>
          <w:p w14:paraId="20298F1D" w14:textId="77777777" w:rsidR="00EB7645" w:rsidRPr="00BE00C7" w:rsidRDefault="00000000" w:rsidP="00BE00C7">
            <w:pPr>
              <w:pStyle w:val="OutcomeDescription"/>
              <w:spacing w:before="120" w:after="120"/>
              <w:rPr>
                <w:rFonts w:cs="Arial"/>
                <w:lang w:eastAsia="en-NZ"/>
              </w:rPr>
            </w:pPr>
          </w:p>
        </w:tc>
      </w:tr>
      <w:tr w:rsidR="00622B58" w14:paraId="6010481B" w14:textId="77777777">
        <w:tc>
          <w:tcPr>
            <w:tcW w:w="0" w:type="auto"/>
          </w:tcPr>
          <w:p w14:paraId="1A4EAF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7BC83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5FD640A" w14:textId="77777777" w:rsidR="00EB7645" w:rsidRPr="00BE00C7" w:rsidRDefault="00000000" w:rsidP="00BE00C7">
            <w:pPr>
              <w:pStyle w:val="OutcomeDescription"/>
              <w:spacing w:before="120" w:after="120"/>
              <w:rPr>
                <w:rFonts w:cs="Arial"/>
                <w:lang w:eastAsia="en-NZ"/>
              </w:rPr>
            </w:pPr>
          </w:p>
        </w:tc>
        <w:tc>
          <w:tcPr>
            <w:tcW w:w="0" w:type="auto"/>
          </w:tcPr>
          <w:p w14:paraId="14F3C2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71E8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Heretaunga was in line with recognised nutritional guidelines for older people. The menu was reviewed by a qualified dietitian in March 2023. Recommendations made at that time had been implemented.</w:t>
            </w:r>
          </w:p>
          <w:p w14:paraId="3AFAF3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Heretaunga on 17 May 2023. Three areas requiring corrective action were identified; these had been addressed, and the plan was verified for 18 months. The plan is due for re-audit on 17 November 2024.</w:t>
            </w:r>
          </w:p>
          <w:p w14:paraId="4856A939"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3FA6CE44"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and resident and whānau meeting minutes. This was supported on the day of the audit when residents responded favourably regarding the meals provided on these days.</w:t>
            </w:r>
          </w:p>
          <w:p w14:paraId="7D43E961"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was available in the secure dementia unit at any time, night or day.</w:t>
            </w:r>
          </w:p>
          <w:p w14:paraId="315D36E9" w14:textId="77777777" w:rsidR="00EB7645" w:rsidRPr="00BE00C7" w:rsidRDefault="00000000" w:rsidP="00BE00C7">
            <w:pPr>
              <w:pStyle w:val="OutcomeDescription"/>
              <w:spacing w:before="120" w:after="120"/>
              <w:rPr>
                <w:rFonts w:cs="Arial"/>
                <w:lang w:eastAsia="en-NZ"/>
              </w:rPr>
            </w:pPr>
          </w:p>
        </w:tc>
      </w:tr>
      <w:tr w:rsidR="00622B58" w14:paraId="34BF9804" w14:textId="77777777">
        <w:tc>
          <w:tcPr>
            <w:tcW w:w="0" w:type="auto"/>
          </w:tcPr>
          <w:p w14:paraId="6BAB2E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119D2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6B5C0B8" w14:textId="77777777" w:rsidR="00EB7645" w:rsidRPr="00BE00C7" w:rsidRDefault="00000000" w:rsidP="00BE00C7">
            <w:pPr>
              <w:pStyle w:val="OutcomeDescription"/>
              <w:spacing w:before="120" w:after="120"/>
              <w:rPr>
                <w:rFonts w:cs="Arial"/>
                <w:lang w:eastAsia="en-NZ"/>
              </w:rPr>
            </w:pPr>
          </w:p>
        </w:tc>
        <w:tc>
          <w:tcPr>
            <w:tcW w:w="0" w:type="auto"/>
          </w:tcPr>
          <w:p w14:paraId="35AF57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CC9C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Heretaunga was planned and managed safely to cover current needs and mitigate risk. The plan was developed with </w:t>
            </w:r>
            <w:r w:rsidRPr="00BE00C7">
              <w:rPr>
                <w:rFonts w:cs="Arial"/>
                <w:lang w:eastAsia="en-NZ"/>
              </w:rPr>
              <w:lastRenderedPageBreak/>
              <w:t>coordination between services and in collaboration with the resident and their whānau.</w:t>
            </w:r>
          </w:p>
          <w:p w14:paraId="1EA18031" w14:textId="77777777" w:rsidR="00EB7645" w:rsidRPr="00BE00C7" w:rsidRDefault="00000000" w:rsidP="00BE00C7">
            <w:pPr>
              <w:pStyle w:val="OutcomeDescription"/>
              <w:spacing w:before="120" w:after="120"/>
              <w:rPr>
                <w:rFonts w:cs="Arial"/>
                <w:lang w:eastAsia="en-NZ"/>
              </w:rPr>
            </w:pPr>
          </w:p>
        </w:tc>
      </w:tr>
      <w:tr w:rsidR="00622B58" w14:paraId="6A64DDB5" w14:textId="77777777">
        <w:tc>
          <w:tcPr>
            <w:tcW w:w="0" w:type="auto"/>
          </w:tcPr>
          <w:p w14:paraId="35379E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1C7A4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2ECAE75" w14:textId="77777777" w:rsidR="00EB7645" w:rsidRPr="00BE00C7" w:rsidRDefault="00000000" w:rsidP="00BE00C7">
            <w:pPr>
              <w:pStyle w:val="OutcomeDescription"/>
              <w:spacing w:before="120" w:after="120"/>
              <w:rPr>
                <w:rFonts w:cs="Arial"/>
                <w:lang w:eastAsia="en-NZ"/>
              </w:rPr>
            </w:pPr>
          </w:p>
        </w:tc>
        <w:tc>
          <w:tcPr>
            <w:tcW w:w="0" w:type="auto"/>
          </w:tcPr>
          <w:p w14:paraId="5CED996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22277D5"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culturally appropriate, and that they meet legislative requirements. There is a garden with seating and shade available for leisure activities for the residents in the secure dementia unit.</w:t>
            </w:r>
          </w:p>
          <w:p w14:paraId="1F5BEC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warrant of fitness which expires on 17 August 2024. A planned maintenance schedule includes electrical testing and tagging, resident equipment checks, and calibrations of weigh scales and biomedical equipment. Monthly hot water tests are completed for resident areas; these were sighted and were all within acceptable limits.</w:t>
            </w:r>
          </w:p>
          <w:p w14:paraId="248A5829" w14:textId="77777777" w:rsidR="00EB7645" w:rsidRPr="00BE00C7" w:rsidRDefault="00000000" w:rsidP="00BE00C7">
            <w:pPr>
              <w:pStyle w:val="OutcomeDescription"/>
              <w:spacing w:before="120" w:after="120"/>
              <w:rPr>
                <w:rFonts w:cs="Arial"/>
                <w:lang w:eastAsia="en-NZ"/>
              </w:rPr>
            </w:pPr>
          </w:p>
        </w:tc>
      </w:tr>
      <w:tr w:rsidR="00622B58" w14:paraId="49E3A00E" w14:textId="77777777">
        <w:tc>
          <w:tcPr>
            <w:tcW w:w="0" w:type="auto"/>
          </w:tcPr>
          <w:p w14:paraId="3A9A472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BA8EB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A4C498D" w14:textId="77777777" w:rsidR="00EB7645" w:rsidRPr="00BE00C7" w:rsidRDefault="00000000" w:rsidP="00BE00C7">
            <w:pPr>
              <w:pStyle w:val="OutcomeDescription"/>
              <w:spacing w:before="120" w:after="120"/>
              <w:rPr>
                <w:rFonts w:cs="Arial"/>
                <w:lang w:eastAsia="en-NZ"/>
              </w:rPr>
            </w:pPr>
          </w:p>
        </w:tc>
        <w:tc>
          <w:tcPr>
            <w:tcW w:w="0" w:type="auto"/>
          </w:tcPr>
          <w:p w14:paraId="4BAE64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6326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 was appropriate to the size and complexity of the service, had been approved by the governing body, was linked to the quality improvement system, and was reviewed and reported on yearly. Expertise and advice were sought following a defined process. A documented pathway supported risk-based reporting of progress, issues, and noteworthy events to the governing body.</w:t>
            </w:r>
          </w:p>
          <w:p w14:paraId="02C12D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were observed following these correctly. A training session for HCAs and residents’ family on antimicrobial stewardship was provided in April 2023 by the infection control coordinator (ICC). Ongoing training regarding isolation, </w:t>
            </w:r>
            <w:r w:rsidRPr="00BE00C7">
              <w:rPr>
                <w:rFonts w:cs="Arial"/>
                <w:lang w:eastAsia="en-NZ"/>
              </w:rPr>
              <w:lastRenderedPageBreak/>
              <w:t>donning and doffing and handwashing has been provided to staff on a one-on-one basis, as evidenced by observations, interviews, and the management of outbreaks. RNs have attended training in IP. There had, however, been no other formal training on IP in 2023 (refer criterion 2.3.4).</w:t>
            </w:r>
          </w:p>
          <w:p w14:paraId="47E8D296" w14:textId="77777777" w:rsidR="00EB7645" w:rsidRPr="00BE00C7" w:rsidRDefault="00000000" w:rsidP="00BE00C7">
            <w:pPr>
              <w:pStyle w:val="OutcomeDescription"/>
              <w:spacing w:before="120" w:after="120"/>
              <w:rPr>
                <w:rFonts w:cs="Arial"/>
                <w:lang w:eastAsia="en-NZ"/>
              </w:rPr>
            </w:pPr>
          </w:p>
        </w:tc>
      </w:tr>
      <w:tr w:rsidR="00622B58" w14:paraId="11440B7C" w14:textId="77777777">
        <w:tc>
          <w:tcPr>
            <w:tcW w:w="0" w:type="auto"/>
          </w:tcPr>
          <w:p w14:paraId="3C80289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BA19A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ACEC5C" w14:textId="77777777" w:rsidR="00EB7645" w:rsidRPr="00BE00C7" w:rsidRDefault="00000000" w:rsidP="00BE00C7">
            <w:pPr>
              <w:pStyle w:val="OutcomeDescription"/>
              <w:spacing w:before="120" w:after="120"/>
              <w:rPr>
                <w:rFonts w:cs="Arial"/>
                <w:lang w:eastAsia="en-NZ"/>
              </w:rPr>
            </w:pPr>
          </w:p>
        </w:tc>
        <w:tc>
          <w:tcPr>
            <w:tcW w:w="0" w:type="auto"/>
          </w:tcPr>
          <w:p w14:paraId="01F44C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343ED4" w14:textId="77777777" w:rsidR="00EB7645" w:rsidRPr="00BE00C7" w:rsidRDefault="00000000" w:rsidP="00BE00C7">
            <w:pPr>
              <w:pStyle w:val="OutcomeDescription"/>
              <w:spacing w:before="120" w:after="120"/>
              <w:rPr>
                <w:rFonts w:cs="Arial"/>
                <w:lang w:eastAsia="en-NZ"/>
              </w:rPr>
            </w:pPr>
            <w:r w:rsidRPr="00BE00C7">
              <w:rPr>
                <w:rFonts w:cs="Arial"/>
                <w:lang w:eastAsia="en-NZ"/>
              </w:rPr>
              <w:t>Heretaunga undertook surveillance of infections appropriate to that recommended for long-term care facilities and this was in line with priorities defined in the infection control programme. Heretaunga used standardised surveillance definitions to identify and classify infection events that relate to the type of infection under surveillance.</w:t>
            </w:r>
          </w:p>
          <w:p w14:paraId="335B0E61"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Results of the surveillance programme were reported to management/governing body and shared with staff.</w:t>
            </w:r>
          </w:p>
          <w:p w14:paraId="47437508" w14:textId="77777777" w:rsidR="00EB7645" w:rsidRPr="00BE00C7" w:rsidRDefault="00000000" w:rsidP="00BE00C7">
            <w:pPr>
              <w:pStyle w:val="OutcomeDescription"/>
              <w:spacing w:before="120" w:after="120"/>
              <w:rPr>
                <w:rFonts w:cs="Arial"/>
                <w:lang w:eastAsia="en-NZ"/>
              </w:rPr>
            </w:pPr>
            <w:r w:rsidRPr="00BE00C7">
              <w:rPr>
                <w:rFonts w:cs="Arial"/>
                <w:lang w:eastAsia="en-NZ"/>
              </w:rPr>
              <w:t>Heretaunga had a COVID-19 outbreak in November 2023. Evidence verified it was well contained and minimal numbers of residents were affected.</w:t>
            </w:r>
          </w:p>
          <w:p w14:paraId="01ED8CED" w14:textId="77777777" w:rsidR="00EB7645" w:rsidRPr="00BE00C7" w:rsidRDefault="00000000" w:rsidP="00BE00C7">
            <w:pPr>
              <w:pStyle w:val="OutcomeDescription"/>
              <w:spacing w:before="120" w:after="120"/>
              <w:rPr>
                <w:rFonts w:cs="Arial"/>
                <w:lang w:eastAsia="en-NZ"/>
              </w:rPr>
            </w:pPr>
          </w:p>
        </w:tc>
      </w:tr>
      <w:tr w:rsidR="00622B58" w14:paraId="4762A769" w14:textId="77777777">
        <w:tc>
          <w:tcPr>
            <w:tcW w:w="0" w:type="auto"/>
          </w:tcPr>
          <w:p w14:paraId="7A794E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AB3DD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13617E0" w14:textId="77777777" w:rsidR="00EB7645" w:rsidRPr="00BE00C7" w:rsidRDefault="00000000" w:rsidP="00BE00C7">
            <w:pPr>
              <w:pStyle w:val="OutcomeDescription"/>
              <w:spacing w:before="120" w:after="120"/>
              <w:rPr>
                <w:rFonts w:cs="Arial"/>
                <w:lang w:eastAsia="en-NZ"/>
              </w:rPr>
            </w:pPr>
          </w:p>
        </w:tc>
        <w:tc>
          <w:tcPr>
            <w:tcW w:w="0" w:type="auto"/>
          </w:tcPr>
          <w:p w14:paraId="133E8F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0BFC73"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is committed to a restraint-free environment in all its facilities, and this is documented in the policy and procedure in place to guide restraint. Heretaunga is working to reduce the number of restraints used in the facility. Currently there are two residents using restraint: one a lap belt and the other a bed rail. There are strategies in place to support the elimination of restraint, including an investment in equipment (eg, use of ‘intentional rounding’ to help prevent falls, use of high/low beds and sensor mats). Documentation confirmed that restraint is discussed at governance level and that aggregated information on restraint use at facility, regional and national level is reported to the board. All restraint in use had a restraint assessment, consent to use restraint (which included consent from the EPOA and the GP or NP), evaluations at appropriate intervals, and completed restraint monitoring.</w:t>
            </w:r>
          </w:p>
          <w:p w14:paraId="00E0A2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not been trained in the management of behaviours that challenge, least restrictive practice, safe restraint practice, alternative cultural-specific interventions, and de-escalation techniques as part of the 2023 education programme (refer criterion 2.3.4), but restraint protocols are </w:t>
            </w:r>
            <w:r w:rsidRPr="00BE00C7">
              <w:rPr>
                <w:rFonts w:cs="Arial"/>
                <w:lang w:eastAsia="en-NZ"/>
              </w:rPr>
              <w:lastRenderedPageBreak/>
              <w:t>covered in the orientation programme of the facility and care staff had completed annual restraint competency. Staff interviewed were knowledgeable about the legalities of the use of the restraint process, alternatives to restraint use, alternative cultural-specific interventions, de-escalation techniques, and restraint monitoring.</w:t>
            </w:r>
          </w:p>
          <w:p w14:paraId="44CEAA28" w14:textId="77777777" w:rsidR="00EB7645" w:rsidRPr="00BE00C7" w:rsidRDefault="00000000" w:rsidP="00BE00C7">
            <w:pPr>
              <w:pStyle w:val="OutcomeDescription"/>
              <w:spacing w:before="120" w:after="120"/>
              <w:rPr>
                <w:rFonts w:cs="Arial"/>
                <w:lang w:eastAsia="en-NZ"/>
              </w:rPr>
            </w:pPr>
          </w:p>
        </w:tc>
      </w:tr>
    </w:tbl>
    <w:p w14:paraId="2EBD352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BACA9A7" w14:textId="77777777" w:rsidR="00460D43" w:rsidRDefault="00000000">
      <w:pPr>
        <w:pStyle w:val="Heading1"/>
        <w:rPr>
          <w:rFonts w:cs="Arial"/>
        </w:rPr>
      </w:pPr>
      <w:r>
        <w:rPr>
          <w:rFonts w:cs="Arial"/>
        </w:rPr>
        <w:lastRenderedPageBreak/>
        <w:t>Specific results for criterion where corrective actions are required</w:t>
      </w:r>
    </w:p>
    <w:p w14:paraId="19F54403"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13EE07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436D42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304"/>
        <w:gridCol w:w="3686"/>
        <w:gridCol w:w="3157"/>
        <w:gridCol w:w="3284"/>
      </w:tblGrid>
      <w:tr w:rsidR="00622B58" w14:paraId="7D477A21" w14:textId="77777777">
        <w:tc>
          <w:tcPr>
            <w:tcW w:w="0" w:type="auto"/>
          </w:tcPr>
          <w:p w14:paraId="1674E329"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D3B685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1DF61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777BF0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7E953F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22B58" w14:paraId="1723A1B9" w14:textId="77777777">
        <w:tc>
          <w:tcPr>
            <w:tcW w:w="0" w:type="auto"/>
          </w:tcPr>
          <w:p w14:paraId="3A253BC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2.3.2</w:t>
            </w:r>
          </w:p>
          <w:p w14:paraId="4173EC0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1732D07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3742BB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working in the secure dementia unit are required under E4.5(f) of the Te Whatu Ora Capital, Coast and Hutt Valley, Age-Related Residential Care Services Agreement, to complete education specific to dementia care (NZQA papers 23920, 23921, 32416, and 23923). At Heretaunga four staff have completed the programme and five have commenced it. Four weeks of roster was reviewed (28 days/84 shifts). There were no dementia qualified staff members on duty on 36 occasions over the time period: 18 morning shifts, three afternoon shifts, and 15 night shifts.</w:t>
            </w:r>
          </w:p>
          <w:p w14:paraId="6ABEC893" w14:textId="77777777" w:rsidR="00EB7645" w:rsidRPr="00BE00C7" w:rsidRDefault="00000000" w:rsidP="00BE00C7">
            <w:pPr>
              <w:pStyle w:val="OutcomeDescription"/>
              <w:spacing w:before="120" w:after="120"/>
              <w:rPr>
                <w:rFonts w:cs="Arial"/>
                <w:lang w:eastAsia="en-NZ"/>
              </w:rPr>
            </w:pPr>
          </w:p>
        </w:tc>
        <w:tc>
          <w:tcPr>
            <w:tcW w:w="0" w:type="auto"/>
          </w:tcPr>
          <w:p w14:paraId="3421A437"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shifts in the secure dementia area were covered by staff who have started or completed education specific to dementia care as required under E4.5(f) of the Te Whatu Ora Capital, Coast and Hutt Valley, Age-Related Residential Care Services Agreement.</w:t>
            </w:r>
          </w:p>
          <w:p w14:paraId="09A5B2A4" w14:textId="77777777" w:rsidR="00EB7645" w:rsidRPr="00BE00C7" w:rsidRDefault="00000000" w:rsidP="00BE00C7">
            <w:pPr>
              <w:pStyle w:val="OutcomeDescription"/>
              <w:spacing w:before="120" w:after="120"/>
              <w:rPr>
                <w:rFonts w:cs="Arial"/>
                <w:lang w:eastAsia="en-NZ"/>
              </w:rPr>
            </w:pPr>
          </w:p>
        </w:tc>
        <w:tc>
          <w:tcPr>
            <w:tcW w:w="0" w:type="auto"/>
          </w:tcPr>
          <w:p w14:paraId="34C2FD3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shifts in the secure dementia area are being covered by staff who have started or completed education specific to dementia care as required under E4.5(f) of the Te Whatu Ora Capital, Coast and Hutt Valley, Age-Related Residential Care Services Agreement.</w:t>
            </w:r>
          </w:p>
          <w:p w14:paraId="377822CF" w14:textId="77777777" w:rsidR="00EB7645" w:rsidRPr="00BE00C7" w:rsidRDefault="00000000" w:rsidP="00BE00C7">
            <w:pPr>
              <w:pStyle w:val="OutcomeDescription"/>
              <w:spacing w:before="120" w:after="120"/>
              <w:rPr>
                <w:rFonts w:cs="Arial"/>
                <w:lang w:eastAsia="en-NZ"/>
              </w:rPr>
            </w:pPr>
          </w:p>
          <w:p w14:paraId="16DC292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622B58" w14:paraId="583A8791" w14:textId="77777777">
        <w:tc>
          <w:tcPr>
            <w:tcW w:w="0" w:type="auto"/>
          </w:tcPr>
          <w:p w14:paraId="4D0006E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1515BD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Service providers shall ensure there is a system to identify, plan, facilitate, and record ongoing learning and development for health care and support workers so that they can provide high-quality safe services.</w:t>
            </w:r>
          </w:p>
        </w:tc>
        <w:tc>
          <w:tcPr>
            <w:tcW w:w="0" w:type="auto"/>
          </w:tcPr>
          <w:p w14:paraId="7E1F8B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3CB3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(RNs) employed in the service have completed education </w:t>
            </w:r>
            <w:r w:rsidRPr="00BE00C7">
              <w:rPr>
                <w:rFonts w:cs="Arial"/>
                <w:lang w:eastAsia="en-NZ"/>
              </w:rPr>
              <w:lastRenderedPageBreak/>
              <w:t>relevant to their role. Health care assistants (HCAs) and support staff (e.g., administration, recreation, and housekeeping) are meant to attend a one-day (GEM) study day annually. The study day covers the required elements of the education/training programme (e.g., Code of Rights, abuse and neglect, informed consent, infection prevention and control, caring for people with dementia, behaviours that challenge, restraint). No study day has been held in the facility since October 2022. Some education has been provided: grief and loss (17 attendees), the Fonofale model of care (2 attendees), diabetes education (17 attendees), nutrition and hydration and modified diets (13 attendees), wound care (19 attendees) medication management (15 attendees), Parkinson’s disease (23 attendees) and fire and emergency management (all staff). A training session for HCAs and residents’ family on antimicrobial stewardship was provided in April 2023 by the infection control coordinator (ICC); evidence of this was sighted in meeting minutes.</w:t>
            </w:r>
          </w:p>
          <w:p w14:paraId="02AF99A2" w14:textId="77777777" w:rsidR="00EB7645" w:rsidRPr="00BE00C7" w:rsidRDefault="00000000" w:rsidP="00BE00C7">
            <w:pPr>
              <w:pStyle w:val="OutcomeDescription"/>
              <w:spacing w:before="120" w:after="120"/>
              <w:rPr>
                <w:rFonts w:cs="Arial"/>
                <w:lang w:eastAsia="en-NZ"/>
              </w:rPr>
            </w:pPr>
          </w:p>
        </w:tc>
        <w:tc>
          <w:tcPr>
            <w:tcW w:w="0" w:type="auto"/>
          </w:tcPr>
          <w:p w14:paraId="25A57D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education/training programme for HCAs and </w:t>
            </w:r>
            <w:r w:rsidRPr="00BE00C7">
              <w:rPr>
                <w:rFonts w:cs="Arial"/>
                <w:lang w:eastAsia="en-NZ"/>
              </w:rPr>
              <w:lastRenderedPageBreak/>
              <w:t>support staff is not being facilitated annually.</w:t>
            </w:r>
          </w:p>
          <w:p w14:paraId="58C39A5B" w14:textId="77777777" w:rsidR="00EB7645" w:rsidRPr="00BE00C7" w:rsidRDefault="00000000" w:rsidP="00BE00C7">
            <w:pPr>
              <w:pStyle w:val="OutcomeDescription"/>
              <w:spacing w:before="120" w:after="120"/>
              <w:rPr>
                <w:rFonts w:cs="Arial"/>
                <w:lang w:eastAsia="en-NZ"/>
              </w:rPr>
            </w:pPr>
          </w:p>
        </w:tc>
        <w:tc>
          <w:tcPr>
            <w:tcW w:w="0" w:type="auto"/>
          </w:tcPr>
          <w:p w14:paraId="630581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the education/training programme for </w:t>
            </w:r>
            <w:r w:rsidRPr="00BE00C7">
              <w:rPr>
                <w:rFonts w:cs="Arial"/>
                <w:lang w:eastAsia="en-NZ"/>
              </w:rPr>
              <w:lastRenderedPageBreak/>
              <w:t>HCAs and support staff is being facilitated annually.</w:t>
            </w:r>
          </w:p>
          <w:p w14:paraId="65399FAB" w14:textId="77777777" w:rsidR="00EB7645" w:rsidRPr="00BE00C7" w:rsidRDefault="00000000" w:rsidP="00BE00C7">
            <w:pPr>
              <w:pStyle w:val="OutcomeDescription"/>
              <w:spacing w:before="120" w:after="120"/>
              <w:rPr>
                <w:rFonts w:cs="Arial"/>
                <w:lang w:eastAsia="en-NZ"/>
              </w:rPr>
            </w:pPr>
          </w:p>
          <w:p w14:paraId="6EAF5AC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622B58" w14:paraId="51ADFF9F" w14:textId="77777777">
        <w:tc>
          <w:tcPr>
            <w:tcW w:w="0" w:type="auto"/>
          </w:tcPr>
          <w:p w14:paraId="586FA88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4EA04D1B"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6BAE26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A8C11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seen on the day of the audit. All staff who administer medicines were competent to perform the function they manage. Medications were stored securely, including </w:t>
            </w:r>
            <w:r w:rsidRPr="00BE00C7">
              <w:rPr>
                <w:rFonts w:cs="Arial"/>
                <w:lang w:eastAsia="en-NZ"/>
              </w:rPr>
              <w:lastRenderedPageBreak/>
              <w:t>controlled drugs. Storage, however, was in an internal cupboard, with no air flow, windows, or a mechanism to adjust the room’s temperature and ensure medications can be stored below the required 25 degrees. There was monitoring of the room’s temperature and recent records show the temperature at 27.7 degrees in October. There was no mechanism in place to allow the temperature of the room to be reduced. The required stock checks were completed.</w:t>
            </w:r>
          </w:p>
          <w:p w14:paraId="6A8899BE" w14:textId="77777777" w:rsidR="00EB7645" w:rsidRPr="00BE00C7" w:rsidRDefault="00000000" w:rsidP="00BE00C7">
            <w:pPr>
              <w:pStyle w:val="OutcomeDescription"/>
              <w:spacing w:before="120" w:after="120"/>
              <w:rPr>
                <w:rFonts w:cs="Arial"/>
                <w:lang w:eastAsia="en-NZ"/>
              </w:rPr>
            </w:pPr>
          </w:p>
        </w:tc>
        <w:tc>
          <w:tcPr>
            <w:tcW w:w="0" w:type="auto"/>
          </w:tcPr>
          <w:p w14:paraId="157EEF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present medication storage system has no mechanism in place to keep the temperature required for the storage of medications within the required temperature range.</w:t>
            </w:r>
          </w:p>
          <w:p w14:paraId="41A5CE8B" w14:textId="77777777" w:rsidR="00EB7645" w:rsidRPr="00BE00C7" w:rsidRDefault="00000000" w:rsidP="00BE00C7">
            <w:pPr>
              <w:pStyle w:val="OutcomeDescription"/>
              <w:spacing w:before="120" w:after="120"/>
              <w:rPr>
                <w:rFonts w:cs="Arial"/>
                <w:lang w:eastAsia="en-NZ"/>
              </w:rPr>
            </w:pPr>
          </w:p>
        </w:tc>
        <w:tc>
          <w:tcPr>
            <w:tcW w:w="0" w:type="auto"/>
          </w:tcPr>
          <w:p w14:paraId="10F177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Provide evidence that there is a system in place to enable medications to be stored within the required temperature range.</w:t>
            </w:r>
          </w:p>
          <w:p w14:paraId="1A917E62" w14:textId="77777777" w:rsidR="00EB7645" w:rsidRPr="00BE00C7" w:rsidRDefault="00000000" w:rsidP="00BE00C7">
            <w:pPr>
              <w:pStyle w:val="OutcomeDescription"/>
              <w:spacing w:before="120" w:after="120"/>
              <w:rPr>
                <w:rFonts w:cs="Arial"/>
                <w:lang w:eastAsia="en-NZ"/>
              </w:rPr>
            </w:pPr>
          </w:p>
          <w:p w14:paraId="5AAA48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60 days</w:t>
            </w:r>
          </w:p>
        </w:tc>
      </w:tr>
    </w:tbl>
    <w:p w14:paraId="1B344BA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0473E27" w14:textId="77777777" w:rsidR="00460D43" w:rsidRDefault="00000000">
      <w:pPr>
        <w:pStyle w:val="Heading1"/>
        <w:rPr>
          <w:rFonts w:cs="Arial"/>
        </w:rPr>
      </w:pPr>
      <w:r>
        <w:rPr>
          <w:rFonts w:cs="Arial"/>
        </w:rPr>
        <w:lastRenderedPageBreak/>
        <w:t>Specific results for criterion where a continuous improvement has been recorded</w:t>
      </w:r>
    </w:p>
    <w:p w14:paraId="08283B0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A6C713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7D408C11"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22B58" w14:paraId="32147D17" w14:textId="77777777">
        <w:tc>
          <w:tcPr>
            <w:tcW w:w="0" w:type="auto"/>
          </w:tcPr>
          <w:p w14:paraId="304A6BC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70FBB1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18A269F"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00A6" w14:textId="77777777" w:rsidR="00047562" w:rsidRDefault="00047562">
      <w:r>
        <w:separator/>
      </w:r>
    </w:p>
  </w:endnote>
  <w:endnote w:type="continuationSeparator" w:id="0">
    <w:p w14:paraId="78A23287" w14:textId="77777777" w:rsidR="00047562" w:rsidRDefault="0004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1C44" w14:textId="77777777" w:rsidR="000B00BC" w:rsidRDefault="00000000">
    <w:pPr>
      <w:pStyle w:val="Footer"/>
    </w:pPr>
  </w:p>
  <w:p w14:paraId="36DD3E56" w14:textId="77777777" w:rsidR="005A4A55" w:rsidRDefault="00000000"/>
  <w:p w14:paraId="60AD36B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7968"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Heretaunga Home &amp; Village</w:t>
    </w:r>
    <w:bookmarkEnd w:id="59"/>
    <w:r>
      <w:rPr>
        <w:rFonts w:cs="Arial"/>
        <w:sz w:val="16"/>
        <w:szCs w:val="20"/>
      </w:rPr>
      <w:tab/>
      <w:t xml:space="preserve">Date of Audit: </w:t>
    </w:r>
    <w:bookmarkStart w:id="60" w:name="AuditStartDate1"/>
    <w:r>
      <w:rPr>
        <w:rFonts w:cs="Arial"/>
        <w:sz w:val="16"/>
        <w:szCs w:val="20"/>
      </w:rPr>
      <w:t>7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17418E"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B4D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A2F5" w14:textId="77777777" w:rsidR="00047562" w:rsidRDefault="00047562">
      <w:r>
        <w:separator/>
      </w:r>
    </w:p>
  </w:footnote>
  <w:footnote w:type="continuationSeparator" w:id="0">
    <w:p w14:paraId="491C063F" w14:textId="77777777" w:rsidR="00047562" w:rsidRDefault="0004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2C29" w14:textId="77777777" w:rsidR="000B00BC" w:rsidRDefault="00000000">
    <w:pPr>
      <w:pStyle w:val="Header"/>
    </w:pPr>
  </w:p>
  <w:p w14:paraId="57DE199A"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A16F" w14:textId="77777777" w:rsidR="000B00BC" w:rsidRDefault="00000000">
    <w:pPr>
      <w:pStyle w:val="Header"/>
    </w:pPr>
  </w:p>
  <w:p w14:paraId="412B14E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5BE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CAC0CF4">
      <w:start w:val="1"/>
      <w:numFmt w:val="decimal"/>
      <w:lvlText w:val="%1."/>
      <w:lvlJc w:val="left"/>
      <w:pPr>
        <w:ind w:left="360" w:hanging="360"/>
      </w:pPr>
    </w:lvl>
    <w:lvl w:ilvl="1" w:tplc="63A06ABE" w:tentative="1">
      <w:start w:val="1"/>
      <w:numFmt w:val="lowerLetter"/>
      <w:lvlText w:val="%2."/>
      <w:lvlJc w:val="left"/>
      <w:pPr>
        <w:ind w:left="1080" w:hanging="360"/>
      </w:pPr>
    </w:lvl>
    <w:lvl w:ilvl="2" w:tplc="7A3A75EA" w:tentative="1">
      <w:start w:val="1"/>
      <w:numFmt w:val="lowerRoman"/>
      <w:lvlText w:val="%3."/>
      <w:lvlJc w:val="right"/>
      <w:pPr>
        <w:ind w:left="1800" w:hanging="180"/>
      </w:pPr>
    </w:lvl>
    <w:lvl w:ilvl="3" w:tplc="1D20C154" w:tentative="1">
      <w:start w:val="1"/>
      <w:numFmt w:val="decimal"/>
      <w:lvlText w:val="%4."/>
      <w:lvlJc w:val="left"/>
      <w:pPr>
        <w:ind w:left="2520" w:hanging="360"/>
      </w:pPr>
    </w:lvl>
    <w:lvl w:ilvl="4" w:tplc="2B1896C2" w:tentative="1">
      <w:start w:val="1"/>
      <w:numFmt w:val="lowerLetter"/>
      <w:lvlText w:val="%5."/>
      <w:lvlJc w:val="left"/>
      <w:pPr>
        <w:ind w:left="3240" w:hanging="360"/>
      </w:pPr>
    </w:lvl>
    <w:lvl w:ilvl="5" w:tplc="F6886440" w:tentative="1">
      <w:start w:val="1"/>
      <w:numFmt w:val="lowerRoman"/>
      <w:lvlText w:val="%6."/>
      <w:lvlJc w:val="right"/>
      <w:pPr>
        <w:ind w:left="3960" w:hanging="180"/>
      </w:pPr>
    </w:lvl>
    <w:lvl w:ilvl="6" w:tplc="7E5AE520" w:tentative="1">
      <w:start w:val="1"/>
      <w:numFmt w:val="decimal"/>
      <w:lvlText w:val="%7."/>
      <w:lvlJc w:val="left"/>
      <w:pPr>
        <w:ind w:left="4680" w:hanging="360"/>
      </w:pPr>
    </w:lvl>
    <w:lvl w:ilvl="7" w:tplc="79E4A18E" w:tentative="1">
      <w:start w:val="1"/>
      <w:numFmt w:val="lowerLetter"/>
      <w:lvlText w:val="%8."/>
      <w:lvlJc w:val="left"/>
      <w:pPr>
        <w:ind w:left="5400" w:hanging="360"/>
      </w:pPr>
    </w:lvl>
    <w:lvl w:ilvl="8" w:tplc="732CBC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04A3AC4">
      <w:start w:val="1"/>
      <w:numFmt w:val="bullet"/>
      <w:lvlText w:val=""/>
      <w:lvlJc w:val="left"/>
      <w:pPr>
        <w:ind w:left="720" w:hanging="360"/>
      </w:pPr>
      <w:rPr>
        <w:rFonts w:ascii="Symbol" w:hAnsi="Symbol" w:hint="default"/>
      </w:rPr>
    </w:lvl>
    <w:lvl w:ilvl="1" w:tplc="FD56957C" w:tentative="1">
      <w:start w:val="1"/>
      <w:numFmt w:val="bullet"/>
      <w:lvlText w:val="o"/>
      <w:lvlJc w:val="left"/>
      <w:pPr>
        <w:ind w:left="1440" w:hanging="360"/>
      </w:pPr>
      <w:rPr>
        <w:rFonts w:ascii="Courier New" w:hAnsi="Courier New" w:cs="Courier New" w:hint="default"/>
      </w:rPr>
    </w:lvl>
    <w:lvl w:ilvl="2" w:tplc="608E8B9E" w:tentative="1">
      <w:start w:val="1"/>
      <w:numFmt w:val="bullet"/>
      <w:lvlText w:val=""/>
      <w:lvlJc w:val="left"/>
      <w:pPr>
        <w:ind w:left="2160" w:hanging="360"/>
      </w:pPr>
      <w:rPr>
        <w:rFonts w:ascii="Wingdings" w:hAnsi="Wingdings" w:hint="default"/>
      </w:rPr>
    </w:lvl>
    <w:lvl w:ilvl="3" w:tplc="9BFCADC6" w:tentative="1">
      <w:start w:val="1"/>
      <w:numFmt w:val="bullet"/>
      <w:lvlText w:val=""/>
      <w:lvlJc w:val="left"/>
      <w:pPr>
        <w:ind w:left="2880" w:hanging="360"/>
      </w:pPr>
      <w:rPr>
        <w:rFonts w:ascii="Symbol" w:hAnsi="Symbol" w:hint="default"/>
      </w:rPr>
    </w:lvl>
    <w:lvl w:ilvl="4" w:tplc="F1D61F60" w:tentative="1">
      <w:start w:val="1"/>
      <w:numFmt w:val="bullet"/>
      <w:lvlText w:val="o"/>
      <w:lvlJc w:val="left"/>
      <w:pPr>
        <w:ind w:left="3600" w:hanging="360"/>
      </w:pPr>
      <w:rPr>
        <w:rFonts w:ascii="Courier New" w:hAnsi="Courier New" w:cs="Courier New" w:hint="default"/>
      </w:rPr>
    </w:lvl>
    <w:lvl w:ilvl="5" w:tplc="2EC21BCC" w:tentative="1">
      <w:start w:val="1"/>
      <w:numFmt w:val="bullet"/>
      <w:lvlText w:val=""/>
      <w:lvlJc w:val="left"/>
      <w:pPr>
        <w:ind w:left="4320" w:hanging="360"/>
      </w:pPr>
      <w:rPr>
        <w:rFonts w:ascii="Wingdings" w:hAnsi="Wingdings" w:hint="default"/>
      </w:rPr>
    </w:lvl>
    <w:lvl w:ilvl="6" w:tplc="D548B71A" w:tentative="1">
      <w:start w:val="1"/>
      <w:numFmt w:val="bullet"/>
      <w:lvlText w:val=""/>
      <w:lvlJc w:val="left"/>
      <w:pPr>
        <w:ind w:left="5040" w:hanging="360"/>
      </w:pPr>
      <w:rPr>
        <w:rFonts w:ascii="Symbol" w:hAnsi="Symbol" w:hint="default"/>
      </w:rPr>
    </w:lvl>
    <w:lvl w:ilvl="7" w:tplc="DB807606" w:tentative="1">
      <w:start w:val="1"/>
      <w:numFmt w:val="bullet"/>
      <w:lvlText w:val="o"/>
      <w:lvlJc w:val="left"/>
      <w:pPr>
        <w:ind w:left="5760" w:hanging="360"/>
      </w:pPr>
      <w:rPr>
        <w:rFonts w:ascii="Courier New" w:hAnsi="Courier New" w:cs="Courier New" w:hint="default"/>
      </w:rPr>
    </w:lvl>
    <w:lvl w:ilvl="8" w:tplc="4A6447DE" w:tentative="1">
      <w:start w:val="1"/>
      <w:numFmt w:val="bullet"/>
      <w:lvlText w:val=""/>
      <w:lvlJc w:val="left"/>
      <w:pPr>
        <w:ind w:left="6480" w:hanging="360"/>
      </w:pPr>
      <w:rPr>
        <w:rFonts w:ascii="Wingdings" w:hAnsi="Wingdings" w:hint="default"/>
      </w:rPr>
    </w:lvl>
  </w:abstractNum>
  <w:num w:numId="1" w16cid:durableId="820652855">
    <w:abstractNumId w:val="1"/>
  </w:num>
  <w:num w:numId="2" w16cid:durableId="162962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58"/>
    <w:rsid w:val="00047562"/>
    <w:rsid w:val="00196C2B"/>
    <w:rsid w:val="00622B58"/>
    <w:rsid w:val="009D7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1B0A"/>
  <w15:docId w15:val="{DA21B31B-8DE5-4ECC-8226-4EE980BC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2024-01-15T18:58:00Z</dcterms:created>
  <dcterms:modified xsi:type="dcterms:W3CDTF">2024-01-15T19:20:00Z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