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8288" w14:textId="77777777" w:rsidR="00460D43" w:rsidRDefault="00000000">
      <w:pPr>
        <w:pStyle w:val="Heading1"/>
        <w:rPr>
          <w:rFonts w:cs="Arial"/>
        </w:rPr>
      </w:pPr>
      <w:bookmarkStart w:id="0" w:name="PRMS_RIName"/>
      <w:r>
        <w:rPr>
          <w:rFonts w:cs="Arial"/>
        </w:rPr>
        <w:t>Bupa Care Services NZ Limited - Glenburn Rest Home &amp; Hospital</w:t>
      </w:r>
      <w:bookmarkEnd w:id="0"/>
    </w:p>
    <w:p w14:paraId="235845E5" w14:textId="77777777" w:rsidR="00460D43" w:rsidRDefault="00000000">
      <w:pPr>
        <w:pStyle w:val="Heading2"/>
        <w:spacing w:after="0"/>
        <w:rPr>
          <w:rFonts w:cs="Arial"/>
        </w:rPr>
      </w:pPr>
      <w:r>
        <w:rPr>
          <w:rFonts w:cs="Arial"/>
        </w:rPr>
        <w:t>Introduction</w:t>
      </w:r>
    </w:p>
    <w:p w14:paraId="0C7E154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C03B370"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507BDA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504AEED"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FB79774" w14:textId="77777777" w:rsidR="00460D43" w:rsidRDefault="00000000">
      <w:pPr>
        <w:spacing w:before="240" w:after="240"/>
        <w:rPr>
          <w:rFonts w:cs="Arial"/>
          <w:lang w:eastAsia="en-NZ"/>
        </w:rPr>
      </w:pPr>
      <w:r>
        <w:rPr>
          <w:rFonts w:cs="Arial"/>
          <w:lang w:eastAsia="en-NZ"/>
        </w:rPr>
        <w:t>The specifics of this audit included:</w:t>
      </w:r>
    </w:p>
    <w:p w14:paraId="413A49C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42D553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0A2C38B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Glenburn Rest Home &amp; Hospital</w:t>
      </w:r>
      <w:bookmarkEnd w:id="5"/>
    </w:p>
    <w:p w14:paraId="5D8799D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w:t>
      </w:r>
      <w:r>
        <w:rPr>
          <w:rFonts w:cs="Arial"/>
        </w:rPr>
        <w:t>dementia care); Dementia care</w:t>
      </w:r>
      <w:bookmarkEnd w:id="6"/>
    </w:p>
    <w:p w14:paraId="3626C30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September 2023</w:t>
      </w:r>
      <w:bookmarkEnd w:id="7"/>
      <w:r w:rsidRPr="009418D4">
        <w:rPr>
          <w:rFonts w:cs="Arial"/>
        </w:rPr>
        <w:tab/>
        <w:t xml:space="preserve">End date: </w:t>
      </w:r>
      <w:bookmarkStart w:id="8" w:name="AuditEndDate"/>
      <w:r>
        <w:rPr>
          <w:rFonts w:cs="Arial"/>
        </w:rPr>
        <w:t>22 September 2023</w:t>
      </w:r>
      <w:bookmarkEnd w:id="8"/>
    </w:p>
    <w:p w14:paraId="0813995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2ED6262" w14:textId="77777777" w:rsidR="00322F7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14:paraId="17E43F0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A524835" w14:textId="77777777" w:rsidR="00460D43" w:rsidRDefault="00000000">
      <w:pPr>
        <w:pStyle w:val="Heading1"/>
        <w:rPr>
          <w:rFonts w:cs="Arial"/>
        </w:rPr>
      </w:pPr>
      <w:r>
        <w:rPr>
          <w:rFonts w:cs="Arial"/>
        </w:rPr>
        <w:lastRenderedPageBreak/>
        <w:t>Executive summary of the audit</w:t>
      </w:r>
    </w:p>
    <w:p w14:paraId="31A8E53B" w14:textId="77777777" w:rsidR="00460D43" w:rsidRDefault="00000000">
      <w:pPr>
        <w:pStyle w:val="Heading2"/>
        <w:rPr>
          <w:rFonts w:cs="Arial"/>
        </w:rPr>
      </w:pPr>
      <w:r>
        <w:rPr>
          <w:rFonts w:cs="Arial"/>
        </w:rPr>
        <w:t>Introduction</w:t>
      </w:r>
    </w:p>
    <w:p w14:paraId="376EE95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4F99CF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06C58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D5CA0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9B4488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44F6904"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57C8F9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9DD5E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024837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22F74" w14:paraId="3E4AC5A7" w14:textId="77777777">
        <w:trPr>
          <w:cantSplit/>
          <w:tblHeader/>
        </w:trPr>
        <w:tc>
          <w:tcPr>
            <w:tcW w:w="1260" w:type="dxa"/>
            <w:tcBorders>
              <w:bottom w:val="single" w:sz="4" w:space="0" w:color="000000"/>
            </w:tcBorders>
            <w:vAlign w:val="center"/>
          </w:tcPr>
          <w:p w14:paraId="43D3758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2513A2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2FB54B" w14:textId="77777777" w:rsidR="00460D43" w:rsidRDefault="00000000">
            <w:pPr>
              <w:spacing w:before="60" w:after="60"/>
              <w:rPr>
                <w:rFonts w:eastAsia="Calibri"/>
                <w:b/>
                <w:szCs w:val="24"/>
              </w:rPr>
            </w:pPr>
            <w:r>
              <w:rPr>
                <w:rFonts w:eastAsia="Calibri"/>
                <w:b/>
                <w:szCs w:val="24"/>
              </w:rPr>
              <w:t>Definition</w:t>
            </w:r>
          </w:p>
        </w:tc>
      </w:tr>
      <w:tr w:rsidR="00322F74" w14:paraId="57909DE2" w14:textId="77777777">
        <w:trPr>
          <w:cantSplit/>
          <w:trHeight w:val="964"/>
        </w:trPr>
        <w:tc>
          <w:tcPr>
            <w:tcW w:w="1260" w:type="dxa"/>
            <w:tcBorders>
              <w:bottom w:val="single" w:sz="4" w:space="0" w:color="000000"/>
            </w:tcBorders>
            <w:shd w:val="clear" w:color="0066FF" w:fill="0000FF"/>
            <w:vAlign w:val="center"/>
          </w:tcPr>
          <w:p w14:paraId="558D757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EE0B30C"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D41922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22F74" w14:paraId="251CB833" w14:textId="77777777">
        <w:trPr>
          <w:cantSplit/>
          <w:trHeight w:val="964"/>
        </w:trPr>
        <w:tc>
          <w:tcPr>
            <w:tcW w:w="1260" w:type="dxa"/>
            <w:shd w:val="clear" w:color="33CC33" w:fill="00FF00"/>
            <w:vAlign w:val="center"/>
          </w:tcPr>
          <w:p w14:paraId="6205DE76" w14:textId="77777777" w:rsidR="00460D43" w:rsidRDefault="00000000">
            <w:pPr>
              <w:spacing w:before="60" w:after="60"/>
              <w:rPr>
                <w:rFonts w:eastAsia="Calibri"/>
                <w:szCs w:val="24"/>
              </w:rPr>
            </w:pPr>
          </w:p>
        </w:tc>
        <w:tc>
          <w:tcPr>
            <w:tcW w:w="7095" w:type="dxa"/>
            <w:shd w:val="clear" w:color="auto" w:fill="auto"/>
            <w:vAlign w:val="center"/>
          </w:tcPr>
          <w:p w14:paraId="16343C4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CF8F004"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22F74" w14:paraId="492C2449" w14:textId="77777777">
        <w:trPr>
          <w:cantSplit/>
          <w:trHeight w:val="964"/>
        </w:trPr>
        <w:tc>
          <w:tcPr>
            <w:tcW w:w="1260" w:type="dxa"/>
            <w:tcBorders>
              <w:bottom w:val="single" w:sz="4" w:space="0" w:color="000000"/>
            </w:tcBorders>
            <w:shd w:val="clear" w:color="auto" w:fill="FFFF00"/>
            <w:vAlign w:val="center"/>
          </w:tcPr>
          <w:p w14:paraId="59D341FC" w14:textId="77777777" w:rsidR="00460D43" w:rsidRDefault="00000000">
            <w:pPr>
              <w:spacing w:before="60" w:after="60"/>
              <w:rPr>
                <w:rFonts w:eastAsia="Calibri"/>
                <w:szCs w:val="24"/>
              </w:rPr>
            </w:pPr>
          </w:p>
        </w:tc>
        <w:tc>
          <w:tcPr>
            <w:tcW w:w="7095" w:type="dxa"/>
            <w:shd w:val="clear" w:color="auto" w:fill="auto"/>
            <w:vAlign w:val="center"/>
          </w:tcPr>
          <w:p w14:paraId="1897490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ED8406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22F74" w14:paraId="6C458A08" w14:textId="77777777">
        <w:trPr>
          <w:cantSplit/>
          <w:trHeight w:val="964"/>
        </w:trPr>
        <w:tc>
          <w:tcPr>
            <w:tcW w:w="1260" w:type="dxa"/>
            <w:tcBorders>
              <w:bottom w:val="single" w:sz="4" w:space="0" w:color="000000"/>
            </w:tcBorders>
            <w:shd w:val="clear" w:color="auto" w:fill="FFC800"/>
            <w:vAlign w:val="center"/>
          </w:tcPr>
          <w:p w14:paraId="3D78CF1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EACDB7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6CAD6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22F74" w14:paraId="39416C88" w14:textId="77777777">
        <w:trPr>
          <w:cantSplit/>
          <w:trHeight w:val="964"/>
        </w:trPr>
        <w:tc>
          <w:tcPr>
            <w:tcW w:w="1260" w:type="dxa"/>
            <w:shd w:val="clear" w:color="auto" w:fill="FF0000"/>
            <w:vAlign w:val="center"/>
          </w:tcPr>
          <w:p w14:paraId="42CD3C88" w14:textId="77777777" w:rsidR="00460D43" w:rsidRDefault="00000000">
            <w:pPr>
              <w:spacing w:before="60" w:after="60"/>
              <w:rPr>
                <w:rFonts w:eastAsia="Calibri"/>
                <w:szCs w:val="24"/>
              </w:rPr>
            </w:pPr>
          </w:p>
        </w:tc>
        <w:tc>
          <w:tcPr>
            <w:tcW w:w="7095" w:type="dxa"/>
            <w:shd w:val="clear" w:color="auto" w:fill="auto"/>
            <w:vAlign w:val="center"/>
          </w:tcPr>
          <w:p w14:paraId="56980F5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2913F98"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DED6DBB" w14:textId="77777777" w:rsidR="00460D43" w:rsidRDefault="00000000">
      <w:pPr>
        <w:pStyle w:val="Heading2"/>
        <w:spacing w:after="0"/>
        <w:rPr>
          <w:rFonts w:cs="Arial"/>
        </w:rPr>
      </w:pPr>
      <w:r>
        <w:rPr>
          <w:rFonts w:cs="Arial"/>
        </w:rPr>
        <w:t>General overview of the audit</w:t>
      </w:r>
    </w:p>
    <w:p w14:paraId="38976DFC" w14:textId="77777777" w:rsidR="00E536CC" w:rsidRDefault="00000000">
      <w:pPr>
        <w:spacing w:before="240" w:line="276" w:lineRule="auto"/>
        <w:rPr>
          <w:rFonts w:eastAsia="Calibri"/>
        </w:rPr>
      </w:pPr>
      <w:bookmarkStart w:id="13" w:name="GeneralOverview"/>
      <w:r w:rsidRPr="00A4268A">
        <w:rPr>
          <w:rFonts w:eastAsia="Calibri"/>
        </w:rPr>
        <w:t>Glenburn Rest Home &amp; Hospital provides psychogeriatric, hospital (medical and geriatric), rest home, and dementia levels of care for up to 103 residents. At the time of the audit there were 90 residents.</w:t>
      </w:r>
    </w:p>
    <w:p w14:paraId="2463283A" w14:textId="77777777" w:rsidR="00322F74"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 Waitematā. The audit process included the review of policies and procedures, the review of resident and staff files, observations, and interviews with residents, family/whānau, management, staff, and a general practitioner. </w:t>
      </w:r>
    </w:p>
    <w:p w14:paraId="0B0AFE15" w14:textId="77777777" w:rsidR="00322F74" w:rsidRPr="00A4268A" w:rsidRDefault="00000000">
      <w:pPr>
        <w:spacing w:before="240" w:line="276" w:lineRule="auto"/>
        <w:rPr>
          <w:rFonts w:eastAsia="Calibri"/>
        </w:rPr>
      </w:pPr>
      <w:r w:rsidRPr="00A4268A">
        <w:rPr>
          <w:rFonts w:eastAsia="Calibri"/>
        </w:rPr>
        <w:t xml:space="preserve">The general manager (registered nurse) is supported by two unit-coordinators, and a team of experienced staff. </w:t>
      </w:r>
    </w:p>
    <w:p w14:paraId="3FC22A45" w14:textId="77777777" w:rsidR="00322F74"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16DC6D37" w14:textId="77777777" w:rsidR="00322F74" w:rsidRPr="00A4268A" w:rsidRDefault="00000000">
      <w:pPr>
        <w:spacing w:before="240" w:line="276" w:lineRule="auto"/>
        <w:rPr>
          <w:rFonts w:eastAsia="Calibri"/>
        </w:rPr>
      </w:pPr>
      <w:r w:rsidRPr="00A4268A">
        <w:rPr>
          <w:rFonts w:eastAsia="Calibri"/>
        </w:rPr>
        <w:t xml:space="preserve">The service has addressed previous audit findings relating to complaints and corrective actions. Aspects of care planning, and monitoring remain areas for improvement. </w:t>
      </w:r>
    </w:p>
    <w:p w14:paraId="215689C9" w14:textId="77777777" w:rsidR="00322F74" w:rsidRPr="00A4268A" w:rsidRDefault="00000000">
      <w:pPr>
        <w:spacing w:before="240" w:line="276" w:lineRule="auto"/>
        <w:rPr>
          <w:rFonts w:eastAsia="Calibri"/>
        </w:rPr>
      </w:pPr>
      <w:r w:rsidRPr="00A4268A">
        <w:rPr>
          <w:rFonts w:eastAsia="Calibri"/>
        </w:rPr>
        <w:t xml:space="preserve">This surveillance audit identified areas for improvement related to medication management. </w:t>
      </w:r>
    </w:p>
    <w:bookmarkEnd w:id="13"/>
    <w:p w14:paraId="0FF09D58" w14:textId="77777777" w:rsidR="00322F74" w:rsidRPr="00A4268A" w:rsidRDefault="00322F74">
      <w:pPr>
        <w:spacing w:before="240" w:line="276" w:lineRule="auto"/>
        <w:rPr>
          <w:rFonts w:eastAsia="Calibri"/>
        </w:rPr>
      </w:pPr>
    </w:p>
    <w:p w14:paraId="1CD0EAB9"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2F74" w14:paraId="1EB96F92" w14:textId="77777777" w:rsidTr="00A4268A">
        <w:trPr>
          <w:cantSplit/>
        </w:trPr>
        <w:tc>
          <w:tcPr>
            <w:tcW w:w="10206" w:type="dxa"/>
            <w:vAlign w:val="center"/>
          </w:tcPr>
          <w:p w14:paraId="15C98610"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F28D8E5"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D15B52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4D3DC5C"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AF9E5B7" w14:textId="77777777" w:rsidR="00460D43"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6FEE87BA" w14:textId="77777777" w:rsidR="00322F74" w:rsidRPr="00A4268A" w:rsidRDefault="00000000">
      <w:pPr>
        <w:spacing w:before="240" w:line="276" w:lineRule="auto"/>
        <w:rPr>
          <w:rFonts w:eastAsia="Calibri"/>
        </w:rPr>
      </w:pPr>
      <w:r w:rsidRPr="00A4268A">
        <w:rPr>
          <w:rFonts w:eastAsia="Calibri"/>
        </w:rPr>
        <w:t>Bupa Glenburn Rest Home &amp; Hospital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2CD9DA24" w14:textId="77777777" w:rsidR="00322F74"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3C925C63" w14:textId="77777777" w:rsidR="00322F74" w:rsidRPr="00A4268A" w:rsidRDefault="00322F74">
      <w:pPr>
        <w:spacing w:before="240" w:line="276" w:lineRule="auto"/>
        <w:rPr>
          <w:rFonts w:eastAsia="Calibri"/>
        </w:rPr>
      </w:pPr>
    </w:p>
    <w:p w14:paraId="55EF1C7A"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2F74" w14:paraId="69217645" w14:textId="77777777" w:rsidTr="00A4268A">
        <w:trPr>
          <w:cantSplit/>
        </w:trPr>
        <w:tc>
          <w:tcPr>
            <w:tcW w:w="10206" w:type="dxa"/>
            <w:vAlign w:val="center"/>
          </w:tcPr>
          <w:p w14:paraId="51245E5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B4430A1"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20A8874"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3C334BF" w14:textId="77777777" w:rsidR="00460D43" w:rsidRDefault="00000000">
      <w:pPr>
        <w:spacing w:before="240" w:line="276" w:lineRule="auto"/>
        <w:rPr>
          <w:rFonts w:eastAsia="Calibri"/>
        </w:rPr>
      </w:pPr>
      <w:bookmarkStart w:id="19" w:name="OrganisationalManagement"/>
      <w:r w:rsidRPr="00A4268A">
        <w:rPr>
          <w:rFonts w:eastAsia="Calibri"/>
        </w:rPr>
        <w:t xml:space="preserve">Bupa Glenburn Rest Home &amp; Hospital has a well-established, and robust governance structure, including clinical governance that is appropriate to the size and complexity of the service provided. The 2023-2024 business plan includes a mission statement and </w:t>
      </w:r>
      <w:r w:rsidRPr="00A4268A">
        <w:rPr>
          <w:rFonts w:eastAsia="Calibri"/>
        </w:rPr>
        <w:lastRenderedPageBreak/>
        <w:t>operational objectives which are regularly reviewed. Barriers to health equity are identified, addressed, and services delivered that improve outcomes for Māori.</w:t>
      </w:r>
    </w:p>
    <w:p w14:paraId="32CB61A6" w14:textId="77777777" w:rsidR="00322F74" w:rsidRPr="00A4268A" w:rsidRDefault="00000000">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3F6DE41D" w14:textId="77777777" w:rsidR="00322F74"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regular staff education, training, and competencies are in place to support staff in delivering safe, quality care.</w:t>
      </w:r>
    </w:p>
    <w:bookmarkEnd w:id="19"/>
    <w:p w14:paraId="75D4F8F6" w14:textId="77777777" w:rsidR="00322F74" w:rsidRPr="00A4268A" w:rsidRDefault="00322F74">
      <w:pPr>
        <w:spacing w:before="240" w:line="276" w:lineRule="auto"/>
        <w:rPr>
          <w:rFonts w:eastAsia="Calibri"/>
        </w:rPr>
      </w:pPr>
    </w:p>
    <w:p w14:paraId="065FD9B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2F74" w14:paraId="7D4CE3D4" w14:textId="77777777" w:rsidTr="00A4268A">
        <w:trPr>
          <w:cantSplit/>
        </w:trPr>
        <w:tc>
          <w:tcPr>
            <w:tcW w:w="10206" w:type="dxa"/>
            <w:vAlign w:val="center"/>
          </w:tcPr>
          <w:p w14:paraId="262F63E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318270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9EF5EA"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9CD3A59"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21442567" w14:textId="77777777" w:rsidR="00322F74" w:rsidRPr="00A4268A" w:rsidRDefault="00000000"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4E5B9551" w14:textId="77777777" w:rsidR="00322F74"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Nutritional snacks are available 24/7. </w:t>
      </w:r>
    </w:p>
    <w:p w14:paraId="2A7C2768" w14:textId="77777777" w:rsidR="00322F74"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78009898" w14:textId="77777777" w:rsidR="00322F74" w:rsidRPr="00A4268A" w:rsidRDefault="00322F74" w:rsidP="00621629">
      <w:pPr>
        <w:spacing w:before="240" w:line="276" w:lineRule="auto"/>
        <w:rPr>
          <w:rFonts w:eastAsia="Calibri"/>
        </w:rPr>
      </w:pPr>
    </w:p>
    <w:p w14:paraId="49EAFAED"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2F74" w14:paraId="3F0D1FEF" w14:textId="77777777" w:rsidTr="00A4268A">
        <w:trPr>
          <w:cantSplit/>
        </w:trPr>
        <w:tc>
          <w:tcPr>
            <w:tcW w:w="10206" w:type="dxa"/>
            <w:vAlign w:val="center"/>
          </w:tcPr>
          <w:p w14:paraId="56A92BB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2FFE31A"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B83670"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58EE4F8"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05F2F36F" w14:textId="77777777" w:rsidR="00322F74" w:rsidRPr="00A4268A" w:rsidRDefault="00322F74">
      <w:pPr>
        <w:spacing w:before="240" w:line="276" w:lineRule="auto"/>
        <w:rPr>
          <w:rFonts w:eastAsia="Calibri"/>
        </w:rPr>
      </w:pPr>
    </w:p>
    <w:p w14:paraId="5471AE2F"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2F74" w14:paraId="010EFAAC" w14:textId="77777777" w:rsidTr="00A4268A">
        <w:trPr>
          <w:cantSplit/>
        </w:trPr>
        <w:tc>
          <w:tcPr>
            <w:tcW w:w="10206" w:type="dxa"/>
            <w:vAlign w:val="center"/>
          </w:tcPr>
          <w:p w14:paraId="2834182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18EF976"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0522A6"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6B34D16"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All policies, procedures, the pandemic plan, and the infection control programme have been developed and approved at Board level. Infection control education is provided to staff at the start of their employment, and as part of the annual education plan.</w:t>
      </w:r>
    </w:p>
    <w:p w14:paraId="17A10C1A" w14:textId="77777777" w:rsidR="00322F74"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had been six outbreaks (Covid-19) recorded and reported on since the last audit. </w:t>
      </w:r>
    </w:p>
    <w:bookmarkEnd w:id="28"/>
    <w:p w14:paraId="185A0ED9" w14:textId="77777777" w:rsidR="00322F74" w:rsidRPr="00A4268A" w:rsidRDefault="00322F74">
      <w:pPr>
        <w:spacing w:before="240" w:line="276" w:lineRule="auto"/>
        <w:rPr>
          <w:rFonts w:eastAsia="Calibri"/>
        </w:rPr>
      </w:pPr>
    </w:p>
    <w:p w14:paraId="51F866A9"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2F74" w14:paraId="371F7131" w14:textId="77777777" w:rsidTr="00A4268A">
        <w:trPr>
          <w:cantSplit/>
        </w:trPr>
        <w:tc>
          <w:tcPr>
            <w:tcW w:w="10206" w:type="dxa"/>
            <w:vAlign w:val="center"/>
          </w:tcPr>
          <w:p w14:paraId="4187345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AEFCA5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334D0A"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C46489B"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a registered nurse. The facility had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3F5C3A0D" w14:textId="77777777" w:rsidR="00322F74" w:rsidRPr="00A4268A" w:rsidRDefault="00322F74">
      <w:pPr>
        <w:spacing w:before="240" w:line="276" w:lineRule="auto"/>
        <w:rPr>
          <w:rFonts w:eastAsia="Calibri"/>
        </w:rPr>
      </w:pPr>
    </w:p>
    <w:p w14:paraId="502BD319" w14:textId="77777777" w:rsidR="00460D43" w:rsidRDefault="00000000" w:rsidP="000E6E02">
      <w:pPr>
        <w:pStyle w:val="Heading2"/>
        <w:spacing w:before="0"/>
        <w:rPr>
          <w:rFonts w:cs="Arial"/>
        </w:rPr>
      </w:pPr>
      <w:r>
        <w:rPr>
          <w:rFonts w:cs="Arial"/>
        </w:rPr>
        <w:lastRenderedPageBreak/>
        <w:t>Summary of attainment</w:t>
      </w:r>
    </w:p>
    <w:p w14:paraId="3C4E3FC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22F74" w14:paraId="159B5744" w14:textId="77777777">
        <w:tc>
          <w:tcPr>
            <w:tcW w:w="1384" w:type="dxa"/>
            <w:vAlign w:val="center"/>
          </w:tcPr>
          <w:p w14:paraId="20F152A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4FD2563" w14:textId="77777777" w:rsidR="00460D43" w:rsidRDefault="00000000">
            <w:pPr>
              <w:keepNext/>
              <w:spacing w:before="60" w:after="60"/>
              <w:jc w:val="center"/>
              <w:rPr>
                <w:rFonts w:cs="Arial"/>
                <w:b/>
                <w:sz w:val="20"/>
                <w:szCs w:val="20"/>
              </w:rPr>
            </w:pPr>
            <w:r>
              <w:rPr>
                <w:rFonts w:cs="Arial"/>
                <w:b/>
                <w:sz w:val="20"/>
                <w:szCs w:val="20"/>
              </w:rPr>
              <w:t>Continuous Improvement</w:t>
            </w:r>
          </w:p>
          <w:p w14:paraId="5E903ACD"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E2CC3A1" w14:textId="77777777" w:rsidR="00460D43" w:rsidRDefault="00000000">
            <w:pPr>
              <w:keepNext/>
              <w:spacing w:before="60" w:after="60"/>
              <w:jc w:val="center"/>
              <w:rPr>
                <w:rFonts w:cs="Arial"/>
                <w:b/>
                <w:sz w:val="20"/>
                <w:szCs w:val="20"/>
              </w:rPr>
            </w:pPr>
            <w:r>
              <w:rPr>
                <w:rFonts w:cs="Arial"/>
                <w:b/>
                <w:sz w:val="20"/>
                <w:szCs w:val="20"/>
              </w:rPr>
              <w:t>Fully Attained</w:t>
            </w:r>
          </w:p>
          <w:p w14:paraId="7659ECA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2D985F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DF5E5F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D852C3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8FD5BB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AB48ED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BD9993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5D7A02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C27FBF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4FA1FF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AA98D37" w14:textId="77777777" w:rsidR="00460D43" w:rsidRDefault="00000000">
            <w:pPr>
              <w:keepNext/>
              <w:spacing w:before="60" w:after="60"/>
              <w:jc w:val="center"/>
              <w:rPr>
                <w:rFonts w:cs="Arial"/>
                <w:b/>
                <w:sz w:val="20"/>
                <w:szCs w:val="20"/>
              </w:rPr>
            </w:pPr>
            <w:r>
              <w:rPr>
                <w:rFonts w:cs="Arial"/>
                <w:b/>
                <w:sz w:val="20"/>
                <w:szCs w:val="20"/>
              </w:rPr>
              <w:t>(PA Critical)</w:t>
            </w:r>
          </w:p>
        </w:tc>
      </w:tr>
      <w:tr w:rsidR="00322F74" w14:paraId="59076849" w14:textId="77777777">
        <w:tc>
          <w:tcPr>
            <w:tcW w:w="1384" w:type="dxa"/>
            <w:vAlign w:val="center"/>
          </w:tcPr>
          <w:p w14:paraId="036F8ED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9C79E5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A12D12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EEE21E1"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0967960"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7BB1A0A"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FE2B40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721069C"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22F74" w14:paraId="747E021E" w14:textId="77777777">
        <w:tc>
          <w:tcPr>
            <w:tcW w:w="1384" w:type="dxa"/>
            <w:vAlign w:val="center"/>
          </w:tcPr>
          <w:p w14:paraId="0C389BA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2B8150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B0CAD8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506AD09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D2016F"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8DD67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4F697696"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F72CCA"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12436B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22F74" w14:paraId="39DDF7DF" w14:textId="77777777">
        <w:tc>
          <w:tcPr>
            <w:tcW w:w="1384" w:type="dxa"/>
            <w:vAlign w:val="center"/>
          </w:tcPr>
          <w:p w14:paraId="0553705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D0937A8"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5A90C83"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151C766" w14:textId="77777777" w:rsidR="00460D43" w:rsidRDefault="00000000">
            <w:pPr>
              <w:keepNext/>
              <w:spacing w:before="60" w:after="60"/>
              <w:jc w:val="center"/>
              <w:rPr>
                <w:rFonts w:cs="Arial"/>
                <w:b/>
                <w:sz w:val="20"/>
                <w:szCs w:val="20"/>
              </w:rPr>
            </w:pPr>
            <w:r>
              <w:rPr>
                <w:rFonts w:cs="Arial"/>
                <w:b/>
                <w:sz w:val="20"/>
                <w:szCs w:val="20"/>
              </w:rPr>
              <w:t>Unattained Low Risk</w:t>
            </w:r>
          </w:p>
          <w:p w14:paraId="095B445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D5863A4" w14:textId="77777777" w:rsidR="00460D43" w:rsidRDefault="00000000">
            <w:pPr>
              <w:keepNext/>
              <w:spacing w:before="60" w:after="60"/>
              <w:jc w:val="center"/>
              <w:rPr>
                <w:rFonts w:cs="Arial"/>
                <w:b/>
                <w:sz w:val="20"/>
                <w:szCs w:val="20"/>
              </w:rPr>
            </w:pPr>
            <w:r>
              <w:rPr>
                <w:rFonts w:cs="Arial"/>
                <w:b/>
                <w:sz w:val="20"/>
                <w:szCs w:val="20"/>
              </w:rPr>
              <w:t>Unattained Moderate Risk</w:t>
            </w:r>
          </w:p>
          <w:p w14:paraId="12F3555C"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C1E688A" w14:textId="77777777" w:rsidR="00460D43" w:rsidRDefault="00000000">
            <w:pPr>
              <w:keepNext/>
              <w:spacing w:before="60" w:after="60"/>
              <w:jc w:val="center"/>
              <w:rPr>
                <w:rFonts w:cs="Arial"/>
                <w:b/>
                <w:sz w:val="20"/>
                <w:szCs w:val="20"/>
              </w:rPr>
            </w:pPr>
            <w:r>
              <w:rPr>
                <w:rFonts w:cs="Arial"/>
                <w:b/>
                <w:sz w:val="20"/>
                <w:szCs w:val="20"/>
              </w:rPr>
              <w:t>Unattained High Risk</w:t>
            </w:r>
          </w:p>
          <w:p w14:paraId="559D3FD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CA7D0F0" w14:textId="77777777" w:rsidR="00460D43" w:rsidRDefault="00000000">
            <w:pPr>
              <w:keepNext/>
              <w:spacing w:before="60" w:after="60"/>
              <w:jc w:val="center"/>
              <w:rPr>
                <w:rFonts w:cs="Arial"/>
                <w:b/>
                <w:sz w:val="20"/>
                <w:szCs w:val="20"/>
              </w:rPr>
            </w:pPr>
            <w:r>
              <w:rPr>
                <w:rFonts w:cs="Arial"/>
                <w:b/>
                <w:sz w:val="20"/>
                <w:szCs w:val="20"/>
              </w:rPr>
              <w:t>Unattained Critical Risk</w:t>
            </w:r>
          </w:p>
          <w:p w14:paraId="1D073DE3" w14:textId="77777777" w:rsidR="00460D43" w:rsidRDefault="00000000">
            <w:pPr>
              <w:keepNext/>
              <w:spacing w:before="60" w:after="60"/>
              <w:jc w:val="center"/>
              <w:rPr>
                <w:rFonts w:cs="Arial"/>
                <w:b/>
                <w:sz w:val="20"/>
                <w:szCs w:val="20"/>
              </w:rPr>
            </w:pPr>
            <w:r>
              <w:rPr>
                <w:rFonts w:cs="Arial"/>
                <w:b/>
                <w:sz w:val="20"/>
                <w:szCs w:val="20"/>
              </w:rPr>
              <w:t>(UA Critical)</w:t>
            </w:r>
          </w:p>
        </w:tc>
      </w:tr>
      <w:tr w:rsidR="00322F74" w14:paraId="50A9BCF1" w14:textId="77777777">
        <w:tc>
          <w:tcPr>
            <w:tcW w:w="1384" w:type="dxa"/>
            <w:vAlign w:val="center"/>
          </w:tcPr>
          <w:p w14:paraId="137AE7A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D15A9A3"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19C65A"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EDB598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05E94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DD432B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22F74" w14:paraId="5CFC74CC" w14:textId="77777777">
        <w:tc>
          <w:tcPr>
            <w:tcW w:w="1384" w:type="dxa"/>
            <w:vAlign w:val="center"/>
          </w:tcPr>
          <w:p w14:paraId="1AC24EE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B5AD11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13FD8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7F2EBC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D4C1E2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2E082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1996C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CB9C32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D819DB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08C65C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322F74" w14:paraId="5E877157" w14:textId="77777777">
        <w:tc>
          <w:tcPr>
            <w:tcW w:w="0" w:type="auto"/>
          </w:tcPr>
          <w:p w14:paraId="352A27AA"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40757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E6D50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22F74" w14:paraId="72CCA7D1" w14:textId="77777777">
        <w:tc>
          <w:tcPr>
            <w:tcW w:w="0" w:type="auto"/>
          </w:tcPr>
          <w:p w14:paraId="0D1403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3E4959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34BA211" w14:textId="77777777" w:rsidR="00EB7645" w:rsidRPr="00BE00C7" w:rsidRDefault="00000000" w:rsidP="00BE00C7">
            <w:pPr>
              <w:pStyle w:val="OutcomeDescription"/>
              <w:spacing w:before="120" w:after="120"/>
              <w:rPr>
                <w:rFonts w:cs="Arial"/>
                <w:lang w:eastAsia="en-NZ"/>
              </w:rPr>
            </w:pPr>
          </w:p>
        </w:tc>
        <w:tc>
          <w:tcPr>
            <w:tcW w:w="0" w:type="auto"/>
          </w:tcPr>
          <w:p w14:paraId="079522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535E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Glenburn utilise as part of their strategy to embed and enact Te Tiriti o Waitangi in all aspects of service delivery. At the time of the audit, there were Māori staff and residents who confirmed in interview that mana motuhake is recognised. </w:t>
            </w:r>
          </w:p>
          <w:p w14:paraId="3C570E4E" w14:textId="77777777" w:rsidR="00EB7645" w:rsidRPr="00BE00C7" w:rsidRDefault="00000000" w:rsidP="00BE00C7">
            <w:pPr>
              <w:pStyle w:val="OutcomeDescription"/>
              <w:spacing w:before="120" w:after="120"/>
              <w:rPr>
                <w:rFonts w:cs="Arial"/>
                <w:lang w:eastAsia="en-NZ"/>
              </w:rPr>
            </w:pPr>
          </w:p>
        </w:tc>
      </w:tr>
      <w:tr w:rsidR="00322F74" w14:paraId="1DE61A42" w14:textId="77777777">
        <w:tc>
          <w:tcPr>
            <w:tcW w:w="0" w:type="auto"/>
          </w:tcPr>
          <w:p w14:paraId="304EE2D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D60BA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2CE7929" w14:textId="77777777" w:rsidR="00EB7645" w:rsidRPr="00BE00C7" w:rsidRDefault="00000000" w:rsidP="00BE00C7">
            <w:pPr>
              <w:pStyle w:val="OutcomeDescription"/>
              <w:spacing w:before="120" w:after="120"/>
              <w:rPr>
                <w:rFonts w:cs="Arial"/>
                <w:lang w:eastAsia="en-NZ"/>
              </w:rPr>
            </w:pPr>
          </w:p>
        </w:tc>
        <w:tc>
          <w:tcPr>
            <w:tcW w:w="0" w:type="auto"/>
          </w:tcPr>
          <w:p w14:paraId="260AFE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C1F3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Ola Manuia Pacific Health and Action Plan, and Te Mana Ola are the chosen models for the Pacific health plan and Pathways to Pacific Peoples Health Equity Policy. At the time of the audit, there were Pacific staff who could confirm that cultural safety for Pacific peoples, their worldviews, cultural, and spiritual beliefs are embraced at Glenburn. </w:t>
            </w:r>
          </w:p>
          <w:p w14:paraId="4198CC65" w14:textId="77777777" w:rsidR="00EB7645" w:rsidRPr="00BE00C7" w:rsidRDefault="00000000" w:rsidP="00BE00C7">
            <w:pPr>
              <w:pStyle w:val="OutcomeDescription"/>
              <w:spacing w:before="120" w:after="120"/>
              <w:rPr>
                <w:rFonts w:cs="Arial"/>
                <w:lang w:eastAsia="en-NZ"/>
              </w:rPr>
            </w:pPr>
          </w:p>
        </w:tc>
      </w:tr>
      <w:tr w:rsidR="00322F74" w14:paraId="19CAB1CC" w14:textId="77777777">
        <w:tc>
          <w:tcPr>
            <w:tcW w:w="0" w:type="auto"/>
          </w:tcPr>
          <w:p w14:paraId="1F8A081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D65BB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2C92AEC" w14:textId="77777777" w:rsidR="00EB7645" w:rsidRPr="00BE00C7" w:rsidRDefault="00000000" w:rsidP="00BE00C7">
            <w:pPr>
              <w:pStyle w:val="OutcomeDescription"/>
              <w:spacing w:before="120" w:after="120"/>
              <w:rPr>
                <w:rFonts w:cs="Arial"/>
                <w:lang w:eastAsia="en-NZ"/>
              </w:rPr>
            </w:pPr>
          </w:p>
        </w:tc>
        <w:tc>
          <w:tcPr>
            <w:tcW w:w="0" w:type="auto"/>
          </w:tcPr>
          <w:p w14:paraId="4A80673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048D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general manager (interviewed) demonstrated how it is also provided in welcome packs in the language most appropriate for the resident to ensure they are fully informed of their rights. </w:t>
            </w:r>
          </w:p>
          <w:p w14:paraId="38BF3115" w14:textId="77777777" w:rsidR="00EB7645" w:rsidRPr="00BE00C7" w:rsidRDefault="00000000" w:rsidP="00BE00C7">
            <w:pPr>
              <w:pStyle w:val="OutcomeDescription"/>
              <w:spacing w:before="120" w:after="120"/>
              <w:rPr>
                <w:rFonts w:cs="Arial"/>
                <w:lang w:eastAsia="en-NZ"/>
              </w:rPr>
            </w:pPr>
          </w:p>
        </w:tc>
      </w:tr>
      <w:tr w:rsidR="00322F74" w14:paraId="7FA5EBBC" w14:textId="77777777">
        <w:tc>
          <w:tcPr>
            <w:tcW w:w="0" w:type="auto"/>
          </w:tcPr>
          <w:p w14:paraId="101397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AA06E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7A971C2" w14:textId="77777777" w:rsidR="00EB7645" w:rsidRPr="00BE00C7" w:rsidRDefault="00000000" w:rsidP="00BE00C7">
            <w:pPr>
              <w:pStyle w:val="OutcomeDescription"/>
              <w:spacing w:before="120" w:after="120"/>
              <w:rPr>
                <w:rFonts w:cs="Arial"/>
                <w:lang w:eastAsia="en-NZ"/>
              </w:rPr>
            </w:pPr>
          </w:p>
        </w:tc>
        <w:tc>
          <w:tcPr>
            <w:tcW w:w="0" w:type="auto"/>
          </w:tcPr>
          <w:p w14:paraId="1A7E05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9E5567"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Glenburn’s policies prevent any form of institutional racism, discrimination, coercion, harassment, or any other exploitation. There are established policies, and protocols to respect resident’s property, including an established process to manage and protect resident finances.</w:t>
            </w:r>
          </w:p>
          <w:p w14:paraId="283F48F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 Glenburn are trained in and aware of professional boundaries, as evidenced in orientation documents and ongoing education records. Staff interviewed (four caregivers, four registered nurses (including two unit-coordinators), kitchen manager, maintenance and a cleaner) demonstrated an understanding of professional boundaries when interviewed.</w:t>
            </w:r>
          </w:p>
          <w:p w14:paraId="1EDF82B4" w14:textId="77777777" w:rsidR="00EB7645" w:rsidRPr="00BE00C7" w:rsidRDefault="00000000" w:rsidP="00BE00C7">
            <w:pPr>
              <w:pStyle w:val="OutcomeDescription"/>
              <w:spacing w:before="120" w:after="120"/>
              <w:rPr>
                <w:rFonts w:cs="Arial"/>
                <w:lang w:eastAsia="en-NZ"/>
              </w:rPr>
            </w:pPr>
          </w:p>
        </w:tc>
      </w:tr>
      <w:tr w:rsidR="00322F74" w14:paraId="4772346A" w14:textId="77777777">
        <w:tc>
          <w:tcPr>
            <w:tcW w:w="0" w:type="auto"/>
          </w:tcPr>
          <w:p w14:paraId="1B517B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00B9A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78256AFC" w14:textId="77777777" w:rsidR="00EB7645" w:rsidRPr="00BE00C7" w:rsidRDefault="00000000" w:rsidP="00BE00C7">
            <w:pPr>
              <w:pStyle w:val="OutcomeDescription"/>
              <w:spacing w:before="120" w:after="120"/>
              <w:rPr>
                <w:rFonts w:cs="Arial"/>
                <w:lang w:eastAsia="en-NZ"/>
              </w:rPr>
            </w:pPr>
          </w:p>
        </w:tc>
        <w:tc>
          <w:tcPr>
            <w:tcW w:w="0" w:type="auto"/>
          </w:tcPr>
          <w:p w14:paraId="4E8634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A505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organisational policies around informed consent. Staff and management have a good understanding of the organisational process to ensure informed consent for all residents (including Māori, who may wish to involve whānau for collective decision making). Interviews with three family/whānau (two hospital, and one psychogeriatric), and six residents (two hospital and four rest home) confirmed their choices regarding decisions and their wellbeing is respected.</w:t>
            </w:r>
          </w:p>
          <w:p w14:paraId="0ED97535" w14:textId="77777777" w:rsidR="00EB7645" w:rsidRPr="00BE00C7" w:rsidRDefault="00000000" w:rsidP="00BE00C7">
            <w:pPr>
              <w:pStyle w:val="OutcomeDescription"/>
              <w:spacing w:before="120" w:after="120"/>
              <w:rPr>
                <w:rFonts w:cs="Arial"/>
                <w:lang w:eastAsia="en-NZ"/>
              </w:rPr>
            </w:pPr>
          </w:p>
        </w:tc>
      </w:tr>
      <w:tr w:rsidR="00322F74" w14:paraId="74DBD558" w14:textId="77777777">
        <w:tc>
          <w:tcPr>
            <w:tcW w:w="0" w:type="auto"/>
          </w:tcPr>
          <w:p w14:paraId="0351AF4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FBD4E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C7077FF" w14:textId="77777777" w:rsidR="00EB7645" w:rsidRPr="00BE00C7" w:rsidRDefault="00000000" w:rsidP="00BE00C7">
            <w:pPr>
              <w:pStyle w:val="OutcomeDescription"/>
              <w:spacing w:before="120" w:after="120"/>
              <w:rPr>
                <w:rFonts w:cs="Arial"/>
                <w:lang w:eastAsia="en-NZ"/>
              </w:rPr>
            </w:pPr>
          </w:p>
        </w:tc>
        <w:tc>
          <w:tcPr>
            <w:tcW w:w="0" w:type="auto"/>
          </w:tcPr>
          <w:p w14:paraId="11B854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98C8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6B622C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which includes all complaints, dates and actions taken. This is an improvement on the previous audit, and the partial attainment relating to HDSS:2008 # 1.1.13.3 has been satisfied. There have been seven complaints made in 2022, and eighteen in 2023 year to date. There have been no external complaints. </w:t>
            </w:r>
          </w:p>
          <w:p w14:paraId="3042DE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Discussions with residents and family/whānau 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general manager acknowledged their understanding that for Māori there is a preference for face-to-face communication and to include whānau participation. </w:t>
            </w:r>
          </w:p>
          <w:p w14:paraId="1050550F" w14:textId="77777777" w:rsidR="00EB7645" w:rsidRPr="00BE00C7" w:rsidRDefault="00000000" w:rsidP="00BE00C7">
            <w:pPr>
              <w:pStyle w:val="OutcomeDescription"/>
              <w:spacing w:before="120" w:after="120"/>
              <w:rPr>
                <w:rFonts w:cs="Arial"/>
                <w:lang w:eastAsia="en-NZ"/>
              </w:rPr>
            </w:pPr>
          </w:p>
        </w:tc>
      </w:tr>
      <w:tr w:rsidR="00322F74" w14:paraId="7887C998" w14:textId="77777777">
        <w:tc>
          <w:tcPr>
            <w:tcW w:w="0" w:type="auto"/>
          </w:tcPr>
          <w:p w14:paraId="30949A5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FF0C6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w:t>
            </w:r>
            <w:r w:rsidRPr="00BE00C7">
              <w:rPr>
                <w:rFonts w:cs="Arial"/>
                <w:lang w:eastAsia="en-NZ"/>
              </w:rPr>
              <w:lastRenderedPageBreak/>
              <w:t>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30D5AF3" w14:textId="77777777" w:rsidR="00EB7645" w:rsidRPr="00BE00C7" w:rsidRDefault="00000000" w:rsidP="00BE00C7">
            <w:pPr>
              <w:pStyle w:val="OutcomeDescription"/>
              <w:spacing w:before="120" w:after="120"/>
              <w:rPr>
                <w:rFonts w:cs="Arial"/>
                <w:lang w:eastAsia="en-NZ"/>
              </w:rPr>
            </w:pPr>
          </w:p>
        </w:tc>
        <w:tc>
          <w:tcPr>
            <w:tcW w:w="0" w:type="auto"/>
          </w:tcPr>
          <w:p w14:paraId="126714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7A7A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Glenburn is a Bupa facility which provides hospital, rest home, dementia, and psychogeriatric level care for up to 103 residents. Occupancy on the day of audit was 90 residents. </w:t>
            </w:r>
          </w:p>
          <w:p w14:paraId="50C764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26 rest home level beds with an occupancy of 23 on the day of audit; 52 hospital level beds with an occupancy of 47, including 4 younger persons with a disability (YPD), and one funded by ACC; 12 dementia level beds with an occupancy of 10 (including one respite resident); and 13 </w:t>
            </w:r>
            <w:r w:rsidRPr="00BE00C7">
              <w:rPr>
                <w:rFonts w:cs="Arial"/>
                <w:lang w:eastAsia="en-NZ"/>
              </w:rPr>
              <w:lastRenderedPageBreak/>
              <w:t xml:space="preserve">psychogeriatric (PG) level beds with an occupancy of 10. There are no dual-purpose beds. All hospital, rest home, and dementia residents, apart from the YPD and ACC, were under the age-related residential care contract (ARRC). The PG residents were on the age residential hospital specialised services (ARHSS) contract. </w:t>
            </w:r>
          </w:p>
          <w:p w14:paraId="0C6ECB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Bupa has developed a te ao Māori health strategy to introduce and implement te ao Māori related standards with a Māori cultural adviser. Bupa has engaged with a cultural advisor to work alongside the Bupa Leadership team. </w:t>
            </w:r>
          </w:p>
          <w:p w14:paraId="1179D2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three-year strategic business and operational plan which aligns to Bupa global strategy and the ambition to be the world’s most customer-centric healthcare company. The business and operational plan is reviewed annually by the leadership team as part of strategy and planning. This consists of three key performance indicators (KPI’s), that will measure customer care touchpoints and feedback, and six strategic and enabling pillars of Customers, Growth, Transformation, Sustainability enabled by Data and an Agile Culture. The enabling sustainability pillar include plans to: strengthen policies, governance, and transparency to support health and wellbeing of residents, and improved outcomes for all residents. Increase diversity and inclusion of the principles of Te Tiriti o Waitangi and growth of te ao Māori and Pacific world view in the organisation. Each care home sets annual quality goals at the beginning of the year based on improving outcomes from the internal quality programme. Goals are regularly reviewed, discussed at quality meetings and other forums and outcomes are measured to demonstrate progression towards meeting goals. </w:t>
            </w:r>
          </w:p>
          <w:p w14:paraId="099861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clinical governance committee (CGC) with terms of reference. There is a quarterly CGC meeting and a CGC pack produced and distributed to the committee members prior to meetings, which includes review of quality and risk management systems. There is a risk governance committee (RGC) which aligns and interfaces with the CGC to manage quality and risk systems. The customer service improvement team (CSI) includes clinical specialists in restraint, infection control and adverse event investigations and a customer engagement advisor. The organisation benchmarks quality data across Bupa </w:t>
            </w:r>
            <w:r w:rsidRPr="00BE00C7">
              <w:rPr>
                <w:rFonts w:cs="Arial"/>
                <w:lang w:eastAsia="en-NZ"/>
              </w:rPr>
              <w:lastRenderedPageBreak/>
              <w:t xml:space="preserve">and with other NZ aged care providers. Each region has a clinical quality partner who supports the on-site clinical team with education, trend review and management. </w:t>
            </w:r>
          </w:p>
          <w:p w14:paraId="35DBAE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Māori Health Strategy and Health Equity policy. Bupa engaged an external consultant who has worked closely with the Bupa Leadership team and Bupa ANZ Board to understand current state and develop plans for maturity in this area. The Towards Māori Health Equity policy states Bupa is committed to achieving Māori health equity for residents in their care homes by responding to the individual and collectives needs of residents who identify as Māori, to ensure they live longer, healthier, happier lives. </w:t>
            </w:r>
          </w:p>
          <w:p w14:paraId="47D3D11C" w14:textId="77777777" w:rsidR="00EB7645" w:rsidRPr="00BE00C7" w:rsidRDefault="00000000" w:rsidP="00BE00C7">
            <w:pPr>
              <w:pStyle w:val="OutcomeDescription"/>
              <w:spacing w:before="120" w:after="120"/>
              <w:rPr>
                <w:rFonts w:cs="Arial"/>
                <w:lang w:eastAsia="en-NZ"/>
              </w:rPr>
            </w:pPr>
            <w:r w:rsidRPr="00BE00C7">
              <w:rPr>
                <w:rFonts w:cs="Arial"/>
                <w:lang w:eastAsia="en-NZ"/>
              </w:rPr>
              <w:t>A vision, mission statement and objectives are in place. Annual goals for Bupa Glenburn have been determined, which link to the overarching Bupa strategic plan. Goals are regularly reviewed in each monthly meeting. The quality programme includes a quality programme policy, quality goals (including site specific business goals) that are reviewed monthly in meetings, quality meetings and quality action forms that are completed for any quality improvements/initiatives during the year.</w:t>
            </w:r>
          </w:p>
          <w:p w14:paraId="2409EC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general manager who has been in post since 2021. They have an extensive background in nursing, aged care, and quality and risk management. The manager is supported by the wider Bupa management team that includes an operations manager and quality partner.</w:t>
            </w:r>
          </w:p>
          <w:p w14:paraId="2BBFCF7D" w14:textId="77777777" w:rsidR="00EB7645" w:rsidRPr="00BE00C7" w:rsidRDefault="00000000" w:rsidP="00BE00C7">
            <w:pPr>
              <w:pStyle w:val="OutcomeDescription"/>
              <w:spacing w:before="120" w:after="120"/>
              <w:rPr>
                <w:rFonts w:cs="Arial"/>
                <w:lang w:eastAsia="en-NZ"/>
              </w:rPr>
            </w:pPr>
          </w:p>
        </w:tc>
      </w:tr>
      <w:tr w:rsidR="00322F74" w14:paraId="6D91C7E5" w14:textId="77777777">
        <w:tc>
          <w:tcPr>
            <w:tcW w:w="0" w:type="auto"/>
          </w:tcPr>
          <w:p w14:paraId="0C4DCE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FB79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D63C881" w14:textId="77777777" w:rsidR="00EB7645" w:rsidRPr="00BE00C7" w:rsidRDefault="00000000" w:rsidP="00BE00C7">
            <w:pPr>
              <w:pStyle w:val="OutcomeDescription"/>
              <w:spacing w:before="120" w:after="120"/>
              <w:rPr>
                <w:rFonts w:cs="Arial"/>
                <w:lang w:eastAsia="en-NZ"/>
              </w:rPr>
            </w:pPr>
          </w:p>
        </w:tc>
        <w:tc>
          <w:tcPr>
            <w:tcW w:w="0" w:type="auto"/>
          </w:tcPr>
          <w:p w14:paraId="480FAF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D00C93"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Glenburn is implementing a quality and risk management programme. The quality and risk management systems include performance monitoring through internal audits and through the collection of clinical indicator data.</w:t>
            </w:r>
          </w:p>
          <w:p w14:paraId="747F19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quality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w:t>
            </w:r>
            <w:r w:rsidRPr="00BE00C7">
              <w:rPr>
                <w:rFonts w:cs="Arial"/>
                <w:lang w:eastAsia="en-NZ"/>
              </w:rPr>
              <w:lastRenderedPageBreak/>
              <w:t>completed. This is an improvement upon the previous audit, and the partial attainment relating to HDSS:2008 # 1.2.3.8 has been satisfied. Benchmarking occurs on a national level against other Bupa facilities.</w:t>
            </w:r>
          </w:p>
          <w:p w14:paraId="4AF983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family satisfaction surveys are managed by head office who rings and surveys families. An independent contractor is sent to survey residents using direct questioning and an electronic tablet. The 2022 and most recent June 2023 resident/family satisfaction surveys have been correlated and analysed at head office and indicate that residents have reported high levels of satisfaction with the service provided. Results have been communicated to residents in the quarterly resident and family/whānau meetings, and monthly newsletter (sighted). </w:t>
            </w:r>
          </w:p>
          <w:p w14:paraId="612DDD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Glenburn has a comprehensive suite of organisational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Hazard identification forms are completed electronically, and an up-to-date hazard register was reviewed (sighted). Staff are kept informed on health and safety issues in handovers, meetings, and via toolbox talks. </w:t>
            </w:r>
          </w:p>
          <w:p w14:paraId="378B3C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(RiskMan) entries are completed for each incident/accident, and immediate action is documented with any follow-up action(s) required, evidenced in 10 accident/incident records reviewed. Incident and accident data is collated monthly and analysed. The RiskMan system generates a report that goes to each operational team/governance team and generates alerts depending on the risk level. Results are discussed in the quality and staff meetings and at handover. </w:t>
            </w:r>
          </w:p>
          <w:p w14:paraId="739242FA"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general manager evidenced awareness of their requirement to notify relevant authorities in relation to essential notifications. There have been Section 31 notifications completed to notify HealthCERT of stage III or above pressure injuries, absconding residents, and outbreaks. There were six Covid-19 outbreaks since the previous audit which were appropriately notified.</w:t>
            </w:r>
          </w:p>
          <w:p w14:paraId="4D205CB7" w14:textId="77777777" w:rsidR="00EB7645" w:rsidRPr="00BE00C7" w:rsidRDefault="00000000" w:rsidP="00BE00C7">
            <w:pPr>
              <w:pStyle w:val="OutcomeDescription"/>
              <w:spacing w:before="120" w:after="120"/>
              <w:rPr>
                <w:rFonts w:cs="Arial"/>
                <w:lang w:eastAsia="en-NZ"/>
              </w:rPr>
            </w:pPr>
          </w:p>
        </w:tc>
      </w:tr>
      <w:tr w:rsidR="00322F74" w14:paraId="67633FA9" w14:textId="77777777">
        <w:tc>
          <w:tcPr>
            <w:tcW w:w="0" w:type="auto"/>
          </w:tcPr>
          <w:p w14:paraId="0CAEA0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4539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4CBC157" w14:textId="77777777" w:rsidR="00EB7645" w:rsidRPr="00BE00C7" w:rsidRDefault="00000000" w:rsidP="00BE00C7">
            <w:pPr>
              <w:pStyle w:val="OutcomeDescription"/>
              <w:spacing w:before="120" w:after="120"/>
              <w:rPr>
                <w:rFonts w:cs="Arial"/>
                <w:lang w:eastAsia="en-NZ"/>
              </w:rPr>
            </w:pPr>
          </w:p>
        </w:tc>
        <w:tc>
          <w:tcPr>
            <w:tcW w:w="0" w:type="auto"/>
          </w:tcPr>
          <w:p w14:paraId="27C4FF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9228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w:t>
            </w:r>
            <w:r w:rsidRPr="00BE00C7">
              <w:rPr>
                <w:rFonts w:cs="Arial"/>
                <w:lang w:eastAsia="en-NZ"/>
              </w:rPr>
              <w:lastRenderedPageBreak/>
              <w:t xml:space="preserve">support. The registered nurses, activities staff, and a selection of caregivers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 </w:t>
            </w:r>
          </w:p>
          <w:p w14:paraId="4123ED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and unit coordinators are available Monday to Friday. On-call cover for all Bupa facilities in the region is covered by a six-week rotation of one care home and one clinical manager each week.</w:t>
            </w:r>
          </w:p>
          <w:p w14:paraId="1A5A2B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completed for 2022 and is being implemented for 2023. The education and training schedule lists compulsory training, which includes Māori health, Tikanga, and Te Tiriti O Waitangi. Cultural awareness training is part of orientation and provided annually to all staff. Training to care for residents in the dementia and psychogeriatric units includes (but is not limited to) person first, dementia second sessions, behaviours of concern, and de-escalation.</w:t>
            </w:r>
          </w:p>
          <w:p w14:paraId="104F20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Te Whatu Ora -Waitematā, and hospice. Staff participate in learning opportunities that provide them with up-to-date information on Māori health outcomes and disparities, and health equity. Staff confirmed that they were provided with resources during their cultural training. These resources create opportunities for the workforce to learn about and address inequities. </w:t>
            </w:r>
          </w:p>
          <w:p w14:paraId="468E79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w:t>
            </w:r>
          </w:p>
          <w:p w14:paraId="62D731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supported to achieve New Zealand Qualification Authority (NZQA) qualifications. There are 87 caregivers in total - 55 caregivers have achieved Level 4, nine have achieved Level 3, and 23 caregivers have achieved Level 2. There are 54 caregivers rostered across the dementia and PG units. All have achieved the required standards. </w:t>
            </w:r>
          </w:p>
          <w:p w14:paraId="749FA3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who have completed NZQA level 4 and undertaken extra training (classed as clinical assistants), complete many of the same competencies as the RN staff (eg, restraint, medication administration, blood sugar levels and insulin administration, wound management, and management of nebuliser therapy). Additional RN specific competencies include subcutaneous fluids, syringe driver, and interRAI assessment competency. Fourteen registered nurses, including the unit coordinators, are all interRAI trained. All RNs are </w:t>
            </w:r>
            <w:r w:rsidRPr="00BE00C7">
              <w:rPr>
                <w:rFonts w:cs="Arial"/>
                <w:lang w:eastAsia="en-NZ"/>
              </w:rPr>
              <w:lastRenderedPageBreak/>
              <w:t>encouraged to attend the Bupa qualified staff forum each year and to commence and complete a professional development recognition programme (PDRP). All RNs attend relevant quality, staff, RN, restraint, health and safety, and infection control meetings when possible. A record of completion is maintained on an electronic register.</w:t>
            </w:r>
          </w:p>
          <w:p w14:paraId="2B514225" w14:textId="77777777" w:rsidR="00EB7645" w:rsidRPr="00BE00C7" w:rsidRDefault="00000000" w:rsidP="00BE00C7">
            <w:pPr>
              <w:pStyle w:val="OutcomeDescription"/>
              <w:spacing w:before="120" w:after="120"/>
              <w:rPr>
                <w:rFonts w:cs="Arial"/>
                <w:lang w:eastAsia="en-NZ"/>
              </w:rPr>
            </w:pPr>
          </w:p>
        </w:tc>
      </w:tr>
      <w:tr w:rsidR="00322F74" w14:paraId="7E1FF24C" w14:textId="77777777">
        <w:tc>
          <w:tcPr>
            <w:tcW w:w="0" w:type="auto"/>
          </w:tcPr>
          <w:p w14:paraId="658E15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6D7F6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61A2270" w14:textId="77777777" w:rsidR="00EB7645" w:rsidRPr="00BE00C7" w:rsidRDefault="00000000" w:rsidP="00BE00C7">
            <w:pPr>
              <w:pStyle w:val="OutcomeDescription"/>
              <w:spacing w:before="120" w:after="120"/>
              <w:rPr>
                <w:rFonts w:cs="Arial"/>
                <w:lang w:eastAsia="en-NZ"/>
              </w:rPr>
            </w:pPr>
          </w:p>
        </w:tc>
        <w:tc>
          <w:tcPr>
            <w:tcW w:w="0" w:type="auto"/>
          </w:tcPr>
          <w:p w14:paraId="63A80A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B1C0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7E27F4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All staff who have been employed for a year or more have a current performance appraisal on file.</w:t>
            </w:r>
          </w:p>
          <w:p w14:paraId="5DED92A7" w14:textId="77777777" w:rsidR="00EB7645" w:rsidRPr="00BE00C7" w:rsidRDefault="00000000" w:rsidP="00BE00C7">
            <w:pPr>
              <w:pStyle w:val="OutcomeDescription"/>
              <w:spacing w:before="120" w:after="120"/>
              <w:rPr>
                <w:rFonts w:cs="Arial"/>
                <w:lang w:eastAsia="en-NZ"/>
              </w:rPr>
            </w:pPr>
          </w:p>
        </w:tc>
      </w:tr>
      <w:tr w:rsidR="00322F74" w14:paraId="56442A37" w14:textId="77777777">
        <w:tc>
          <w:tcPr>
            <w:tcW w:w="0" w:type="auto"/>
          </w:tcPr>
          <w:p w14:paraId="2A9F41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A9EAB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42EB4F7" w14:textId="77777777" w:rsidR="00EB7645" w:rsidRPr="00BE00C7" w:rsidRDefault="00000000" w:rsidP="00BE00C7">
            <w:pPr>
              <w:pStyle w:val="OutcomeDescription"/>
              <w:spacing w:before="120" w:after="120"/>
              <w:rPr>
                <w:rFonts w:cs="Arial"/>
                <w:lang w:eastAsia="en-NZ"/>
              </w:rPr>
            </w:pPr>
          </w:p>
        </w:tc>
        <w:tc>
          <w:tcPr>
            <w:tcW w:w="0" w:type="auto"/>
          </w:tcPr>
          <w:p w14:paraId="3EE162F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79F561B"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 files were reviewed: one respite dementia; one psychogeriatric; two hospital resident files, including one on Accident Compensation Corporation funding and one younger person with a disability; and two rest home resident files. All other residents were under the age-related residential care (ARRC) agreement. The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completed by the NASC or other referral agencies.</w:t>
            </w:r>
          </w:p>
          <w:p w14:paraId="66B72D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however, one respite resident did not have the short stay nursing assessment and care plan completed within 24hours. The previous audit shortfall (HDSS:2008 # 1.3.4.2) around assessment timeframes continues. The individualised long-term care plans (LTCPs) are </w:t>
            </w:r>
            <w:r w:rsidRPr="00BE00C7">
              <w:rPr>
                <w:rFonts w:cs="Arial"/>
                <w:lang w:eastAsia="en-NZ"/>
              </w:rPr>
              <w:lastRenderedPageBreak/>
              <w:t xml:space="preserve">developed with information gathered during the initial assessments and the interRAI assessment. All LTCP and interRAI sampled (except for respite) had been completed within three weeks of the residents’ admission to the facility. Documented interventions and early warning signs meet the residents’ assessed needs; however, not all care plans had detailed interventions to provide guidance to care staff in the delivery of care. The previous audit shortfall (HDSS:2008 # 1.3.5.2) related to care plan interventions has not been addressed. The activity assessments include a cultural assessment which gathers information about cultural needs, values, and beliefs. Information from these assessments is used to develop the resident’s individual activity care plan. </w:t>
            </w:r>
          </w:p>
          <w:p w14:paraId="1C5DB7C7"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However, two residents did not have short-term care plans developed for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goals and outcomes. Residents interviewed confirmed assessments are completed according to their needs and in the privacy of their bedrooms.</w:t>
            </w:r>
          </w:p>
          <w:p w14:paraId="52601B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4C1248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the dementia and psychogeriatric unit have behaviour assessments and behaviour plans with associated risks and supports needed and includes strategies for managing/diversion of behaviours. The long-term care plan includes close to normal routine that reflects a 24-hour reflection of resident’s usual pattern and behaviour management strategies to assist caregivers in management of the resident behaviours. </w:t>
            </w:r>
          </w:p>
          <w:p w14:paraId="748017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w:t>
            </w:r>
            <w:r w:rsidRPr="00BE00C7">
              <w:rPr>
                <w:rFonts w:cs="Arial"/>
                <w:lang w:eastAsia="en-NZ"/>
              </w:rPr>
              <w:lastRenderedPageBreak/>
              <w:t>reviews by the GP within required timeframes and when their health status changes. There are three GP visits a week and as required. Medical documentation and records reviewed were current. The GP interviewed stated that there was good communication with the service and that they were informed of concerns in a timely manner. The contracted GP is also available on call after hours for the facility. A physiotherapist visits the facility weekly and on request to review residents referred by the registered nurses. There is a physiotherapist assistant available for resident reviews during the week. There is access to a continence specialist as required. A podiatrist visits regularly and a dietitian, speech language therapist, hospice, wound care nurse specialist and medical specialists are available as required through Te Whatu Ora -Waitemata.</w:t>
            </w:r>
          </w:p>
          <w:p w14:paraId="710AA0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most wounds were assessed in a timely manner and reviewed at appropriate intervals. Two residents with multiple wounds each, did not have separate wound management plans in place. Photos were taken where this was required. Where wounds required additional specialist input, this was initiated, and a wound nurse specialist was consulted. At the time of the audit there were 14 active wounds from 11 residents, including two stage II pressure injury. </w:t>
            </w:r>
          </w:p>
          <w:p w14:paraId="3FB238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are recorded following un-witnessed falls; however, not all neurological observations were completed as per policy. A range of monitoring charts are available for the care staff to utilise. These include (but not limited to) monthly blood pressure and weight monitoring, bowel records and repositioning chart; however, some residents did not have regular monitoring completed for blood glucose levels and fluid balance monitoring. The previous audit shortfall (NZS HDSS:2008 # 1.3.6.1) related to monitoring has not been addressed. Staff interviews confirmed they are familiar with the needs of all residents in the facility and that they have access to the supplies and products they require to meet those needs. Staff receive handover at the beginning of their shift. </w:t>
            </w:r>
          </w:p>
          <w:p w14:paraId="34C3CAB4" w14:textId="77777777" w:rsidR="00EB7645" w:rsidRPr="00BE00C7" w:rsidRDefault="00000000" w:rsidP="0088262E">
            <w:pPr>
              <w:pStyle w:val="OutcomeDescription"/>
              <w:spacing w:before="120" w:after="120"/>
              <w:rPr>
                <w:rFonts w:cs="Arial"/>
                <w:lang w:eastAsia="en-NZ"/>
              </w:rPr>
            </w:pPr>
          </w:p>
        </w:tc>
      </w:tr>
      <w:tr w:rsidR="00322F74" w14:paraId="35B35B55" w14:textId="77777777">
        <w:tc>
          <w:tcPr>
            <w:tcW w:w="0" w:type="auto"/>
          </w:tcPr>
          <w:p w14:paraId="10145D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84519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DE74FF3" w14:textId="77777777" w:rsidR="00EB7645" w:rsidRPr="00BE00C7" w:rsidRDefault="00000000" w:rsidP="00BE00C7">
            <w:pPr>
              <w:pStyle w:val="OutcomeDescription"/>
              <w:spacing w:before="120" w:after="120"/>
              <w:rPr>
                <w:rFonts w:cs="Arial"/>
                <w:lang w:eastAsia="en-NZ"/>
              </w:rPr>
            </w:pPr>
          </w:p>
        </w:tc>
        <w:tc>
          <w:tcPr>
            <w:tcW w:w="0" w:type="auto"/>
          </w:tcPr>
          <w:p w14:paraId="7DF2D5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67FD05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policies available for safe medicine management that meet legislative requirements. All staff who administer medications have been </w:t>
            </w:r>
            <w:r w:rsidRPr="00BE00C7">
              <w:rPr>
                <w:rFonts w:cs="Arial"/>
                <w:lang w:eastAsia="en-NZ"/>
              </w:rPr>
              <w:lastRenderedPageBreak/>
              <w:t xml:space="preserve">assessed for competency on an annual basis. Education around safe medication administration has been provided as part of the competency process. Registered nurses have completed syringe driver training. </w:t>
            </w:r>
          </w:p>
          <w:p w14:paraId="70BF3E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rolls for regular medication and blister pack for controlled drugs and short course and bottles for ‘as required’ medications. All medications are checked on delivery against the medication chart and any discrepancies are fed back to the supplying pharmacy. </w:t>
            </w:r>
          </w:p>
          <w:p w14:paraId="73C1C4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The medication fridge and medication room temperatures are monitored daily; however, these were not done consistently. All stored medications are checked weekly. Eyedrops have not always been dated on opening. </w:t>
            </w:r>
          </w:p>
          <w:p w14:paraId="6BA5E9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were no residents self-administering medications; however, there are policies in place should a resident wish to self-administer their medications. No vaccines are kept on site and no standing orders are used. </w:t>
            </w:r>
          </w:p>
          <w:p w14:paraId="5705F3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When medication related incidents occurred, these were investigated and followed up on. </w:t>
            </w:r>
          </w:p>
          <w:p w14:paraId="1A547904" w14:textId="77777777" w:rsidR="00EB7645" w:rsidRPr="00BE00C7" w:rsidRDefault="00000000" w:rsidP="00BE00C7">
            <w:pPr>
              <w:pStyle w:val="OutcomeDescription"/>
              <w:spacing w:before="120" w:after="120"/>
              <w:rPr>
                <w:rFonts w:cs="Arial"/>
                <w:lang w:eastAsia="en-NZ"/>
              </w:rPr>
            </w:pPr>
          </w:p>
        </w:tc>
      </w:tr>
      <w:tr w:rsidR="00322F74" w14:paraId="742A58A4" w14:textId="77777777">
        <w:tc>
          <w:tcPr>
            <w:tcW w:w="0" w:type="auto"/>
          </w:tcPr>
          <w:p w14:paraId="3CC38D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5103F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lastRenderedPageBreak/>
              <w:t>traditional foods.</w:t>
            </w:r>
            <w:r w:rsidRPr="00BE00C7">
              <w:rPr>
                <w:rFonts w:cs="Arial"/>
                <w:lang w:eastAsia="en-NZ"/>
              </w:rPr>
              <w:br/>
              <w:t>As service providers: We ensure people’s nutrition and hydration needs are met to promote and maintain their health and wellbeing.</w:t>
            </w:r>
          </w:p>
          <w:p w14:paraId="4B67A9FC" w14:textId="77777777" w:rsidR="00EB7645" w:rsidRPr="00BE00C7" w:rsidRDefault="00000000" w:rsidP="00BE00C7">
            <w:pPr>
              <w:pStyle w:val="OutcomeDescription"/>
              <w:spacing w:before="120" w:after="120"/>
              <w:rPr>
                <w:rFonts w:cs="Arial"/>
                <w:lang w:eastAsia="en-NZ"/>
              </w:rPr>
            </w:pPr>
          </w:p>
        </w:tc>
        <w:tc>
          <w:tcPr>
            <w:tcW w:w="0" w:type="auto"/>
          </w:tcPr>
          <w:p w14:paraId="62F116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E95F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four-week seasonal menu is reviewed by a registered dietitian. Food preferences and cultural preferences are encompassed into the menu. The kitchen receives resident dietary forms and is notified of any dietary changes for residents. Dislikes and special dietary requirements are accommodated, including food allergies. The kitchen manager interviewed reported they accommodate residents’ requests. Nutritious snacks were available 24/7 in all </w:t>
            </w:r>
            <w:r w:rsidRPr="00BE00C7">
              <w:rPr>
                <w:rFonts w:cs="Arial"/>
                <w:lang w:eastAsia="en-NZ"/>
              </w:rPr>
              <w:lastRenderedPageBreak/>
              <w:t xml:space="preserve">units. </w:t>
            </w:r>
          </w:p>
          <w:p w14:paraId="75064C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19 February 2025. The residents and family/whānau interviewed were complimentary regarding the standard of food provided.</w:t>
            </w:r>
          </w:p>
          <w:p w14:paraId="0DBF04DD" w14:textId="77777777" w:rsidR="00EB7645" w:rsidRPr="00BE00C7" w:rsidRDefault="00000000" w:rsidP="00BE00C7">
            <w:pPr>
              <w:pStyle w:val="OutcomeDescription"/>
              <w:spacing w:before="120" w:after="120"/>
              <w:rPr>
                <w:rFonts w:cs="Arial"/>
                <w:lang w:eastAsia="en-NZ"/>
              </w:rPr>
            </w:pPr>
          </w:p>
        </w:tc>
      </w:tr>
      <w:tr w:rsidR="00322F74" w14:paraId="7DA9D1D5" w14:textId="77777777">
        <w:tc>
          <w:tcPr>
            <w:tcW w:w="0" w:type="auto"/>
          </w:tcPr>
          <w:p w14:paraId="17977A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95386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45EA340" w14:textId="77777777" w:rsidR="00EB7645" w:rsidRPr="00BE00C7" w:rsidRDefault="00000000" w:rsidP="00BE00C7">
            <w:pPr>
              <w:pStyle w:val="OutcomeDescription"/>
              <w:spacing w:before="120" w:after="120"/>
              <w:rPr>
                <w:rFonts w:cs="Arial"/>
                <w:lang w:eastAsia="en-NZ"/>
              </w:rPr>
            </w:pPr>
          </w:p>
        </w:tc>
        <w:tc>
          <w:tcPr>
            <w:tcW w:w="0" w:type="auto"/>
          </w:tcPr>
          <w:p w14:paraId="3DA98C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863B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w:t>
            </w:r>
          </w:p>
          <w:p w14:paraId="34A01DF3" w14:textId="77777777" w:rsidR="00EB7645" w:rsidRPr="00BE00C7" w:rsidRDefault="00000000" w:rsidP="00BE00C7">
            <w:pPr>
              <w:pStyle w:val="OutcomeDescription"/>
              <w:spacing w:before="120" w:after="120"/>
              <w:rPr>
                <w:rFonts w:cs="Arial"/>
                <w:lang w:eastAsia="en-NZ"/>
              </w:rPr>
            </w:pPr>
          </w:p>
        </w:tc>
      </w:tr>
      <w:tr w:rsidR="00322F74" w14:paraId="6EABA49D" w14:textId="77777777">
        <w:tc>
          <w:tcPr>
            <w:tcW w:w="0" w:type="auto"/>
          </w:tcPr>
          <w:p w14:paraId="76E3E16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F4BCE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A4249E8" w14:textId="77777777" w:rsidR="00EB7645" w:rsidRPr="00BE00C7" w:rsidRDefault="00000000" w:rsidP="00BE00C7">
            <w:pPr>
              <w:pStyle w:val="OutcomeDescription"/>
              <w:spacing w:before="120" w:after="120"/>
              <w:rPr>
                <w:rFonts w:cs="Arial"/>
                <w:lang w:eastAsia="en-NZ"/>
              </w:rPr>
            </w:pPr>
          </w:p>
        </w:tc>
        <w:tc>
          <w:tcPr>
            <w:tcW w:w="0" w:type="auto"/>
          </w:tcPr>
          <w:p w14:paraId="1C1A20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5212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Bupa Glenburn and comply with legislation relevant to the health and disability services being provided. The environment is inclusive of people’s cultures and supports cultural practices. </w:t>
            </w:r>
          </w:p>
          <w:p w14:paraId="34AEE1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warrant is current. There is a maintenance request book for repair and maintenance requests located at the front desk. Equipment failure or issues are also recorded in the maintenance book. This is checked daily and signed off when repairs have been completed.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340CEB4C" w14:textId="77777777" w:rsidR="00EB7645" w:rsidRPr="00BE00C7" w:rsidRDefault="00000000" w:rsidP="00BE00C7">
            <w:pPr>
              <w:pStyle w:val="OutcomeDescription"/>
              <w:spacing w:before="120" w:after="120"/>
              <w:rPr>
                <w:rFonts w:cs="Arial"/>
                <w:lang w:eastAsia="en-NZ"/>
              </w:rPr>
            </w:pPr>
          </w:p>
        </w:tc>
      </w:tr>
      <w:tr w:rsidR="00322F74" w14:paraId="7F96C8DD" w14:textId="77777777">
        <w:tc>
          <w:tcPr>
            <w:tcW w:w="0" w:type="auto"/>
          </w:tcPr>
          <w:p w14:paraId="49D70B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9DB60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00B27D1" w14:textId="77777777" w:rsidR="00EB7645" w:rsidRPr="00BE00C7" w:rsidRDefault="00000000" w:rsidP="00BE00C7">
            <w:pPr>
              <w:pStyle w:val="OutcomeDescription"/>
              <w:spacing w:before="120" w:after="120"/>
              <w:rPr>
                <w:rFonts w:cs="Arial"/>
                <w:lang w:eastAsia="en-NZ"/>
              </w:rPr>
            </w:pPr>
          </w:p>
        </w:tc>
        <w:tc>
          <w:tcPr>
            <w:tcW w:w="0" w:type="auto"/>
          </w:tcPr>
          <w:p w14:paraId="57036A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210C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is reviewed, evaluated, and reported on annually. </w:t>
            </w:r>
          </w:p>
          <w:p w14:paraId="43E867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45DE635D" w14:textId="77777777" w:rsidR="00EB7645" w:rsidRPr="00BE00C7" w:rsidRDefault="00000000" w:rsidP="00BE00C7">
            <w:pPr>
              <w:pStyle w:val="OutcomeDescription"/>
              <w:spacing w:before="120" w:after="120"/>
              <w:rPr>
                <w:rFonts w:cs="Arial"/>
                <w:lang w:eastAsia="en-NZ"/>
              </w:rPr>
            </w:pPr>
          </w:p>
        </w:tc>
      </w:tr>
      <w:tr w:rsidR="00322F74" w14:paraId="2DEBA6D0" w14:textId="77777777">
        <w:tc>
          <w:tcPr>
            <w:tcW w:w="0" w:type="auto"/>
          </w:tcPr>
          <w:p w14:paraId="56A4BD9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9096A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9467507" w14:textId="77777777" w:rsidR="00EB7645" w:rsidRPr="00BE00C7" w:rsidRDefault="00000000" w:rsidP="00BE00C7">
            <w:pPr>
              <w:pStyle w:val="OutcomeDescription"/>
              <w:spacing w:before="120" w:after="120"/>
              <w:rPr>
                <w:rFonts w:cs="Arial"/>
                <w:lang w:eastAsia="en-NZ"/>
              </w:rPr>
            </w:pPr>
          </w:p>
        </w:tc>
        <w:tc>
          <w:tcPr>
            <w:tcW w:w="0" w:type="auto"/>
          </w:tcPr>
          <w:p w14:paraId="2F047B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1288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RiskMan register on the electronic database and surveillance of all infections (including organisms) is collated onto a monthly infection summary. This data is monitored and analysed for trends, monthly and annually. Benchmarking occurs with other Bupa facilities. 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Whatu Ora Health- Waitematā. </w:t>
            </w:r>
          </w:p>
          <w:p w14:paraId="141868DD"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technique, and transmission-based precautions. There have been six Covid-19 outbreaks since the previous audit. These were well documented, managed, and reported to Public Health.</w:t>
            </w:r>
          </w:p>
          <w:p w14:paraId="077BA813" w14:textId="77777777" w:rsidR="00EB7645" w:rsidRPr="00BE00C7" w:rsidRDefault="00000000" w:rsidP="00BE00C7">
            <w:pPr>
              <w:pStyle w:val="OutcomeDescription"/>
              <w:spacing w:before="120" w:after="120"/>
              <w:rPr>
                <w:rFonts w:cs="Arial"/>
                <w:lang w:eastAsia="en-NZ"/>
              </w:rPr>
            </w:pPr>
          </w:p>
        </w:tc>
      </w:tr>
      <w:tr w:rsidR="00322F74" w14:paraId="6F571155" w14:textId="77777777">
        <w:tc>
          <w:tcPr>
            <w:tcW w:w="0" w:type="auto"/>
          </w:tcPr>
          <w:p w14:paraId="446B3F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1606B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AFAFB60" w14:textId="77777777" w:rsidR="00EB7645" w:rsidRPr="00BE00C7" w:rsidRDefault="00000000" w:rsidP="00BE00C7">
            <w:pPr>
              <w:pStyle w:val="OutcomeDescription"/>
              <w:spacing w:before="120" w:after="120"/>
              <w:rPr>
                <w:rFonts w:cs="Arial"/>
                <w:lang w:eastAsia="en-NZ"/>
              </w:rPr>
            </w:pPr>
          </w:p>
        </w:tc>
        <w:tc>
          <w:tcPr>
            <w:tcW w:w="0" w:type="auto"/>
          </w:tcPr>
          <w:p w14:paraId="198A6D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9DD9CA"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 standards. The regional restraint group is responsible for the Bupa restraint elimination strategy and for monitoring restraint use in the organisation. Restraint is discussed at the clinical governance and Board level.</w:t>
            </w:r>
          </w:p>
          <w:p w14:paraId="38B8FB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six residents using restraints; two with handholding and T-belt in the psychogeriatric unit; one with T-belt in the psychogeriatric; and three hospital level care residents with bedrails. All documentation including assessments, monitoring, reviews, and updated care plans were in place for the records reviewed. When restraint is used, this is a last resort when all alternatives have been explored. </w:t>
            </w:r>
          </w:p>
          <w:p w14:paraId="2B9D73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 registered nurse who is responsible for the coordination of the approval of the use of restraints and the restraint processes. </w:t>
            </w:r>
          </w:p>
          <w:p w14:paraId="52659F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on orientation and annually for all staff. </w:t>
            </w:r>
          </w:p>
          <w:p w14:paraId="1FA746E2" w14:textId="77777777" w:rsidR="00EB7645" w:rsidRPr="00BE00C7" w:rsidRDefault="00000000" w:rsidP="00BE00C7">
            <w:pPr>
              <w:pStyle w:val="OutcomeDescription"/>
              <w:spacing w:before="120" w:after="120"/>
              <w:rPr>
                <w:rFonts w:cs="Arial"/>
                <w:lang w:eastAsia="en-NZ"/>
              </w:rPr>
            </w:pPr>
          </w:p>
        </w:tc>
      </w:tr>
    </w:tbl>
    <w:p w14:paraId="7A40E3C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66F843E" w14:textId="77777777" w:rsidR="00460D43" w:rsidRDefault="00000000">
      <w:pPr>
        <w:pStyle w:val="Heading1"/>
        <w:rPr>
          <w:rFonts w:cs="Arial"/>
        </w:rPr>
      </w:pPr>
      <w:r>
        <w:rPr>
          <w:rFonts w:cs="Arial"/>
        </w:rPr>
        <w:lastRenderedPageBreak/>
        <w:t>Specific results for criterion where corrective actions are required</w:t>
      </w:r>
    </w:p>
    <w:p w14:paraId="1F30F97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4E02EB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76DEBF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301"/>
        <w:gridCol w:w="3422"/>
        <w:gridCol w:w="3604"/>
        <w:gridCol w:w="2458"/>
      </w:tblGrid>
      <w:tr w:rsidR="00322F74" w14:paraId="019ECA28" w14:textId="77777777">
        <w:tc>
          <w:tcPr>
            <w:tcW w:w="0" w:type="auto"/>
          </w:tcPr>
          <w:p w14:paraId="6F0149E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F7C019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5621B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A58999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07FDC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22F74" w14:paraId="1B33D7C9" w14:textId="77777777">
        <w:tc>
          <w:tcPr>
            <w:tcW w:w="0" w:type="auto"/>
          </w:tcPr>
          <w:p w14:paraId="43BE095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6C7A34C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27470B7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B8E7F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assessments are completed by an RN in partnership with residents and family/whānau. An initial summary care plan is developed within 24 hours of admission to provide guidance for caregivers on care delivery for the residents. One resident who regularly is admitted for respite, had a short stay nursing assessment on file which was last updated in March 2020. There was a short-stay support plan which was last updated December 2019. The admission registered nurse entry in the progress notes did not detail any admission assessment completed for this readmission. The resident has had four separate respite admissions to date in 2023. </w:t>
            </w:r>
          </w:p>
          <w:p w14:paraId="54AD45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For the sample files reviewed, the interRAI assessments were current and have been reviewed six-monthly as per policy. There are policies and procedures that provide guidance on assessment and support planning timeframes and processes. Long-term care plans and evaluations were completed within required timeframes. </w:t>
            </w:r>
          </w:p>
          <w:p w14:paraId="1644C551" w14:textId="77777777" w:rsidR="00EB7645" w:rsidRPr="00BE00C7" w:rsidRDefault="00000000" w:rsidP="00BE00C7">
            <w:pPr>
              <w:pStyle w:val="OutcomeDescription"/>
              <w:spacing w:before="120" w:after="120"/>
              <w:rPr>
                <w:rFonts w:cs="Arial"/>
                <w:lang w:eastAsia="en-NZ"/>
              </w:rPr>
            </w:pPr>
          </w:p>
        </w:tc>
        <w:tc>
          <w:tcPr>
            <w:tcW w:w="0" w:type="auto"/>
          </w:tcPr>
          <w:p w14:paraId="67527D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One dementia level care resident on respite did not have a short-stay nursing assessment and support plan completed/updated since admission three days prior to the audit. The previous assessments and support plan available were last updated 2019 and 2020, respectively. No recent admission weight and observations were evidenced.</w:t>
            </w:r>
          </w:p>
          <w:p w14:paraId="62AD54F4" w14:textId="77777777" w:rsidR="00EB7645" w:rsidRPr="00BE00C7" w:rsidRDefault="00000000" w:rsidP="00BE00C7">
            <w:pPr>
              <w:pStyle w:val="OutcomeDescription"/>
              <w:spacing w:before="120" w:after="120"/>
              <w:rPr>
                <w:rFonts w:cs="Arial"/>
                <w:lang w:eastAsia="en-NZ"/>
              </w:rPr>
            </w:pPr>
          </w:p>
        </w:tc>
        <w:tc>
          <w:tcPr>
            <w:tcW w:w="0" w:type="auto"/>
          </w:tcPr>
          <w:p w14:paraId="2EA10A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assessments are completed in line with policy requirements. </w:t>
            </w:r>
          </w:p>
          <w:p w14:paraId="7319E61D" w14:textId="77777777" w:rsidR="00EB7645" w:rsidRPr="00BE00C7" w:rsidRDefault="00000000" w:rsidP="00BE00C7">
            <w:pPr>
              <w:pStyle w:val="OutcomeDescription"/>
              <w:spacing w:before="120" w:after="120"/>
              <w:rPr>
                <w:rFonts w:cs="Arial"/>
                <w:lang w:eastAsia="en-NZ"/>
              </w:rPr>
            </w:pPr>
          </w:p>
          <w:p w14:paraId="439DE3A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22F74" w14:paraId="3C55CF62" w14:textId="77777777">
        <w:tc>
          <w:tcPr>
            <w:tcW w:w="0" w:type="auto"/>
          </w:tcPr>
          <w:p w14:paraId="2EEA0A7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63A160C2"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w:t>
            </w:r>
            <w:r w:rsidRPr="00BE00C7">
              <w:rPr>
                <w:rFonts w:cs="Arial"/>
                <w:lang w:eastAsia="en-NZ"/>
              </w:rPr>
              <w:lastRenderedPageBreak/>
              <w:t>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109DC47" w14:textId="77777777" w:rsidR="00EB7645" w:rsidRPr="00BE00C7" w:rsidRDefault="00000000" w:rsidP="00BE00C7">
            <w:pPr>
              <w:pStyle w:val="OutcomeDescription"/>
              <w:spacing w:before="120" w:after="120"/>
              <w:rPr>
                <w:rFonts w:cs="Arial"/>
                <w:lang w:eastAsia="en-NZ"/>
              </w:rPr>
            </w:pPr>
          </w:p>
        </w:tc>
        <w:tc>
          <w:tcPr>
            <w:tcW w:w="0" w:type="auto"/>
          </w:tcPr>
          <w:p w14:paraId="325455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862E0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developing resident centred care interventions, and evaluating the care delivery six-monthly or earlier as residents needs change. The service seeks multidisciplinary input as appropriate to the needs of the resident. Care plan evaluations identify progress to meeting goals; however, not all resident records reviewed provided evidence of detailed interventions to provide guidance to care staff in the delivery of care to the residents. Wound management documentation reviewed was not in line with policy expectations. Two residents had weight loss noted on the weight monitoring records and progress notes; however, there was no evidence any strategies documented </w:t>
            </w:r>
            <w:r w:rsidRPr="00BE00C7">
              <w:rPr>
                <w:rFonts w:cs="Arial"/>
                <w:lang w:eastAsia="en-NZ"/>
              </w:rPr>
              <w:lastRenderedPageBreak/>
              <w:t xml:space="preserve">in a care plan to manage the weight loss. </w:t>
            </w:r>
          </w:p>
          <w:p w14:paraId="343F3C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Supplementary documentation reviewed and interviews with resident, family/whānau and care staff identified that the shortfalls noted relates to documentation only and the residents received the required care. </w:t>
            </w:r>
          </w:p>
          <w:p w14:paraId="78FBE56B" w14:textId="77777777" w:rsidR="00EB7645" w:rsidRPr="00BE00C7" w:rsidRDefault="00000000" w:rsidP="00BE00C7">
            <w:pPr>
              <w:pStyle w:val="OutcomeDescription"/>
              <w:spacing w:before="120" w:after="120"/>
              <w:rPr>
                <w:rFonts w:cs="Arial"/>
                <w:lang w:eastAsia="en-NZ"/>
              </w:rPr>
            </w:pPr>
          </w:p>
        </w:tc>
        <w:tc>
          <w:tcPr>
            <w:tcW w:w="0" w:type="auto"/>
          </w:tcPr>
          <w:p w14:paraId="729D43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Two rest home residents assessed as high falls risk did not have detailed interventions in the care plan to manage the risk. </w:t>
            </w:r>
          </w:p>
          <w:p w14:paraId="1622AD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rest home resident with wandering risk and having had incidents related to such, did not have detailed interventions to support the resident. </w:t>
            </w:r>
          </w:p>
          <w:p w14:paraId="4B58AF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hospital level care resident with complex medical conditions did not have detailed interventions to manage their pain. </w:t>
            </w:r>
          </w:p>
          <w:p w14:paraId="245618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There were no interventions documented in a care plan for two rest home level care residents with weight loss. </w:t>
            </w:r>
          </w:p>
          <w:p w14:paraId="15E60B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Three of six wound care documentation reviewed was incomplete with no wound assessment and no management plans completed. </w:t>
            </w:r>
          </w:p>
          <w:p w14:paraId="35573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 One rest home resident with a catheter did not have a continence </w:t>
            </w:r>
            <w:r w:rsidRPr="00BE00C7">
              <w:rPr>
                <w:rFonts w:cs="Arial"/>
                <w:lang w:eastAsia="en-NZ"/>
              </w:rPr>
              <w:lastRenderedPageBreak/>
              <w:t>assessment completed and subsequent management plan since March 2023.</w:t>
            </w:r>
          </w:p>
          <w:p w14:paraId="6CFD50E9" w14:textId="77777777" w:rsidR="00EB7645" w:rsidRPr="00BE00C7" w:rsidRDefault="00000000" w:rsidP="00BE00C7">
            <w:pPr>
              <w:pStyle w:val="OutcomeDescription"/>
              <w:spacing w:before="120" w:after="120"/>
              <w:rPr>
                <w:rFonts w:cs="Arial"/>
                <w:lang w:eastAsia="en-NZ"/>
              </w:rPr>
            </w:pPr>
          </w:p>
        </w:tc>
        <w:tc>
          <w:tcPr>
            <w:tcW w:w="0" w:type="auto"/>
          </w:tcPr>
          <w:p w14:paraId="4D15DF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(i-iii) Ensure care plans have detailed interventions documented to provide guidance to staff on care management and are updated to reflect changes to resident needs and management plan. </w:t>
            </w:r>
          </w:p>
          <w:p w14:paraId="5B3777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Ensure interventions are documented in a care plan for acute issues as guided by the policy. </w:t>
            </w:r>
          </w:p>
          <w:p w14:paraId="79EA23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Ensure wound documentation is in line with policy. </w:t>
            </w:r>
          </w:p>
          <w:p w14:paraId="265F64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 Ensure continence assessments and management plans are documented to guide staff. </w:t>
            </w:r>
          </w:p>
          <w:p w14:paraId="349C5522" w14:textId="77777777" w:rsidR="00EB7645" w:rsidRPr="00BE00C7" w:rsidRDefault="00000000" w:rsidP="00BE00C7">
            <w:pPr>
              <w:pStyle w:val="OutcomeDescription"/>
              <w:spacing w:before="120" w:after="120"/>
              <w:rPr>
                <w:rFonts w:cs="Arial"/>
                <w:lang w:eastAsia="en-NZ"/>
              </w:rPr>
            </w:pPr>
          </w:p>
          <w:p w14:paraId="6C7AC1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90 days</w:t>
            </w:r>
          </w:p>
        </w:tc>
      </w:tr>
      <w:tr w:rsidR="00322F74" w14:paraId="5B06281C" w14:textId="77777777">
        <w:tc>
          <w:tcPr>
            <w:tcW w:w="0" w:type="auto"/>
          </w:tcPr>
          <w:p w14:paraId="4301AF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3.2.4</w:t>
            </w:r>
          </w:p>
          <w:p w14:paraId="32B8A2F8"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w:t>
            </w:r>
            <w:r w:rsidRPr="00BE00C7">
              <w:rPr>
                <w:rFonts w:cs="Arial"/>
                <w:lang w:eastAsia="en-NZ"/>
              </w:rPr>
              <w:lastRenderedPageBreak/>
              <w:t>assessments are an ongoing process and that any changes are documented.</w:t>
            </w:r>
          </w:p>
          <w:p w14:paraId="7050C966" w14:textId="77777777" w:rsidR="00EB7645" w:rsidRPr="00BE00C7" w:rsidRDefault="00000000" w:rsidP="00BE00C7">
            <w:pPr>
              <w:pStyle w:val="OutcomeDescription"/>
              <w:spacing w:before="120" w:after="120"/>
              <w:rPr>
                <w:rFonts w:cs="Arial"/>
                <w:lang w:eastAsia="en-NZ"/>
              </w:rPr>
            </w:pPr>
          </w:p>
        </w:tc>
        <w:tc>
          <w:tcPr>
            <w:tcW w:w="0" w:type="auto"/>
          </w:tcPr>
          <w:p w14:paraId="664B4E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21FEA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comprehensive policies related to assessment, support planning and care evaluation. A range of monitoring charts are available for the care staff to utilise. Monthly observations such as weight and blood pressure were completed and are up to date. However, not all resident records reviewed provided evidence of monitoring records such as, blood glucose levels, cast monitoring, fluid intake and output and neurological observations being completed as per care plan and neurological observations were not always completed as per policy.</w:t>
            </w:r>
          </w:p>
          <w:p w14:paraId="4D7371B6" w14:textId="77777777" w:rsidR="00EB7645" w:rsidRPr="00BE00C7" w:rsidRDefault="00000000" w:rsidP="00BE00C7">
            <w:pPr>
              <w:pStyle w:val="OutcomeDescription"/>
              <w:spacing w:before="120" w:after="120"/>
              <w:rPr>
                <w:rFonts w:cs="Arial"/>
                <w:lang w:eastAsia="en-NZ"/>
              </w:rPr>
            </w:pPr>
          </w:p>
        </w:tc>
        <w:tc>
          <w:tcPr>
            <w:tcW w:w="0" w:type="auto"/>
          </w:tcPr>
          <w:p w14:paraId="60DE24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One rest home resident did not have cast monitoring completed as per policy for the duration of the time that they had the cast in place. Same resident did not have the fluid balance monitoring chart completed as per care plan. </w:t>
            </w:r>
          </w:p>
          <w:p w14:paraId="453912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rest home resident with heart failure and on fluid restriction did not have a monitoring chart in place. Blood glucose levels for the same resident were not monitored consistently as per care plan and GP instructions. </w:t>
            </w:r>
          </w:p>
          <w:p w14:paraId="398D0E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hospital resident with supra pubic catheter did not have output consistently monitored and recorded as per care plan. </w:t>
            </w:r>
          </w:p>
          <w:p w14:paraId="7360AE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Four of ten neurological observations were not completed according to policy. </w:t>
            </w:r>
          </w:p>
          <w:p w14:paraId="5F12B9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(v). There were two wounds documented on the same wound chart for two residents. </w:t>
            </w:r>
          </w:p>
          <w:p w14:paraId="6C7145FF" w14:textId="77777777" w:rsidR="00EB7645" w:rsidRPr="00BE00C7" w:rsidRDefault="00000000" w:rsidP="00BE00C7">
            <w:pPr>
              <w:pStyle w:val="OutcomeDescription"/>
              <w:spacing w:before="120" w:after="120"/>
              <w:rPr>
                <w:rFonts w:cs="Arial"/>
                <w:lang w:eastAsia="en-NZ"/>
              </w:rPr>
            </w:pPr>
          </w:p>
        </w:tc>
        <w:tc>
          <w:tcPr>
            <w:tcW w:w="0" w:type="auto"/>
          </w:tcPr>
          <w:p w14:paraId="50974B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 (v). Ensure monitoring records are completed as per care plan and policy requirements. </w:t>
            </w:r>
          </w:p>
          <w:p w14:paraId="5732EED9" w14:textId="77777777" w:rsidR="00EB7645" w:rsidRPr="00BE00C7" w:rsidRDefault="00000000" w:rsidP="00BE00C7">
            <w:pPr>
              <w:pStyle w:val="OutcomeDescription"/>
              <w:spacing w:before="120" w:after="120"/>
              <w:rPr>
                <w:rFonts w:cs="Arial"/>
                <w:lang w:eastAsia="en-NZ"/>
              </w:rPr>
            </w:pPr>
          </w:p>
          <w:p w14:paraId="5801E04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22F74" w14:paraId="03CB487E" w14:textId="77777777">
        <w:tc>
          <w:tcPr>
            <w:tcW w:w="0" w:type="auto"/>
          </w:tcPr>
          <w:p w14:paraId="163DA0F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55555263"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546895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E0EAA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and medication competent caregivers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However, medication room and fridge temperature monitoring and documentation was not consistently demonstrating compliance with policy, standards, and legislative requirements. Staff were not always dating the eye drops on opening. Staff have received training related to medicine management and medication related audits have been completed in line with the audit schedule.</w:t>
            </w:r>
          </w:p>
          <w:p w14:paraId="53B8E4FB" w14:textId="77777777" w:rsidR="00EB7645" w:rsidRPr="00BE00C7" w:rsidRDefault="00000000" w:rsidP="00BE00C7">
            <w:pPr>
              <w:pStyle w:val="OutcomeDescription"/>
              <w:spacing w:before="120" w:after="120"/>
              <w:rPr>
                <w:rFonts w:cs="Arial"/>
                <w:lang w:eastAsia="en-NZ"/>
              </w:rPr>
            </w:pPr>
          </w:p>
        </w:tc>
        <w:tc>
          <w:tcPr>
            <w:tcW w:w="0" w:type="auto"/>
          </w:tcPr>
          <w:p w14:paraId="773566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Medication room and fridge temperatures are not monitored and recorded consistently as per policy for two (Kowhai and Manuka) of four treatment rooms. </w:t>
            </w:r>
          </w:p>
          <w:p w14:paraId="56ADC7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Eye drops have not been consistently dated on opening in all four medication trolleys. </w:t>
            </w:r>
          </w:p>
          <w:p w14:paraId="63C21A7F" w14:textId="77777777" w:rsidR="00EB7645" w:rsidRPr="00BE00C7" w:rsidRDefault="00000000" w:rsidP="00BE00C7">
            <w:pPr>
              <w:pStyle w:val="OutcomeDescription"/>
              <w:spacing w:before="120" w:after="120"/>
              <w:rPr>
                <w:rFonts w:cs="Arial"/>
                <w:lang w:eastAsia="en-NZ"/>
              </w:rPr>
            </w:pPr>
          </w:p>
        </w:tc>
        <w:tc>
          <w:tcPr>
            <w:tcW w:w="0" w:type="auto"/>
          </w:tcPr>
          <w:p w14:paraId="287F6D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that medication room and fridge temperature monitoring is completed. </w:t>
            </w:r>
          </w:p>
          <w:p w14:paraId="3B8864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eye drops are dated on opening. </w:t>
            </w:r>
          </w:p>
          <w:p w14:paraId="7A779F88" w14:textId="77777777" w:rsidR="00EB7645" w:rsidRPr="00BE00C7" w:rsidRDefault="00000000" w:rsidP="00BE00C7">
            <w:pPr>
              <w:pStyle w:val="OutcomeDescription"/>
              <w:spacing w:before="120" w:after="120"/>
              <w:rPr>
                <w:rFonts w:cs="Arial"/>
                <w:lang w:eastAsia="en-NZ"/>
              </w:rPr>
            </w:pPr>
          </w:p>
          <w:p w14:paraId="5A302369"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28A8B8F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BCD394B" w14:textId="77777777" w:rsidR="00460D43" w:rsidRDefault="00000000">
      <w:pPr>
        <w:pStyle w:val="Heading1"/>
        <w:rPr>
          <w:rFonts w:cs="Arial"/>
        </w:rPr>
      </w:pPr>
      <w:r>
        <w:rPr>
          <w:rFonts w:cs="Arial"/>
        </w:rPr>
        <w:lastRenderedPageBreak/>
        <w:t>Specific results for criterion where a continuous improvement has been recorded</w:t>
      </w:r>
    </w:p>
    <w:p w14:paraId="3B1BD05B"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515124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w:t>
      </w:r>
      <w:r w:rsidRPr="00FB778F">
        <w:rPr>
          <w:rFonts w:cs="Arial"/>
          <w:sz w:val="24"/>
          <w:lang w:eastAsia="en-NZ"/>
        </w:rPr>
        <w:t xml:space="preserve">in Section 1: Our rights. </w:t>
      </w:r>
    </w:p>
    <w:p w14:paraId="046B9BE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22F74" w14:paraId="28B2BAB1" w14:textId="77777777">
        <w:tc>
          <w:tcPr>
            <w:tcW w:w="0" w:type="auto"/>
          </w:tcPr>
          <w:p w14:paraId="2F49439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BB0F309"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E689F3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8158" w14:textId="77777777" w:rsidR="007E3246" w:rsidRDefault="007E3246">
      <w:r>
        <w:separator/>
      </w:r>
    </w:p>
  </w:endnote>
  <w:endnote w:type="continuationSeparator" w:id="0">
    <w:p w14:paraId="48C481E5" w14:textId="77777777" w:rsidR="007E3246" w:rsidRDefault="007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AA89" w14:textId="77777777" w:rsidR="000B00BC" w:rsidRDefault="00000000">
    <w:pPr>
      <w:pStyle w:val="Footer"/>
    </w:pPr>
  </w:p>
  <w:p w14:paraId="54DD3E48" w14:textId="77777777" w:rsidR="005A4A55" w:rsidRDefault="00000000"/>
  <w:p w14:paraId="46AB3B4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55D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Glenburn Rest Home &amp; Hospital</w:t>
    </w:r>
    <w:bookmarkEnd w:id="59"/>
    <w:r>
      <w:rPr>
        <w:rFonts w:cs="Arial"/>
        <w:sz w:val="16"/>
        <w:szCs w:val="20"/>
      </w:rPr>
      <w:tab/>
      <w:t xml:space="preserve">Date of Audit: </w:t>
    </w:r>
    <w:bookmarkStart w:id="60" w:name="AuditStartDate1"/>
    <w:r>
      <w:rPr>
        <w:rFonts w:cs="Arial"/>
        <w:sz w:val="16"/>
        <w:szCs w:val="20"/>
      </w:rPr>
      <w:t>21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5DA46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BFE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FDCB" w14:textId="77777777" w:rsidR="007E3246" w:rsidRDefault="007E3246">
      <w:r>
        <w:separator/>
      </w:r>
    </w:p>
  </w:footnote>
  <w:footnote w:type="continuationSeparator" w:id="0">
    <w:p w14:paraId="7CD2A70F" w14:textId="77777777" w:rsidR="007E3246" w:rsidRDefault="007E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6C32" w14:textId="77777777" w:rsidR="000B00BC" w:rsidRDefault="00000000">
    <w:pPr>
      <w:pStyle w:val="Header"/>
    </w:pPr>
  </w:p>
  <w:p w14:paraId="12638D1D"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70B8" w14:textId="77777777" w:rsidR="000B00BC" w:rsidRDefault="00000000">
    <w:pPr>
      <w:pStyle w:val="Header"/>
    </w:pPr>
  </w:p>
  <w:p w14:paraId="572614F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908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BD05644">
      <w:start w:val="1"/>
      <w:numFmt w:val="decimal"/>
      <w:lvlText w:val="%1."/>
      <w:lvlJc w:val="left"/>
      <w:pPr>
        <w:ind w:left="360" w:hanging="360"/>
      </w:pPr>
    </w:lvl>
    <w:lvl w:ilvl="1" w:tplc="E594DBD4" w:tentative="1">
      <w:start w:val="1"/>
      <w:numFmt w:val="lowerLetter"/>
      <w:lvlText w:val="%2."/>
      <w:lvlJc w:val="left"/>
      <w:pPr>
        <w:ind w:left="1080" w:hanging="360"/>
      </w:pPr>
    </w:lvl>
    <w:lvl w:ilvl="2" w:tplc="D042FC24" w:tentative="1">
      <w:start w:val="1"/>
      <w:numFmt w:val="lowerRoman"/>
      <w:lvlText w:val="%3."/>
      <w:lvlJc w:val="right"/>
      <w:pPr>
        <w:ind w:left="1800" w:hanging="180"/>
      </w:pPr>
    </w:lvl>
    <w:lvl w:ilvl="3" w:tplc="9CA291BA" w:tentative="1">
      <w:start w:val="1"/>
      <w:numFmt w:val="decimal"/>
      <w:lvlText w:val="%4."/>
      <w:lvlJc w:val="left"/>
      <w:pPr>
        <w:ind w:left="2520" w:hanging="360"/>
      </w:pPr>
    </w:lvl>
    <w:lvl w:ilvl="4" w:tplc="37121722" w:tentative="1">
      <w:start w:val="1"/>
      <w:numFmt w:val="lowerLetter"/>
      <w:lvlText w:val="%5."/>
      <w:lvlJc w:val="left"/>
      <w:pPr>
        <w:ind w:left="3240" w:hanging="360"/>
      </w:pPr>
    </w:lvl>
    <w:lvl w:ilvl="5" w:tplc="CDE8E708" w:tentative="1">
      <w:start w:val="1"/>
      <w:numFmt w:val="lowerRoman"/>
      <w:lvlText w:val="%6."/>
      <w:lvlJc w:val="right"/>
      <w:pPr>
        <w:ind w:left="3960" w:hanging="180"/>
      </w:pPr>
    </w:lvl>
    <w:lvl w:ilvl="6" w:tplc="E528ADAA" w:tentative="1">
      <w:start w:val="1"/>
      <w:numFmt w:val="decimal"/>
      <w:lvlText w:val="%7."/>
      <w:lvlJc w:val="left"/>
      <w:pPr>
        <w:ind w:left="4680" w:hanging="360"/>
      </w:pPr>
    </w:lvl>
    <w:lvl w:ilvl="7" w:tplc="CA246DC6" w:tentative="1">
      <w:start w:val="1"/>
      <w:numFmt w:val="lowerLetter"/>
      <w:lvlText w:val="%8."/>
      <w:lvlJc w:val="left"/>
      <w:pPr>
        <w:ind w:left="5400" w:hanging="360"/>
      </w:pPr>
    </w:lvl>
    <w:lvl w:ilvl="8" w:tplc="D44052B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E02C852">
      <w:start w:val="1"/>
      <w:numFmt w:val="bullet"/>
      <w:lvlText w:val=""/>
      <w:lvlJc w:val="left"/>
      <w:pPr>
        <w:ind w:left="720" w:hanging="360"/>
      </w:pPr>
      <w:rPr>
        <w:rFonts w:ascii="Symbol" w:hAnsi="Symbol" w:hint="default"/>
      </w:rPr>
    </w:lvl>
    <w:lvl w:ilvl="1" w:tplc="6F9E58A6" w:tentative="1">
      <w:start w:val="1"/>
      <w:numFmt w:val="bullet"/>
      <w:lvlText w:val="o"/>
      <w:lvlJc w:val="left"/>
      <w:pPr>
        <w:ind w:left="1440" w:hanging="360"/>
      </w:pPr>
      <w:rPr>
        <w:rFonts w:ascii="Courier New" w:hAnsi="Courier New" w:cs="Courier New" w:hint="default"/>
      </w:rPr>
    </w:lvl>
    <w:lvl w:ilvl="2" w:tplc="46884A88" w:tentative="1">
      <w:start w:val="1"/>
      <w:numFmt w:val="bullet"/>
      <w:lvlText w:val=""/>
      <w:lvlJc w:val="left"/>
      <w:pPr>
        <w:ind w:left="2160" w:hanging="360"/>
      </w:pPr>
      <w:rPr>
        <w:rFonts w:ascii="Wingdings" w:hAnsi="Wingdings" w:hint="default"/>
      </w:rPr>
    </w:lvl>
    <w:lvl w:ilvl="3" w:tplc="A09C1208" w:tentative="1">
      <w:start w:val="1"/>
      <w:numFmt w:val="bullet"/>
      <w:lvlText w:val=""/>
      <w:lvlJc w:val="left"/>
      <w:pPr>
        <w:ind w:left="2880" w:hanging="360"/>
      </w:pPr>
      <w:rPr>
        <w:rFonts w:ascii="Symbol" w:hAnsi="Symbol" w:hint="default"/>
      </w:rPr>
    </w:lvl>
    <w:lvl w:ilvl="4" w:tplc="28F8089E" w:tentative="1">
      <w:start w:val="1"/>
      <w:numFmt w:val="bullet"/>
      <w:lvlText w:val="o"/>
      <w:lvlJc w:val="left"/>
      <w:pPr>
        <w:ind w:left="3600" w:hanging="360"/>
      </w:pPr>
      <w:rPr>
        <w:rFonts w:ascii="Courier New" w:hAnsi="Courier New" w:cs="Courier New" w:hint="default"/>
      </w:rPr>
    </w:lvl>
    <w:lvl w:ilvl="5" w:tplc="13249506" w:tentative="1">
      <w:start w:val="1"/>
      <w:numFmt w:val="bullet"/>
      <w:lvlText w:val=""/>
      <w:lvlJc w:val="left"/>
      <w:pPr>
        <w:ind w:left="4320" w:hanging="360"/>
      </w:pPr>
      <w:rPr>
        <w:rFonts w:ascii="Wingdings" w:hAnsi="Wingdings" w:hint="default"/>
      </w:rPr>
    </w:lvl>
    <w:lvl w:ilvl="6" w:tplc="8EBC6FAC" w:tentative="1">
      <w:start w:val="1"/>
      <w:numFmt w:val="bullet"/>
      <w:lvlText w:val=""/>
      <w:lvlJc w:val="left"/>
      <w:pPr>
        <w:ind w:left="5040" w:hanging="360"/>
      </w:pPr>
      <w:rPr>
        <w:rFonts w:ascii="Symbol" w:hAnsi="Symbol" w:hint="default"/>
      </w:rPr>
    </w:lvl>
    <w:lvl w:ilvl="7" w:tplc="857A2FB4" w:tentative="1">
      <w:start w:val="1"/>
      <w:numFmt w:val="bullet"/>
      <w:lvlText w:val="o"/>
      <w:lvlJc w:val="left"/>
      <w:pPr>
        <w:ind w:left="5760" w:hanging="360"/>
      </w:pPr>
      <w:rPr>
        <w:rFonts w:ascii="Courier New" w:hAnsi="Courier New" w:cs="Courier New" w:hint="default"/>
      </w:rPr>
    </w:lvl>
    <w:lvl w:ilvl="8" w:tplc="5810FA6C" w:tentative="1">
      <w:start w:val="1"/>
      <w:numFmt w:val="bullet"/>
      <w:lvlText w:val=""/>
      <w:lvlJc w:val="left"/>
      <w:pPr>
        <w:ind w:left="6480" w:hanging="360"/>
      </w:pPr>
      <w:rPr>
        <w:rFonts w:ascii="Wingdings" w:hAnsi="Wingdings" w:hint="default"/>
      </w:rPr>
    </w:lvl>
  </w:abstractNum>
  <w:num w:numId="1" w16cid:durableId="469788017">
    <w:abstractNumId w:val="1"/>
  </w:num>
  <w:num w:numId="2" w16cid:durableId="64227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74"/>
    <w:rsid w:val="00322F74"/>
    <w:rsid w:val="007E3246"/>
    <w:rsid w:val="008826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3211"/>
  <w15:docId w15:val="{1B4966AE-1BEF-431A-AD01-BE63F525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9014</Words>
  <Characters>51384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2023-11-26T21:30:00Z</dcterms:created>
  <dcterms:modified xsi:type="dcterms:W3CDTF">2023-11-26T21:30:00Z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