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1D15" w14:textId="77777777" w:rsidR="00460D43" w:rsidRDefault="0035159F">
      <w:pPr>
        <w:pStyle w:val="Heading1"/>
        <w:rPr>
          <w:rFonts w:cs="Arial"/>
        </w:rPr>
      </w:pPr>
      <w:bookmarkStart w:id="0" w:name="PRMS_RIName"/>
      <w:r>
        <w:rPr>
          <w:rFonts w:cs="Arial"/>
        </w:rPr>
        <w:t>Phantom 2021 Limited - Thornbury House</w:t>
      </w:r>
      <w:bookmarkEnd w:id="0"/>
    </w:p>
    <w:p w14:paraId="47E6669A" w14:textId="77777777" w:rsidR="00460D43" w:rsidRDefault="0035159F">
      <w:pPr>
        <w:pStyle w:val="Heading2"/>
        <w:spacing w:after="0"/>
        <w:rPr>
          <w:rFonts w:cs="Arial"/>
        </w:rPr>
      </w:pPr>
      <w:r>
        <w:rPr>
          <w:rFonts w:cs="Arial"/>
        </w:rPr>
        <w:t>Introduction</w:t>
      </w:r>
    </w:p>
    <w:p w14:paraId="6CFAEFB8" w14:textId="77777777" w:rsidR="00460D43" w:rsidRDefault="0035159F">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1CB5483" w14:textId="77777777" w:rsidR="00460D43" w:rsidRDefault="0035159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0760A5F" w14:textId="77777777" w:rsidR="00460D43" w:rsidRDefault="0035159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B789DD3" w14:textId="77777777" w:rsidR="00460D43" w:rsidRDefault="0035159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D4B9427" w14:textId="77777777" w:rsidR="00460D43" w:rsidRDefault="0035159F">
      <w:pPr>
        <w:spacing w:before="240" w:after="240"/>
        <w:rPr>
          <w:rFonts w:cs="Arial"/>
          <w:lang w:eastAsia="en-NZ"/>
        </w:rPr>
      </w:pPr>
      <w:r>
        <w:rPr>
          <w:rFonts w:cs="Arial"/>
          <w:lang w:eastAsia="en-NZ"/>
        </w:rPr>
        <w:t>The specifics of this audit included:</w:t>
      </w:r>
    </w:p>
    <w:p w14:paraId="277F503F" w14:textId="77777777" w:rsidR="009D18F5" w:rsidRPr="009D18F5" w:rsidRDefault="00162824" w:rsidP="009D18F5">
      <w:pPr>
        <w:pBdr>
          <w:top w:val="single" w:sz="4" w:space="1" w:color="auto"/>
          <w:left w:val="single" w:sz="4" w:space="4" w:color="auto"/>
          <w:bottom w:val="single" w:sz="4" w:space="1" w:color="auto"/>
          <w:right w:val="single" w:sz="4" w:space="4" w:color="auto"/>
        </w:pBdr>
        <w:rPr>
          <w:rFonts w:cs="Arial"/>
        </w:rPr>
      </w:pPr>
    </w:p>
    <w:p w14:paraId="5A363D94" w14:textId="77777777" w:rsidR="005A5115" w:rsidRPr="009418D4" w:rsidRDefault="003515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Phantom 2021 Limited</w:t>
      </w:r>
      <w:bookmarkEnd w:id="4"/>
    </w:p>
    <w:p w14:paraId="6DE5358C" w14:textId="77777777" w:rsidR="005A5115" w:rsidRPr="009418D4" w:rsidRDefault="003515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Thornbury House</w:t>
      </w:r>
      <w:bookmarkEnd w:id="5"/>
    </w:p>
    <w:p w14:paraId="0D443373" w14:textId="77777777" w:rsidR="005A5115" w:rsidRPr="009418D4" w:rsidRDefault="003515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C76725C" w14:textId="77777777" w:rsidR="005A5115" w:rsidRPr="009418D4" w:rsidRDefault="003515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November 2022</w:t>
      </w:r>
      <w:bookmarkEnd w:id="7"/>
      <w:r w:rsidRPr="009418D4">
        <w:rPr>
          <w:rFonts w:cs="Arial"/>
        </w:rPr>
        <w:tab/>
        <w:t xml:space="preserve">End date: </w:t>
      </w:r>
      <w:bookmarkStart w:id="8" w:name="AuditEndDate"/>
      <w:r>
        <w:rPr>
          <w:rFonts w:cs="Arial"/>
        </w:rPr>
        <w:t>16 November 2022</w:t>
      </w:r>
      <w:bookmarkEnd w:id="8"/>
    </w:p>
    <w:p w14:paraId="370DF403" w14:textId="77777777" w:rsidR="005A5115" w:rsidRPr="009418D4" w:rsidRDefault="003515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56E099" w14:textId="77777777" w:rsidR="00832CE9" w:rsidRPr="009418D4" w:rsidRDefault="003515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78F30853" w14:textId="77777777" w:rsidR="009D18F5" w:rsidRDefault="00162824" w:rsidP="009D18F5">
      <w:pPr>
        <w:pBdr>
          <w:top w:val="single" w:sz="4" w:space="1" w:color="auto"/>
          <w:left w:val="single" w:sz="4" w:space="4" w:color="auto"/>
          <w:bottom w:val="single" w:sz="4" w:space="1" w:color="auto"/>
          <w:right w:val="single" w:sz="4" w:space="4" w:color="auto"/>
        </w:pBdr>
        <w:rPr>
          <w:rFonts w:cs="Arial"/>
          <w:lang w:eastAsia="en-NZ"/>
        </w:rPr>
      </w:pPr>
    </w:p>
    <w:p w14:paraId="1E934194" w14:textId="77777777" w:rsidR="00460D43" w:rsidRDefault="0035159F">
      <w:pPr>
        <w:pStyle w:val="Heading1"/>
        <w:rPr>
          <w:rFonts w:cs="Arial"/>
        </w:rPr>
      </w:pPr>
      <w:r>
        <w:rPr>
          <w:rFonts w:cs="Arial"/>
        </w:rPr>
        <w:lastRenderedPageBreak/>
        <w:t>Executive summary of the audit</w:t>
      </w:r>
    </w:p>
    <w:p w14:paraId="12479420" w14:textId="77777777" w:rsidR="00460D43" w:rsidRDefault="0035159F">
      <w:pPr>
        <w:pStyle w:val="Heading2"/>
        <w:rPr>
          <w:rFonts w:cs="Arial"/>
        </w:rPr>
      </w:pPr>
      <w:r>
        <w:rPr>
          <w:rFonts w:cs="Arial"/>
        </w:rPr>
        <w:t>Introduction</w:t>
      </w:r>
    </w:p>
    <w:p w14:paraId="5F0A3C6E" w14:textId="77777777" w:rsidR="00460D43" w:rsidRDefault="0035159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6BD39A1" w14:textId="77777777" w:rsidR="00FB778F" w:rsidRDefault="003515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589E05" w14:textId="77777777" w:rsidR="00FB778F" w:rsidRDefault="0035159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B2F911" w14:textId="77777777" w:rsidR="00FB778F" w:rsidRDefault="0035159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B09AD15" w14:textId="77777777" w:rsidR="00FB778F" w:rsidRDefault="0035159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D41E966" w14:textId="77777777" w:rsidR="00FB778F" w:rsidRDefault="0035159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4A3E81E" w14:textId="77777777" w:rsidR="00FB778F" w:rsidRDefault="003515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C244D88" w14:textId="2943F994" w:rsidR="00460D43" w:rsidRDefault="00162824">
      <w:pPr>
        <w:spacing w:after="240"/>
        <w:rPr>
          <w:rFonts w:cs="Arial"/>
          <w:b/>
        </w:rPr>
      </w:pPr>
    </w:p>
    <w:p w14:paraId="4A4BB72E" w14:textId="77777777" w:rsidR="00460D43" w:rsidRDefault="0035159F">
      <w:pPr>
        <w:pStyle w:val="Heading2"/>
        <w:spacing w:after="0"/>
        <w:rPr>
          <w:rFonts w:cs="Arial"/>
        </w:rPr>
      </w:pPr>
      <w:r>
        <w:rPr>
          <w:rFonts w:cs="Arial"/>
        </w:rPr>
        <w:t>General overview of the audit</w:t>
      </w:r>
    </w:p>
    <w:p w14:paraId="55BF3EF2" w14:textId="77777777" w:rsidR="00E536CC" w:rsidRDefault="0035159F">
      <w:pPr>
        <w:spacing w:before="240" w:line="276" w:lineRule="auto"/>
        <w:rPr>
          <w:rFonts w:eastAsia="Calibri"/>
        </w:rPr>
      </w:pPr>
      <w:bookmarkStart w:id="13" w:name="GeneralOverview"/>
      <w:r w:rsidRPr="00A4268A">
        <w:rPr>
          <w:rFonts w:eastAsia="Calibri"/>
        </w:rPr>
        <w:t xml:space="preserve">Thornbury House is one of four age care facilities owned by Elsdon Enterprises Limited in Dunedin. Thornbury House provides dementia level of care for up to 33 residents, with 29 residents on the day of audit. </w:t>
      </w:r>
    </w:p>
    <w:p w14:paraId="24DE9E96" w14:textId="77777777" w:rsidR="00832CE9" w:rsidRPr="00A4268A" w:rsidRDefault="0035159F">
      <w:pPr>
        <w:spacing w:before="240" w:line="276" w:lineRule="auto"/>
        <w:rPr>
          <w:rFonts w:eastAsia="Calibri"/>
        </w:rPr>
      </w:pPr>
      <w:r w:rsidRPr="00A4268A">
        <w:rPr>
          <w:rFonts w:eastAsia="Calibri"/>
        </w:rPr>
        <w:t xml:space="preserve">This provisional audit was undertaken to establish the level of preparedness of a prospective provider to provide a health and disability service and to assess the level of conformity of the current provider prior to the facility being purchased. The audit was conducted against the Ngā Paerewa Health and Disability Services Standard, and contracts with Te Whatu Ora New Zealand- Southern. The audit process included the review of policies and procedures; sampling of resident and staff files; observations; and interviews with family members, management, staff, and a general practitioner. </w:t>
      </w:r>
    </w:p>
    <w:p w14:paraId="0B769DB6" w14:textId="77777777" w:rsidR="00832CE9" w:rsidRPr="00A4268A" w:rsidRDefault="0035159F">
      <w:pPr>
        <w:spacing w:before="240" w:line="276" w:lineRule="auto"/>
        <w:rPr>
          <w:rFonts w:eastAsia="Calibri"/>
        </w:rPr>
      </w:pPr>
      <w:r w:rsidRPr="00A4268A">
        <w:rPr>
          <w:rFonts w:eastAsia="Calibri"/>
        </w:rPr>
        <w:t xml:space="preserve">The manager is non-clinical and has experience in aged care. They are supported by a registered nurse and a team of long standing staff. </w:t>
      </w:r>
    </w:p>
    <w:p w14:paraId="608D11F4" w14:textId="77777777" w:rsidR="00832CE9" w:rsidRPr="00A4268A" w:rsidRDefault="0035159F">
      <w:pPr>
        <w:spacing w:before="240" w:line="276" w:lineRule="auto"/>
        <w:rPr>
          <w:rFonts w:eastAsia="Calibri"/>
        </w:rPr>
      </w:pPr>
      <w:r w:rsidRPr="00A4268A">
        <w:rPr>
          <w:rFonts w:eastAsia="Calibri"/>
        </w:rPr>
        <w:lastRenderedPageBreak/>
        <w:t xml:space="preserve">The prospective owners are based in Milton and have previously been directors in Elsdon Enterprises (current owner). The prospective owners have managed an age care facility in Milton since December 2021, and previously managed the facility for seven years prior to ownership. Both of the prospective owners have experience in aged care management and working with residents with dementia. The facility in Milton will become the head office. A transition plan has been developed to ensure a smooth transition of business functions. The prospective owners stated that their governance and quality management system, and policies and procedures will remain unchanged. There will be no changes to the existing management, staff, rosters, or the environment. The planned take-over date is planned for 1 December 2022. </w:t>
      </w:r>
    </w:p>
    <w:p w14:paraId="1EF69862" w14:textId="77777777" w:rsidR="00832CE9" w:rsidRPr="00A4268A" w:rsidRDefault="0035159F">
      <w:pPr>
        <w:spacing w:before="240" w:line="276" w:lineRule="auto"/>
        <w:rPr>
          <w:rFonts w:eastAsia="Calibri"/>
        </w:rPr>
      </w:pPr>
      <w:r w:rsidRPr="00A4268A">
        <w:rPr>
          <w:rFonts w:eastAsia="Calibri"/>
        </w:rPr>
        <w:t xml:space="preserve">This audit identified an area for improvement around meeting minutes, education, care plan evaluations, medication processes and review of the infection control programme. </w:t>
      </w:r>
    </w:p>
    <w:bookmarkEnd w:id="13"/>
    <w:p w14:paraId="754099CD" w14:textId="77777777" w:rsidR="00832CE9" w:rsidRPr="00A4268A" w:rsidRDefault="00832CE9">
      <w:pPr>
        <w:spacing w:before="240" w:line="276" w:lineRule="auto"/>
        <w:rPr>
          <w:rFonts w:eastAsia="Calibri"/>
        </w:rPr>
      </w:pPr>
    </w:p>
    <w:p w14:paraId="4A594223" w14:textId="77777777" w:rsidR="00460D43" w:rsidRDefault="0035159F" w:rsidP="000E6E02">
      <w:pPr>
        <w:pStyle w:val="Heading2"/>
        <w:spacing w:before="0"/>
        <w:rPr>
          <w:rFonts w:cs="Arial"/>
        </w:rPr>
      </w:pPr>
      <w:r w:rsidRPr="00FB778F">
        <w:rPr>
          <w:rFonts w:cs="Arial"/>
        </w:rPr>
        <w:t>Ō tatou motika │ Our rights</w:t>
      </w:r>
    </w:p>
    <w:p w14:paraId="7273D942" w14:textId="77777777" w:rsidR="00460D43" w:rsidRDefault="0035159F">
      <w:pPr>
        <w:spacing w:before="240" w:line="276" w:lineRule="auto"/>
        <w:rPr>
          <w:rFonts w:eastAsia="Calibri"/>
        </w:rPr>
      </w:pPr>
      <w:bookmarkStart w:id="14" w:name="ConsumerRights"/>
      <w:r w:rsidRPr="00A4268A">
        <w:rPr>
          <w:rFonts w:eastAsia="Calibri"/>
        </w:rPr>
        <w:t xml:space="preserve">The service complies with Health and Disability Commission Code of Health and Disability Consumers’ Rights (The Code). Residents receive services in a manner that considers their dignity, privacy, and independence as well as facilitating their informed choice and consent. Cultural polices are in place to guide staff around culturally safe practices. The service is working towards developing relationships with Māori and Pasifika groups in the local community. </w:t>
      </w:r>
    </w:p>
    <w:p w14:paraId="6162A998" w14:textId="77777777" w:rsidR="00832CE9" w:rsidRPr="00A4268A" w:rsidRDefault="0035159F">
      <w:pPr>
        <w:spacing w:before="240" w:line="276" w:lineRule="auto"/>
        <w:rPr>
          <w:rFonts w:eastAsia="Calibri"/>
        </w:rPr>
      </w:pPr>
      <w:r w:rsidRPr="00A4268A">
        <w:rPr>
          <w:rFonts w:eastAsia="Calibri"/>
        </w:rPr>
        <w:t>Care is provided in a way that focuses on the individual and takes into account values, beliefs, culture, religion, and relationship status.</w:t>
      </w:r>
    </w:p>
    <w:p w14:paraId="2111065C" w14:textId="77777777" w:rsidR="00832CE9" w:rsidRPr="00A4268A" w:rsidRDefault="0035159F">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252DBE9B" w14:textId="77777777" w:rsidR="00832CE9" w:rsidRPr="00A4268A" w:rsidRDefault="0035159F">
      <w:pPr>
        <w:spacing w:before="240" w:line="276" w:lineRule="auto"/>
        <w:rPr>
          <w:rFonts w:eastAsia="Calibri"/>
        </w:rPr>
      </w:pPr>
      <w:r w:rsidRPr="00A4268A">
        <w:rPr>
          <w:rFonts w:eastAsia="Calibri"/>
        </w:rPr>
        <w:t>Care plans accommodate the choices of residents and/or their family/whānau.</w:t>
      </w:r>
    </w:p>
    <w:bookmarkEnd w:id="14"/>
    <w:p w14:paraId="66F60936" w14:textId="77777777" w:rsidR="00832CE9" w:rsidRPr="00A4268A" w:rsidRDefault="00832CE9">
      <w:pPr>
        <w:spacing w:before="240" w:line="276" w:lineRule="auto"/>
        <w:rPr>
          <w:rFonts w:eastAsia="Calibri"/>
        </w:rPr>
      </w:pPr>
    </w:p>
    <w:p w14:paraId="07CC52B5" w14:textId="77777777" w:rsidR="00460D43" w:rsidRDefault="0035159F" w:rsidP="000E6E02">
      <w:pPr>
        <w:pStyle w:val="Heading2"/>
        <w:spacing w:before="0"/>
        <w:rPr>
          <w:rFonts w:cs="Arial"/>
        </w:rPr>
      </w:pPr>
      <w:r w:rsidRPr="00FB778F">
        <w:rPr>
          <w:rFonts w:cs="Arial"/>
        </w:rPr>
        <w:lastRenderedPageBreak/>
        <w:t xml:space="preserve">Hunga mahi me te hanganga │ Workforce and structure </w:t>
      </w:r>
    </w:p>
    <w:p w14:paraId="6486D30C" w14:textId="77777777" w:rsidR="00460D43" w:rsidRDefault="0035159F">
      <w:pPr>
        <w:spacing w:before="240" w:line="276" w:lineRule="auto"/>
        <w:rPr>
          <w:rFonts w:eastAsia="Calibri"/>
        </w:rPr>
      </w:pPr>
      <w:bookmarkStart w:id="15" w:name="OrganisationalManagement"/>
      <w:r w:rsidRPr="00A4268A">
        <w:rPr>
          <w:rFonts w:eastAsia="Calibri"/>
        </w:rPr>
        <w:t xml:space="preserve">Elsdon Enterprises Limited is the governing body responsible for the services provided at this facility. The organisations mission statement and vision are documented and displayed in the facility. The service has a current business plan and quality and risk management plan in place. </w:t>
      </w:r>
    </w:p>
    <w:p w14:paraId="235B63FB" w14:textId="77777777" w:rsidR="00832CE9" w:rsidRPr="00A4268A" w:rsidRDefault="0035159F">
      <w:pPr>
        <w:spacing w:before="240" w:line="276" w:lineRule="auto"/>
        <w:rPr>
          <w:rFonts w:eastAsia="Calibri"/>
        </w:rPr>
      </w:pPr>
      <w:r w:rsidRPr="00A4268A">
        <w:rPr>
          <w:rFonts w:eastAsia="Calibri"/>
        </w:rPr>
        <w:t xml:space="preserve">An experienced and suitably qualified facility manager ensures the management of the facility. A registered nurse oversees the clinical and care services in the facility. </w:t>
      </w:r>
    </w:p>
    <w:p w14:paraId="041747E3" w14:textId="77777777" w:rsidR="00832CE9" w:rsidRPr="00A4268A" w:rsidRDefault="0035159F">
      <w:pPr>
        <w:spacing w:before="240" w:line="276" w:lineRule="auto"/>
        <w:rPr>
          <w:rFonts w:eastAsia="Calibri"/>
        </w:rPr>
      </w:pPr>
      <w:r w:rsidRPr="00A4268A">
        <w:rPr>
          <w:rFonts w:eastAsia="Calibri"/>
        </w:rPr>
        <w:t xml:space="preserve">The service has a quality and risk management programme in place. Internal audits, and staff meetings are held. Collation of quality data occurs monthly. A health and safety programme is implemented. Hazards are managed appropriately. </w:t>
      </w:r>
    </w:p>
    <w:p w14:paraId="0C2D8FAF" w14:textId="77777777" w:rsidR="00832CE9" w:rsidRPr="00A4268A" w:rsidRDefault="0035159F">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orientation programme and regular staff education and training is in place. </w:t>
      </w:r>
    </w:p>
    <w:p w14:paraId="4AEDD33D" w14:textId="77777777" w:rsidR="00832CE9" w:rsidRPr="00A4268A" w:rsidRDefault="0035159F">
      <w:pPr>
        <w:spacing w:before="240" w:line="276" w:lineRule="auto"/>
        <w:rPr>
          <w:rFonts w:eastAsia="Calibri"/>
        </w:rPr>
      </w:pPr>
      <w:r w:rsidRPr="00A4268A">
        <w:rPr>
          <w:rFonts w:eastAsia="Calibri"/>
        </w:rPr>
        <w:t xml:space="preserve">The service ensures the collection, storage, and use of personal and health information of residents is accurate, sufficient, secure, accessible, and confidential. </w:t>
      </w:r>
    </w:p>
    <w:bookmarkEnd w:id="15"/>
    <w:p w14:paraId="20CD9A83" w14:textId="77777777" w:rsidR="00832CE9" w:rsidRPr="00A4268A" w:rsidRDefault="00832CE9">
      <w:pPr>
        <w:spacing w:before="240" w:line="276" w:lineRule="auto"/>
        <w:rPr>
          <w:rFonts w:eastAsia="Calibri"/>
        </w:rPr>
      </w:pPr>
    </w:p>
    <w:p w14:paraId="0AAD54C8" w14:textId="77777777" w:rsidR="00460D43" w:rsidRDefault="0035159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F9F0F9F" w14:textId="77777777" w:rsidR="00E536CC" w:rsidRPr="005E14A4" w:rsidRDefault="0035159F" w:rsidP="00621629">
      <w:pPr>
        <w:spacing w:before="240" w:line="276" w:lineRule="auto"/>
        <w:rPr>
          <w:rFonts w:eastAsia="Calibri"/>
        </w:rPr>
      </w:pPr>
      <w:bookmarkStart w:id="16" w:name="ContinuumOfServiceDelivery"/>
      <w:r w:rsidRPr="00A4268A">
        <w:rPr>
          <w:rFonts w:eastAsia="Calibri"/>
        </w:rPr>
        <w:t xml:space="preserve">An admission package is available prior to or on entry to the service. The registered nurse is responsible for each stage of service provision. The registered nurse assesses, plans, and reviews residents' needs, outcomes, and goals with the resident and/or family/whānau input. Care plans viewed demonstrated service integration. </w:t>
      </w:r>
    </w:p>
    <w:p w14:paraId="7427252B" w14:textId="77777777" w:rsidR="00832CE9" w:rsidRPr="00A4268A" w:rsidRDefault="0035159F" w:rsidP="00621629">
      <w:pPr>
        <w:spacing w:before="240" w:line="276" w:lineRule="auto"/>
        <w:rPr>
          <w:rFonts w:eastAsia="Calibri"/>
        </w:rPr>
      </w:pPr>
      <w:r w:rsidRPr="00A4268A">
        <w:rPr>
          <w:rFonts w:eastAsia="Calibri"/>
        </w:rPr>
        <w:t xml:space="preserve">Resident files included medical notes by the general practitioner and visiting allied health professionals. Medication policies reflect legislative requirements and guidelines. The registered nurse and senior caregivers responsible for administration of medicines complete annual education and medication competencies. </w:t>
      </w:r>
    </w:p>
    <w:p w14:paraId="1CC9DDBB" w14:textId="77777777" w:rsidR="00832CE9" w:rsidRPr="00A4268A" w:rsidRDefault="0035159F" w:rsidP="00621629">
      <w:pPr>
        <w:spacing w:before="240" w:line="276" w:lineRule="auto"/>
        <w:rPr>
          <w:rFonts w:eastAsia="Calibri"/>
        </w:rPr>
      </w:pPr>
      <w:r w:rsidRPr="00A4268A">
        <w:rPr>
          <w:rFonts w:eastAsia="Calibri"/>
        </w:rPr>
        <w:t xml:space="preserve">The activities coordinator provides and implements an interesting and varied activity programme. The programme includes outings, entertainment and meaningful activities that meet the individual recreational preferences. </w:t>
      </w:r>
    </w:p>
    <w:p w14:paraId="074C1332" w14:textId="77777777" w:rsidR="00832CE9" w:rsidRPr="00A4268A" w:rsidRDefault="0035159F"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0C892ADA" w14:textId="77777777" w:rsidR="00832CE9" w:rsidRPr="00A4268A" w:rsidRDefault="0035159F" w:rsidP="00621629">
      <w:pPr>
        <w:spacing w:before="240" w:line="276" w:lineRule="auto"/>
        <w:rPr>
          <w:rFonts w:eastAsia="Calibri"/>
        </w:rPr>
      </w:pPr>
      <w:r w:rsidRPr="00A4268A">
        <w:rPr>
          <w:rFonts w:eastAsia="Calibri"/>
        </w:rPr>
        <w:t>All transfers and referrals to other services are coordinated and performed in collaboration with relatives.</w:t>
      </w:r>
    </w:p>
    <w:bookmarkEnd w:id="16"/>
    <w:p w14:paraId="053D9DD4" w14:textId="77777777" w:rsidR="00832CE9" w:rsidRPr="00A4268A" w:rsidRDefault="00832CE9" w:rsidP="00621629">
      <w:pPr>
        <w:spacing w:before="240" w:line="276" w:lineRule="auto"/>
        <w:rPr>
          <w:rFonts w:eastAsia="Calibri"/>
        </w:rPr>
      </w:pPr>
    </w:p>
    <w:p w14:paraId="27DC7D13" w14:textId="77777777" w:rsidR="00460D43" w:rsidRDefault="0035159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5AAF32D" w14:textId="77777777" w:rsidR="00460D43" w:rsidRDefault="0035159F">
      <w:pPr>
        <w:spacing w:before="240" w:line="276" w:lineRule="auto"/>
        <w:rPr>
          <w:rFonts w:eastAsia="Calibri"/>
        </w:rPr>
      </w:pPr>
      <w:bookmarkStart w:id="17" w:name="SafeAndAppropriateEnvironment"/>
      <w:r w:rsidRPr="00A4268A">
        <w:rPr>
          <w:rFonts w:eastAsia="Calibri"/>
        </w:rPr>
        <w:t xml:space="preserve">A current building warrant of fitness is in place. The reactive and preventative maintenance programme is implemented. External areas are secure, easily accessible and provide shade and seating. </w:t>
      </w:r>
    </w:p>
    <w:p w14:paraId="0A3FC471" w14:textId="77777777" w:rsidR="00832CE9" w:rsidRPr="00A4268A" w:rsidRDefault="0035159F">
      <w:pPr>
        <w:spacing w:before="240" w:line="276" w:lineRule="auto"/>
        <w:rPr>
          <w:rFonts w:eastAsia="Calibri"/>
        </w:rPr>
      </w:pPr>
      <w:r w:rsidRPr="00A4268A">
        <w:rPr>
          <w:rFonts w:eastAsia="Calibri"/>
        </w:rPr>
        <w:t>Residents’ rooms are of an appropriate size for the safe use and manoeuvring of mobility aids and allow for care to be provided. Lounges, dining rooms and spaces are available for residents and their visitors. Communal and individual spaces are maintained at a comfortable temperature.</w:t>
      </w:r>
    </w:p>
    <w:p w14:paraId="4B5FD447" w14:textId="77777777" w:rsidR="00832CE9" w:rsidRPr="00A4268A" w:rsidRDefault="0035159F">
      <w:pPr>
        <w:spacing w:before="240" w:line="276" w:lineRule="auto"/>
        <w:rPr>
          <w:rFonts w:eastAsia="Calibri"/>
        </w:rPr>
      </w:pPr>
      <w:r w:rsidRPr="00A4268A">
        <w:rPr>
          <w:rFonts w:eastAsia="Calibri"/>
        </w:rPr>
        <w:t>Security systems are in place and staff are trained in emergency procedures, use of emergency equipment/supplies, and attend regular fire drills. Adequate supplies of emergency equipment were sighted. All staff have current first aid certificates.</w:t>
      </w:r>
    </w:p>
    <w:bookmarkEnd w:id="17"/>
    <w:p w14:paraId="365F8E98" w14:textId="77777777" w:rsidR="00832CE9" w:rsidRPr="00A4268A" w:rsidRDefault="00832CE9">
      <w:pPr>
        <w:spacing w:before="240" w:line="276" w:lineRule="auto"/>
        <w:rPr>
          <w:rFonts w:eastAsia="Calibri"/>
        </w:rPr>
      </w:pPr>
    </w:p>
    <w:p w14:paraId="0AEE3F27" w14:textId="77777777" w:rsidR="00460D43" w:rsidRDefault="0035159F"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0F095AE" w14:textId="77777777" w:rsidR="00460D43" w:rsidRDefault="0035159F">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residents, service providers and visitors. The infection control programme is implemented. Documentation evidenced that relevant infection control education is provided to all staff as part of their orientation and as part of the ongoing in-service education programme. Antimicrobial usage is monitored. </w:t>
      </w:r>
    </w:p>
    <w:p w14:paraId="48AAF999" w14:textId="77777777" w:rsidR="00832CE9" w:rsidRPr="00A4268A" w:rsidRDefault="0035159F">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w:t>
      </w:r>
    </w:p>
    <w:p w14:paraId="623634B4" w14:textId="77777777" w:rsidR="00832CE9" w:rsidRPr="00A4268A" w:rsidRDefault="0035159F">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bookmarkEnd w:id="18"/>
    <w:p w14:paraId="5490BA3A" w14:textId="77777777" w:rsidR="00832CE9" w:rsidRPr="00A4268A" w:rsidRDefault="00832CE9">
      <w:pPr>
        <w:spacing w:before="240" w:line="276" w:lineRule="auto"/>
        <w:rPr>
          <w:rFonts w:eastAsia="Calibri"/>
        </w:rPr>
      </w:pPr>
    </w:p>
    <w:p w14:paraId="4F451EEF" w14:textId="77777777" w:rsidR="00460D43" w:rsidRDefault="0035159F" w:rsidP="000E6E02">
      <w:pPr>
        <w:pStyle w:val="Heading2"/>
        <w:spacing w:before="0"/>
        <w:rPr>
          <w:rFonts w:cs="Arial"/>
        </w:rPr>
      </w:pPr>
      <w:r w:rsidRPr="00FB778F">
        <w:rPr>
          <w:rFonts w:cs="Arial"/>
        </w:rPr>
        <w:t>Here taratahi │ Restraint and seclusion</w:t>
      </w:r>
    </w:p>
    <w:p w14:paraId="73B9E355" w14:textId="77777777" w:rsidR="00460D43" w:rsidRDefault="0035159F">
      <w:pPr>
        <w:spacing w:before="240" w:line="276" w:lineRule="auto"/>
        <w:rPr>
          <w:rFonts w:eastAsia="Calibri"/>
        </w:rPr>
      </w:pPr>
      <w:bookmarkStart w:id="19" w:name="InfectionPreventionAndControl"/>
      <w:r w:rsidRPr="00A4268A">
        <w:rPr>
          <w:rFonts w:eastAsia="Calibri"/>
        </w:rPr>
        <w:t xml:space="preserve">The restraint coordinator is the clinical nurse leader. At the time of audit there were no restraints used at Thornbury House. Maintaining a restraint-free environment is included as part of the education and training plan. The service considers least restrictive practices, implementing de-escalation techniques and alternative interventions, and would only use an approved restraint as the last resort. </w:t>
      </w:r>
    </w:p>
    <w:bookmarkEnd w:id="19"/>
    <w:p w14:paraId="3D532EE9" w14:textId="77777777" w:rsidR="00832CE9" w:rsidRPr="00A4268A" w:rsidRDefault="00832CE9">
      <w:pPr>
        <w:spacing w:before="240" w:line="276" w:lineRule="auto"/>
        <w:rPr>
          <w:rFonts w:eastAsia="Calibri"/>
        </w:rPr>
      </w:pPr>
    </w:p>
    <w:p w14:paraId="3B3B8460" w14:textId="77777777" w:rsidR="00460D43" w:rsidRDefault="0035159F" w:rsidP="000E6E02">
      <w:pPr>
        <w:pStyle w:val="Heading2"/>
        <w:spacing w:before="0"/>
        <w:rPr>
          <w:rFonts w:cs="Arial"/>
        </w:rPr>
      </w:pPr>
      <w:r>
        <w:rPr>
          <w:rFonts w:cs="Arial"/>
        </w:rPr>
        <w:t>Summary of attainment</w:t>
      </w:r>
    </w:p>
    <w:p w14:paraId="755227A5" w14:textId="77777777" w:rsidR="00460D43" w:rsidRDefault="0035159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32CE9" w14:paraId="2DDC013A" w14:textId="77777777">
        <w:tc>
          <w:tcPr>
            <w:tcW w:w="1384" w:type="dxa"/>
            <w:vAlign w:val="center"/>
          </w:tcPr>
          <w:p w14:paraId="6BC7DDCC" w14:textId="77777777" w:rsidR="00460D43" w:rsidRDefault="0035159F">
            <w:pPr>
              <w:keepNext/>
              <w:spacing w:before="60" w:after="60"/>
              <w:rPr>
                <w:rFonts w:cs="Arial"/>
                <w:b/>
                <w:sz w:val="20"/>
                <w:szCs w:val="20"/>
              </w:rPr>
            </w:pPr>
            <w:r>
              <w:rPr>
                <w:rFonts w:cs="Arial"/>
                <w:b/>
                <w:sz w:val="20"/>
                <w:szCs w:val="20"/>
              </w:rPr>
              <w:t>Attainment Rating</w:t>
            </w:r>
          </w:p>
        </w:tc>
        <w:tc>
          <w:tcPr>
            <w:tcW w:w="1701" w:type="dxa"/>
            <w:vAlign w:val="center"/>
          </w:tcPr>
          <w:p w14:paraId="6D94DADC" w14:textId="77777777" w:rsidR="00460D43" w:rsidRDefault="0035159F">
            <w:pPr>
              <w:keepNext/>
              <w:spacing w:before="60" w:after="60"/>
              <w:jc w:val="center"/>
              <w:rPr>
                <w:rFonts w:cs="Arial"/>
                <w:b/>
                <w:sz w:val="20"/>
                <w:szCs w:val="20"/>
              </w:rPr>
            </w:pPr>
            <w:r>
              <w:rPr>
                <w:rFonts w:cs="Arial"/>
                <w:b/>
                <w:sz w:val="20"/>
                <w:szCs w:val="20"/>
              </w:rPr>
              <w:t>Continuous Improvement</w:t>
            </w:r>
          </w:p>
          <w:p w14:paraId="029D1E97" w14:textId="77777777" w:rsidR="00460D43" w:rsidRDefault="0035159F">
            <w:pPr>
              <w:keepNext/>
              <w:spacing w:before="60" w:after="60"/>
              <w:jc w:val="center"/>
              <w:rPr>
                <w:rFonts w:cs="Arial"/>
                <w:b/>
                <w:sz w:val="20"/>
                <w:szCs w:val="20"/>
              </w:rPr>
            </w:pPr>
            <w:r>
              <w:rPr>
                <w:rFonts w:cs="Arial"/>
                <w:b/>
                <w:sz w:val="20"/>
                <w:szCs w:val="20"/>
              </w:rPr>
              <w:t>(CI)</w:t>
            </w:r>
          </w:p>
        </w:tc>
        <w:tc>
          <w:tcPr>
            <w:tcW w:w="1843" w:type="dxa"/>
            <w:vAlign w:val="center"/>
          </w:tcPr>
          <w:p w14:paraId="60AB3349" w14:textId="77777777" w:rsidR="00460D43" w:rsidRDefault="0035159F">
            <w:pPr>
              <w:keepNext/>
              <w:spacing w:before="60" w:after="60"/>
              <w:jc w:val="center"/>
              <w:rPr>
                <w:rFonts w:cs="Arial"/>
                <w:b/>
                <w:sz w:val="20"/>
                <w:szCs w:val="20"/>
              </w:rPr>
            </w:pPr>
            <w:r>
              <w:rPr>
                <w:rFonts w:cs="Arial"/>
                <w:b/>
                <w:sz w:val="20"/>
                <w:szCs w:val="20"/>
              </w:rPr>
              <w:t>Fully Attained</w:t>
            </w:r>
          </w:p>
          <w:p w14:paraId="22DB6CB6" w14:textId="77777777" w:rsidR="00460D43" w:rsidRDefault="0035159F">
            <w:pPr>
              <w:keepNext/>
              <w:spacing w:before="60" w:after="60"/>
              <w:jc w:val="center"/>
              <w:rPr>
                <w:rFonts w:cs="Arial"/>
                <w:b/>
                <w:sz w:val="20"/>
                <w:szCs w:val="20"/>
              </w:rPr>
            </w:pPr>
            <w:r>
              <w:rPr>
                <w:rFonts w:cs="Arial"/>
                <w:b/>
                <w:sz w:val="20"/>
                <w:szCs w:val="20"/>
              </w:rPr>
              <w:t>(FA)</w:t>
            </w:r>
          </w:p>
        </w:tc>
        <w:tc>
          <w:tcPr>
            <w:tcW w:w="1843" w:type="dxa"/>
            <w:vAlign w:val="center"/>
          </w:tcPr>
          <w:p w14:paraId="56E64FE4" w14:textId="77777777" w:rsidR="00460D43" w:rsidRDefault="0035159F">
            <w:pPr>
              <w:keepNext/>
              <w:spacing w:before="60" w:after="60"/>
              <w:jc w:val="center"/>
              <w:rPr>
                <w:rFonts w:cs="Arial"/>
                <w:b/>
                <w:sz w:val="20"/>
                <w:szCs w:val="20"/>
              </w:rPr>
            </w:pPr>
            <w:r>
              <w:rPr>
                <w:rFonts w:cs="Arial"/>
                <w:b/>
                <w:sz w:val="20"/>
                <w:szCs w:val="20"/>
              </w:rPr>
              <w:t>Partially Attained Negligible Risk</w:t>
            </w:r>
          </w:p>
          <w:p w14:paraId="5C93CC7F" w14:textId="77777777" w:rsidR="00460D43" w:rsidRDefault="0035159F">
            <w:pPr>
              <w:keepNext/>
              <w:spacing w:before="60" w:after="60"/>
              <w:jc w:val="center"/>
              <w:rPr>
                <w:rFonts w:cs="Arial"/>
                <w:b/>
                <w:sz w:val="20"/>
                <w:szCs w:val="20"/>
              </w:rPr>
            </w:pPr>
            <w:r>
              <w:rPr>
                <w:rFonts w:cs="Arial"/>
                <w:b/>
                <w:sz w:val="20"/>
                <w:szCs w:val="20"/>
              </w:rPr>
              <w:t>(PA Negligible)</w:t>
            </w:r>
          </w:p>
        </w:tc>
        <w:tc>
          <w:tcPr>
            <w:tcW w:w="1842" w:type="dxa"/>
            <w:vAlign w:val="center"/>
          </w:tcPr>
          <w:p w14:paraId="2D1908D8" w14:textId="77777777" w:rsidR="00460D43" w:rsidRDefault="0035159F">
            <w:pPr>
              <w:keepNext/>
              <w:spacing w:before="60" w:after="60"/>
              <w:jc w:val="center"/>
              <w:rPr>
                <w:rFonts w:cs="Arial"/>
                <w:b/>
                <w:sz w:val="20"/>
                <w:szCs w:val="20"/>
              </w:rPr>
            </w:pPr>
            <w:r>
              <w:rPr>
                <w:rFonts w:cs="Arial"/>
                <w:b/>
                <w:sz w:val="20"/>
                <w:szCs w:val="20"/>
              </w:rPr>
              <w:t>Partially Attained Low Risk</w:t>
            </w:r>
          </w:p>
          <w:p w14:paraId="3474FEBE" w14:textId="77777777" w:rsidR="00460D43" w:rsidRDefault="0035159F">
            <w:pPr>
              <w:keepNext/>
              <w:spacing w:before="60" w:after="60"/>
              <w:jc w:val="center"/>
              <w:rPr>
                <w:rFonts w:cs="Arial"/>
                <w:b/>
                <w:sz w:val="20"/>
                <w:szCs w:val="20"/>
              </w:rPr>
            </w:pPr>
            <w:r>
              <w:rPr>
                <w:rFonts w:cs="Arial"/>
                <w:b/>
                <w:sz w:val="20"/>
                <w:szCs w:val="20"/>
              </w:rPr>
              <w:t>(PA Low)</w:t>
            </w:r>
          </w:p>
        </w:tc>
        <w:tc>
          <w:tcPr>
            <w:tcW w:w="1843" w:type="dxa"/>
            <w:vAlign w:val="center"/>
          </w:tcPr>
          <w:p w14:paraId="075D8250" w14:textId="77777777" w:rsidR="00460D43" w:rsidRDefault="0035159F">
            <w:pPr>
              <w:keepNext/>
              <w:spacing w:before="60" w:after="60"/>
              <w:jc w:val="center"/>
              <w:rPr>
                <w:rFonts w:cs="Arial"/>
                <w:b/>
                <w:sz w:val="20"/>
                <w:szCs w:val="20"/>
              </w:rPr>
            </w:pPr>
            <w:r>
              <w:rPr>
                <w:rFonts w:cs="Arial"/>
                <w:b/>
                <w:sz w:val="20"/>
                <w:szCs w:val="20"/>
              </w:rPr>
              <w:t>Partially Attained Moderate Risk</w:t>
            </w:r>
          </w:p>
          <w:p w14:paraId="295CEEE3" w14:textId="77777777" w:rsidR="00460D43" w:rsidRDefault="0035159F">
            <w:pPr>
              <w:keepNext/>
              <w:spacing w:before="60" w:after="60"/>
              <w:jc w:val="center"/>
              <w:rPr>
                <w:rFonts w:cs="Arial"/>
                <w:b/>
                <w:sz w:val="20"/>
                <w:szCs w:val="20"/>
              </w:rPr>
            </w:pPr>
            <w:r>
              <w:rPr>
                <w:rFonts w:cs="Arial"/>
                <w:b/>
                <w:sz w:val="20"/>
                <w:szCs w:val="20"/>
              </w:rPr>
              <w:t>(PA Moderate)</w:t>
            </w:r>
          </w:p>
        </w:tc>
        <w:tc>
          <w:tcPr>
            <w:tcW w:w="1843" w:type="dxa"/>
            <w:vAlign w:val="center"/>
          </w:tcPr>
          <w:p w14:paraId="6D453A4D" w14:textId="77777777" w:rsidR="00460D43" w:rsidRDefault="0035159F">
            <w:pPr>
              <w:keepNext/>
              <w:spacing w:before="60" w:after="60"/>
              <w:jc w:val="center"/>
              <w:rPr>
                <w:rFonts w:cs="Arial"/>
                <w:b/>
                <w:sz w:val="20"/>
                <w:szCs w:val="20"/>
              </w:rPr>
            </w:pPr>
            <w:r>
              <w:rPr>
                <w:rFonts w:cs="Arial"/>
                <w:b/>
                <w:sz w:val="20"/>
                <w:szCs w:val="20"/>
              </w:rPr>
              <w:t>Partially Attained High Risk</w:t>
            </w:r>
          </w:p>
          <w:p w14:paraId="13DA92E3" w14:textId="77777777" w:rsidR="00460D43" w:rsidRDefault="0035159F">
            <w:pPr>
              <w:keepNext/>
              <w:spacing w:before="60" w:after="60"/>
              <w:jc w:val="center"/>
              <w:rPr>
                <w:rFonts w:cs="Arial"/>
                <w:b/>
                <w:sz w:val="20"/>
                <w:szCs w:val="20"/>
              </w:rPr>
            </w:pPr>
            <w:r>
              <w:rPr>
                <w:rFonts w:cs="Arial"/>
                <w:b/>
                <w:sz w:val="20"/>
                <w:szCs w:val="20"/>
              </w:rPr>
              <w:t>(PA High)</w:t>
            </w:r>
          </w:p>
        </w:tc>
        <w:tc>
          <w:tcPr>
            <w:tcW w:w="1843" w:type="dxa"/>
            <w:vAlign w:val="center"/>
          </w:tcPr>
          <w:p w14:paraId="4341CC22" w14:textId="77777777" w:rsidR="00460D43" w:rsidRDefault="0035159F">
            <w:pPr>
              <w:keepNext/>
              <w:spacing w:before="60" w:after="60"/>
              <w:jc w:val="center"/>
              <w:rPr>
                <w:rFonts w:cs="Arial"/>
                <w:b/>
                <w:sz w:val="20"/>
                <w:szCs w:val="20"/>
              </w:rPr>
            </w:pPr>
            <w:r>
              <w:rPr>
                <w:rFonts w:cs="Arial"/>
                <w:b/>
                <w:sz w:val="20"/>
                <w:szCs w:val="20"/>
              </w:rPr>
              <w:t>Partially Attained Critical Risk</w:t>
            </w:r>
          </w:p>
          <w:p w14:paraId="4E40FAA2" w14:textId="77777777" w:rsidR="00460D43" w:rsidRDefault="0035159F">
            <w:pPr>
              <w:keepNext/>
              <w:spacing w:before="60" w:after="60"/>
              <w:jc w:val="center"/>
              <w:rPr>
                <w:rFonts w:cs="Arial"/>
                <w:b/>
                <w:sz w:val="20"/>
                <w:szCs w:val="20"/>
              </w:rPr>
            </w:pPr>
            <w:r>
              <w:rPr>
                <w:rFonts w:cs="Arial"/>
                <w:b/>
                <w:sz w:val="20"/>
                <w:szCs w:val="20"/>
              </w:rPr>
              <w:t>(PA Critical)</w:t>
            </w:r>
          </w:p>
        </w:tc>
      </w:tr>
      <w:tr w:rsidR="00832CE9" w14:paraId="2D9DA17D" w14:textId="77777777">
        <w:tc>
          <w:tcPr>
            <w:tcW w:w="1384" w:type="dxa"/>
            <w:vAlign w:val="center"/>
          </w:tcPr>
          <w:p w14:paraId="6C27E8E2" w14:textId="77777777" w:rsidR="00460D43" w:rsidRDefault="0035159F">
            <w:pPr>
              <w:keepNext/>
              <w:spacing w:before="60" w:after="60"/>
              <w:rPr>
                <w:rFonts w:cs="Arial"/>
                <w:b/>
                <w:sz w:val="20"/>
                <w:szCs w:val="20"/>
              </w:rPr>
            </w:pPr>
            <w:r>
              <w:rPr>
                <w:rFonts w:cs="Arial"/>
                <w:b/>
                <w:sz w:val="20"/>
                <w:szCs w:val="20"/>
              </w:rPr>
              <w:t>Subsection</w:t>
            </w:r>
          </w:p>
        </w:tc>
        <w:tc>
          <w:tcPr>
            <w:tcW w:w="1701" w:type="dxa"/>
            <w:vAlign w:val="center"/>
          </w:tcPr>
          <w:p w14:paraId="521E05A2" w14:textId="77777777" w:rsidR="00460D43" w:rsidRDefault="0035159F"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4CB0878" w14:textId="77777777" w:rsidR="00460D43" w:rsidRDefault="0035159F" w:rsidP="00A4268A">
            <w:pPr>
              <w:spacing w:before="60" w:after="60"/>
              <w:jc w:val="center"/>
              <w:rPr>
                <w:rFonts w:cs="Arial"/>
                <w:sz w:val="20"/>
                <w:szCs w:val="20"/>
                <w:lang w:eastAsia="en-NZ"/>
              </w:rPr>
            </w:pPr>
            <w:bookmarkStart w:id="21" w:name="TotalStdFA"/>
            <w:r>
              <w:rPr>
                <w:rFonts w:cs="Arial"/>
                <w:sz w:val="20"/>
                <w:szCs w:val="20"/>
                <w:lang w:eastAsia="en-NZ"/>
              </w:rPr>
              <w:t>22</w:t>
            </w:r>
            <w:bookmarkEnd w:id="21"/>
          </w:p>
        </w:tc>
        <w:tc>
          <w:tcPr>
            <w:tcW w:w="1843" w:type="dxa"/>
            <w:vAlign w:val="center"/>
          </w:tcPr>
          <w:p w14:paraId="5C10BDA8" w14:textId="77777777" w:rsidR="00460D43" w:rsidRDefault="0035159F">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948BC9D" w14:textId="77777777" w:rsidR="00460D43" w:rsidRDefault="0035159F"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467879B3" w14:textId="77777777" w:rsidR="00460D43" w:rsidRDefault="0035159F"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16E19761" w14:textId="77777777" w:rsidR="00460D43" w:rsidRDefault="0035159F">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779256C" w14:textId="77777777" w:rsidR="00460D43" w:rsidRDefault="0035159F">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32CE9" w14:paraId="4192803D" w14:textId="77777777">
        <w:tc>
          <w:tcPr>
            <w:tcW w:w="1384" w:type="dxa"/>
            <w:vAlign w:val="center"/>
          </w:tcPr>
          <w:p w14:paraId="1348F88D" w14:textId="77777777" w:rsidR="00460D43" w:rsidRDefault="0035159F">
            <w:pPr>
              <w:keepNext/>
              <w:spacing w:before="60" w:after="60"/>
              <w:rPr>
                <w:rFonts w:cs="Arial"/>
                <w:b/>
                <w:sz w:val="20"/>
                <w:szCs w:val="20"/>
              </w:rPr>
            </w:pPr>
            <w:r>
              <w:rPr>
                <w:rFonts w:cs="Arial"/>
                <w:b/>
                <w:sz w:val="20"/>
                <w:szCs w:val="20"/>
              </w:rPr>
              <w:t>Criteria</w:t>
            </w:r>
          </w:p>
        </w:tc>
        <w:tc>
          <w:tcPr>
            <w:tcW w:w="1701" w:type="dxa"/>
            <w:vAlign w:val="center"/>
          </w:tcPr>
          <w:p w14:paraId="7173FF47" w14:textId="77777777" w:rsidR="00460D43" w:rsidRDefault="0035159F">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A1540A1" w14:textId="77777777" w:rsidR="00460D43" w:rsidRDefault="0035159F" w:rsidP="00A4268A">
            <w:pPr>
              <w:spacing w:before="60" w:after="60"/>
              <w:jc w:val="center"/>
              <w:rPr>
                <w:rFonts w:cs="Arial"/>
                <w:sz w:val="20"/>
                <w:szCs w:val="20"/>
                <w:lang w:eastAsia="en-NZ"/>
              </w:rPr>
            </w:pPr>
            <w:bookmarkStart w:id="28" w:name="TotalCritFA"/>
            <w:r>
              <w:rPr>
                <w:rFonts w:cs="Arial"/>
                <w:sz w:val="20"/>
                <w:szCs w:val="20"/>
                <w:lang w:eastAsia="en-NZ"/>
              </w:rPr>
              <w:t>139</w:t>
            </w:r>
            <w:bookmarkEnd w:id="28"/>
          </w:p>
        </w:tc>
        <w:tc>
          <w:tcPr>
            <w:tcW w:w="1843" w:type="dxa"/>
            <w:vAlign w:val="center"/>
          </w:tcPr>
          <w:p w14:paraId="6C5D2173" w14:textId="77777777" w:rsidR="00460D43" w:rsidRDefault="0035159F">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BD92520" w14:textId="77777777" w:rsidR="00460D43" w:rsidRDefault="0035159F"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64720946" w14:textId="77777777" w:rsidR="00460D43" w:rsidRDefault="0035159F"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05DABBAB" w14:textId="77777777" w:rsidR="00460D43" w:rsidRDefault="0035159F">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35E3E8D" w14:textId="77777777" w:rsidR="00460D43" w:rsidRDefault="0035159F">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C4E75E9" w14:textId="77777777" w:rsidR="00460D43" w:rsidRDefault="0016282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32CE9" w14:paraId="60CCBF5B" w14:textId="77777777">
        <w:tc>
          <w:tcPr>
            <w:tcW w:w="1384" w:type="dxa"/>
            <w:vAlign w:val="center"/>
          </w:tcPr>
          <w:p w14:paraId="590E25A3" w14:textId="77777777" w:rsidR="00460D43" w:rsidRDefault="0035159F">
            <w:pPr>
              <w:keepNext/>
              <w:spacing w:before="60" w:after="60"/>
              <w:rPr>
                <w:rFonts w:cs="Arial"/>
                <w:b/>
                <w:sz w:val="20"/>
                <w:szCs w:val="20"/>
              </w:rPr>
            </w:pPr>
            <w:r>
              <w:rPr>
                <w:rFonts w:cs="Arial"/>
                <w:b/>
                <w:sz w:val="20"/>
                <w:szCs w:val="20"/>
              </w:rPr>
              <w:t>Attainment Rating</w:t>
            </w:r>
          </w:p>
        </w:tc>
        <w:tc>
          <w:tcPr>
            <w:tcW w:w="1701" w:type="dxa"/>
            <w:vAlign w:val="center"/>
          </w:tcPr>
          <w:p w14:paraId="0EC6CEAF" w14:textId="77777777" w:rsidR="00460D43" w:rsidRDefault="0035159F">
            <w:pPr>
              <w:keepNext/>
              <w:spacing w:before="60" w:after="60"/>
              <w:jc w:val="center"/>
              <w:rPr>
                <w:rFonts w:cs="Arial"/>
                <w:b/>
                <w:sz w:val="20"/>
                <w:szCs w:val="20"/>
              </w:rPr>
            </w:pPr>
            <w:r>
              <w:rPr>
                <w:rFonts w:cs="Arial"/>
                <w:b/>
                <w:sz w:val="20"/>
                <w:szCs w:val="20"/>
              </w:rPr>
              <w:t>Unattained Negligible Risk</w:t>
            </w:r>
          </w:p>
          <w:p w14:paraId="7BF3DBB3" w14:textId="77777777" w:rsidR="00460D43" w:rsidRDefault="0035159F">
            <w:pPr>
              <w:keepNext/>
              <w:spacing w:before="60" w:after="60"/>
              <w:jc w:val="center"/>
              <w:rPr>
                <w:rFonts w:cs="Arial"/>
                <w:b/>
                <w:sz w:val="20"/>
                <w:szCs w:val="20"/>
              </w:rPr>
            </w:pPr>
            <w:r>
              <w:rPr>
                <w:rFonts w:cs="Arial"/>
                <w:b/>
                <w:sz w:val="20"/>
                <w:szCs w:val="20"/>
              </w:rPr>
              <w:t>(UA Negligible)</w:t>
            </w:r>
          </w:p>
        </w:tc>
        <w:tc>
          <w:tcPr>
            <w:tcW w:w="1843" w:type="dxa"/>
            <w:vAlign w:val="center"/>
          </w:tcPr>
          <w:p w14:paraId="554050D8" w14:textId="77777777" w:rsidR="00460D43" w:rsidRDefault="0035159F">
            <w:pPr>
              <w:keepNext/>
              <w:spacing w:before="60" w:after="60"/>
              <w:jc w:val="center"/>
              <w:rPr>
                <w:rFonts w:cs="Arial"/>
                <w:b/>
                <w:sz w:val="20"/>
                <w:szCs w:val="20"/>
              </w:rPr>
            </w:pPr>
            <w:r>
              <w:rPr>
                <w:rFonts w:cs="Arial"/>
                <w:b/>
                <w:sz w:val="20"/>
                <w:szCs w:val="20"/>
              </w:rPr>
              <w:t>Unattained Low Risk</w:t>
            </w:r>
          </w:p>
          <w:p w14:paraId="1F6A6130" w14:textId="77777777" w:rsidR="00460D43" w:rsidRDefault="0035159F">
            <w:pPr>
              <w:keepNext/>
              <w:spacing w:before="60" w:after="60"/>
              <w:jc w:val="center"/>
              <w:rPr>
                <w:rFonts w:cs="Arial"/>
                <w:b/>
                <w:sz w:val="20"/>
                <w:szCs w:val="20"/>
              </w:rPr>
            </w:pPr>
            <w:r>
              <w:rPr>
                <w:rFonts w:cs="Arial"/>
                <w:b/>
                <w:sz w:val="20"/>
                <w:szCs w:val="20"/>
              </w:rPr>
              <w:t>(UA Low)</w:t>
            </w:r>
          </w:p>
        </w:tc>
        <w:tc>
          <w:tcPr>
            <w:tcW w:w="1843" w:type="dxa"/>
            <w:vAlign w:val="center"/>
          </w:tcPr>
          <w:p w14:paraId="4F1F256F" w14:textId="77777777" w:rsidR="00460D43" w:rsidRDefault="0035159F">
            <w:pPr>
              <w:keepNext/>
              <w:spacing w:before="60" w:after="60"/>
              <w:jc w:val="center"/>
              <w:rPr>
                <w:rFonts w:cs="Arial"/>
                <w:b/>
                <w:sz w:val="20"/>
                <w:szCs w:val="20"/>
              </w:rPr>
            </w:pPr>
            <w:r>
              <w:rPr>
                <w:rFonts w:cs="Arial"/>
                <w:b/>
                <w:sz w:val="20"/>
                <w:szCs w:val="20"/>
              </w:rPr>
              <w:t>Unattained Moderate Risk</w:t>
            </w:r>
          </w:p>
          <w:p w14:paraId="78EBF999" w14:textId="77777777" w:rsidR="00460D43" w:rsidRDefault="0035159F">
            <w:pPr>
              <w:keepNext/>
              <w:spacing w:before="60" w:after="60"/>
              <w:jc w:val="center"/>
              <w:rPr>
                <w:rFonts w:cs="Arial"/>
                <w:b/>
                <w:sz w:val="20"/>
                <w:szCs w:val="20"/>
              </w:rPr>
            </w:pPr>
            <w:r>
              <w:rPr>
                <w:rFonts w:cs="Arial"/>
                <w:b/>
                <w:sz w:val="20"/>
                <w:szCs w:val="20"/>
              </w:rPr>
              <w:t>(UA Moderate)</w:t>
            </w:r>
          </w:p>
        </w:tc>
        <w:tc>
          <w:tcPr>
            <w:tcW w:w="1842" w:type="dxa"/>
            <w:vAlign w:val="center"/>
          </w:tcPr>
          <w:p w14:paraId="0FD36077" w14:textId="77777777" w:rsidR="00460D43" w:rsidRDefault="0035159F">
            <w:pPr>
              <w:keepNext/>
              <w:spacing w:before="60" w:after="60"/>
              <w:jc w:val="center"/>
              <w:rPr>
                <w:rFonts w:cs="Arial"/>
                <w:b/>
                <w:sz w:val="20"/>
                <w:szCs w:val="20"/>
              </w:rPr>
            </w:pPr>
            <w:r>
              <w:rPr>
                <w:rFonts w:cs="Arial"/>
                <w:b/>
                <w:sz w:val="20"/>
                <w:szCs w:val="20"/>
              </w:rPr>
              <w:t>Unattained High Risk</w:t>
            </w:r>
          </w:p>
          <w:p w14:paraId="3B286EB3" w14:textId="77777777" w:rsidR="00460D43" w:rsidRDefault="0035159F">
            <w:pPr>
              <w:keepNext/>
              <w:spacing w:before="60" w:after="60"/>
              <w:jc w:val="center"/>
              <w:rPr>
                <w:rFonts w:cs="Arial"/>
                <w:b/>
                <w:sz w:val="20"/>
                <w:szCs w:val="20"/>
              </w:rPr>
            </w:pPr>
            <w:r>
              <w:rPr>
                <w:rFonts w:cs="Arial"/>
                <w:b/>
                <w:sz w:val="20"/>
                <w:szCs w:val="20"/>
              </w:rPr>
              <w:t>(UA High)</w:t>
            </w:r>
          </w:p>
        </w:tc>
        <w:tc>
          <w:tcPr>
            <w:tcW w:w="1843" w:type="dxa"/>
            <w:vAlign w:val="center"/>
          </w:tcPr>
          <w:p w14:paraId="192BAF15" w14:textId="77777777" w:rsidR="00460D43" w:rsidRDefault="0035159F">
            <w:pPr>
              <w:keepNext/>
              <w:spacing w:before="60" w:after="60"/>
              <w:jc w:val="center"/>
              <w:rPr>
                <w:rFonts w:cs="Arial"/>
                <w:b/>
                <w:sz w:val="20"/>
                <w:szCs w:val="20"/>
              </w:rPr>
            </w:pPr>
            <w:r>
              <w:rPr>
                <w:rFonts w:cs="Arial"/>
                <w:b/>
                <w:sz w:val="20"/>
                <w:szCs w:val="20"/>
              </w:rPr>
              <w:t>Unattained Critical Risk</w:t>
            </w:r>
          </w:p>
          <w:p w14:paraId="3BE87B3E" w14:textId="77777777" w:rsidR="00460D43" w:rsidRDefault="0035159F">
            <w:pPr>
              <w:keepNext/>
              <w:spacing w:before="60" w:after="60"/>
              <w:jc w:val="center"/>
              <w:rPr>
                <w:rFonts w:cs="Arial"/>
                <w:b/>
                <w:sz w:val="20"/>
                <w:szCs w:val="20"/>
              </w:rPr>
            </w:pPr>
            <w:r>
              <w:rPr>
                <w:rFonts w:cs="Arial"/>
                <w:b/>
                <w:sz w:val="20"/>
                <w:szCs w:val="20"/>
              </w:rPr>
              <w:t>(UA Critical)</w:t>
            </w:r>
          </w:p>
        </w:tc>
      </w:tr>
      <w:tr w:rsidR="00832CE9" w14:paraId="4A20BC70" w14:textId="77777777">
        <w:tc>
          <w:tcPr>
            <w:tcW w:w="1384" w:type="dxa"/>
            <w:vAlign w:val="center"/>
          </w:tcPr>
          <w:p w14:paraId="29D5EAFD" w14:textId="77777777" w:rsidR="00460D43" w:rsidRDefault="0035159F">
            <w:pPr>
              <w:keepNext/>
              <w:spacing w:before="60" w:after="60"/>
              <w:rPr>
                <w:rFonts w:cs="Arial"/>
                <w:b/>
                <w:sz w:val="20"/>
                <w:szCs w:val="20"/>
              </w:rPr>
            </w:pPr>
            <w:r>
              <w:rPr>
                <w:rFonts w:cs="Arial"/>
                <w:b/>
                <w:sz w:val="20"/>
                <w:szCs w:val="20"/>
              </w:rPr>
              <w:t>Subsection</w:t>
            </w:r>
          </w:p>
        </w:tc>
        <w:tc>
          <w:tcPr>
            <w:tcW w:w="1701" w:type="dxa"/>
            <w:vAlign w:val="center"/>
          </w:tcPr>
          <w:p w14:paraId="0EA4B917" w14:textId="77777777" w:rsidR="00460D43" w:rsidRDefault="0035159F">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05D5E47" w14:textId="77777777" w:rsidR="00460D43" w:rsidRDefault="0035159F">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8F6A919" w14:textId="77777777" w:rsidR="00460D43" w:rsidRDefault="0035159F">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9C22616" w14:textId="77777777" w:rsidR="00460D43" w:rsidRDefault="0035159F">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83BD32A" w14:textId="77777777" w:rsidR="00460D43" w:rsidRDefault="0035159F">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32CE9" w14:paraId="569CC5BB" w14:textId="77777777">
        <w:tc>
          <w:tcPr>
            <w:tcW w:w="1384" w:type="dxa"/>
            <w:vAlign w:val="center"/>
          </w:tcPr>
          <w:p w14:paraId="64E9E7C8" w14:textId="77777777" w:rsidR="00460D43" w:rsidRDefault="0035159F">
            <w:pPr>
              <w:spacing w:before="60" w:after="60"/>
              <w:rPr>
                <w:rFonts w:cs="Arial"/>
                <w:b/>
                <w:sz w:val="20"/>
                <w:szCs w:val="20"/>
              </w:rPr>
            </w:pPr>
            <w:r>
              <w:rPr>
                <w:rFonts w:cs="Arial"/>
                <w:b/>
                <w:sz w:val="20"/>
                <w:szCs w:val="20"/>
              </w:rPr>
              <w:t>Criteria</w:t>
            </w:r>
          </w:p>
        </w:tc>
        <w:tc>
          <w:tcPr>
            <w:tcW w:w="1701" w:type="dxa"/>
            <w:vAlign w:val="center"/>
          </w:tcPr>
          <w:p w14:paraId="7C6DCE5A" w14:textId="77777777" w:rsidR="00460D43" w:rsidRDefault="0035159F">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B9245B6" w14:textId="77777777" w:rsidR="00460D43" w:rsidRDefault="0035159F">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5892A10" w14:textId="77777777" w:rsidR="00460D43" w:rsidRDefault="0035159F">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A1F8494" w14:textId="77777777" w:rsidR="00460D43" w:rsidRDefault="0035159F">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62DD04B" w14:textId="77777777" w:rsidR="00460D43" w:rsidRDefault="0035159F">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75A73C5" w14:textId="77777777" w:rsidR="00460D43" w:rsidRDefault="0035159F">
      <w:pPr>
        <w:pStyle w:val="Heading1"/>
        <w:rPr>
          <w:rFonts w:cs="Arial"/>
        </w:rPr>
      </w:pPr>
      <w:r>
        <w:rPr>
          <w:rFonts w:cs="Arial"/>
        </w:rPr>
        <w:t xml:space="preserve">Attainment against the </w:t>
      </w:r>
      <w:r w:rsidRPr="00FB778F">
        <w:rPr>
          <w:rFonts w:cs="Arial"/>
        </w:rPr>
        <w:t xml:space="preserve">Ngā Paerewa Health and Disability Services Standard </w:t>
      </w:r>
    </w:p>
    <w:p w14:paraId="4418286E" w14:textId="77777777" w:rsidR="00460D43" w:rsidRDefault="0035159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DD3D1F5" w14:textId="77777777" w:rsidR="006331D4" w:rsidRDefault="0035159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22AA793" w14:textId="77777777" w:rsidR="00460D43" w:rsidRDefault="003515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96BB11B" w14:textId="77777777" w:rsidR="00460D43" w:rsidRDefault="0035159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F7D1B" w:rsidRPr="00072079" w14:paraId="6A628145" w14:textId="77777777" w:rsidTr="00283551">
        <w:tc>
          <w:tcPr>
            <w:tcW w:w="2183" w:type="pct"/>
          </w:tcPr>
          <w:p w14:paraId="027D116F" w14:textId="77777777" w:rsidR="00AF7D1B" w:rsidRPr="00072079" w:rsidRDefault="00AF7D1B" w:rsidP="0021734B">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1312874C" w14:textId="77777777" w:rsidR="00AF7D1B" w:rsidRPr="00072079" w:rsidRDefault="00AF7D1B" w:rsidP="0021734B">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48DD3C63" w14:textId="77777777" w:rsidR="00AF7D1B" w:rsidRPr="00072079" w:rsidRDefault="00AF7D1B" w:rsidP="0021734B">
            <w:pPr>
              <w:spacing w:after="240"/>
              <w:rPr>
                <w:rFonts w:eastAsia="Calibri"/>
                <w:b/>
                <w:sz w:val="20"/>
                <w:szCs w:val="20"/>
                <w:lang w:eastAsia="en-NZ"/>
              </w:rPr>
            </w:pPr>
            <w:r w:rsidRPr="00072079">
              <w:rPr>
                <w:rFonts w:eastAsia="Calibri"/>
                <w:b/>
                <w:sz w:val="20"/>
                <w:szCs w:val="20"/>
                <w:lang w:eastAsia="en-NZ"/>
              </w:rPr>
              <w:t>Audit Evidence</w:t>
            </w:r>
          </w:p>
        </w:tc>
      </w:tr>
      <w:tr w:rsidR="00AF7D1B" w:rsidRPr="00072079" w14:paraId="26F94AA4" w14:textId="77777777" w:rsidTr="00283551">
        <w:tc>
          <w:tcPr>
            <w:tcW w:w="2183" w:type="pct"/>
          </w:tcPr>
          <w:p w14:paraId="6006361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1.1: Pae ora healthy futures</w:t>
            </w:r>
          </w:p>
          <w:p w14:paraId="695509A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E5F756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2F28ADD1" w14:textId="3BC82E4C"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512CB212" w14:textId="79965509"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organisation has a cultural policy that states that the provider aims to improve outcomes for Māori residents. The ‘guidelines for provision of culturally safe services for Māori’ aims to work in partnership with Māori residents and whānau and support their aspirations, mana motuhake, and whānau rangatiratanga. The guidelines aim to ensure that caregivers examine their own reality and attitudes they bring to each new client or staff member they encounter. There is a small lounge in the facility that can be used as required for meetings/whānau area for Māori users of the service. Where possible this is able to be made private and has comfortable seating for people. Whānau have access to hot drinks and meal facilities through the kitchen, a visitor’s toilet, and a telephone can be made available. Thornbury House has relationships with Te Roopu Tautoko Ki Te tonga Community Health &amp; Social Services and is working on strengthening relationships with local iwi and Māori providers and communities. The cultural policy, complaint forms and admission documentation are all printed in both English and te reo. A Māori health plan is documented. </w:t>
            </w:r>
          </w:p>
          <w:p w14:paraId="3AB83B2D"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staff interviewed (two registered nurses, three caregivers, one maintenance, one cook, one activities coordinator and one housekeeper) could easily describe ways they get to know what is important to the residents and ensure residents identify their pae ora. </w:t>
            </w:r>
          </w:p>
          <w:p w14:paraId="46A0EEE3" w14:textId="48C2F0A2" w:rsidR="00AF7D1B" w:rsidRPr="00072079" w:rsidRDefault="00AF7D1B" w:rsidP="00AF7D1B">
            <w:pPr>
              <w:spacing w:after="240"/>
              <w:rPr>
                <w:rFonts w:eastAsia="Calibri"/>
                <w:sz w:val="20"/>
                <w:szCs w:val="20"/>
                <w:lang w:eastAsia="en-NZ"/>
              </w:rPr>
            </w:pPr>
            <w:r w:rsidRPr="00AF7D1B">
              <w:rPr>
                <w:rFonts w:eastAsia="Calibri"/>
                <w:sz w:val="20"/>
                <w:szCs w:val="20"/>
                <w:lang w:eastAsia="en-NZ"/>
              </w:rPr>
              <w:t>Currently there are no residents who identify as Māori. The service currently has staff who identify as Māori employed.</w:t>
            </w:r>
          </w:p>
        </w:tc>
      </w:tr>
      <w:tr w:rsidR="00AF7D1B" w:rsidRPr="00072079" w14:paraId="4F84E698" w14:textId="77777777" w:rsidTr="00283551">
        <w:tc>
          <w:tcPr>
            <w:tcW w:w="2183" w:type="pct"/>
          </w:tcPr>
          <w:p w14:paraId="44B136B1" w14:textId="77777777" w:rsidR="00AF7D1B" w:rsidRPr="00072079" w:rsidRDefault="00AF7D1B" w:rsidP="0021734B">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5D8BF838" w14:textId="77777777" w:rsidR="00AF7D1B" w:rsidRPr="00072079" w:rsidRDefault="00AF7D1B" w:rsidP="0021734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5DBE66F7" w14:textId="77777777" w:rsidR="00AF7D1B" w:rsidRPr="00072079" w:rsidRDefault="00AF7D1B" w:rsidP="0021734B">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6C80FDC6" w14:textId="77777777" w:rsidR="00AF7D1B" w:rsidRPr="00072079" w:rsidRDefault="00AF7D1B" w:rsidP="0021734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B949249" w14:textId="6B6F9281"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32022F16" w14:textId="6FF19451"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 service is working towards developing Pacific policies and a Pacific Health Plan in partnership with local Pasifika communities or groups. Links are yet to be made with the local Pasifika community. There are staff members at Thornbury House who identify as Pasifika and currently provide support for the residents who are residing at Thornbury House who identify as Pasifika. Cultural preferences were not always sighted in resident’s care plans</w:t>
            </w:r>
            <w:r w:rsidR="00305909">
              <w:rPr>
                <w:rFonts w:eastAsia="Calibri"/>
                <w:sz w:val="20"/>
                <w:szCs w:val="20"/>
                <w:lang w:eastAsia="en-NZ"/>
              </w:rPr>
              <w:t>.</w:t>
            </w:r>
            <w:r w:rsidRPr="00AF7D1B">
              <w:rPr>
                <w:rFonts w:eastAsia="Calibri"/>
                <w:sz w:val="20"/>
                <w:szCs w:val="20"/>
                <w:lang w:eastAsia="en-NZ"/>
              </w:rPr>
              <w:t xml:space="preserve"> </w:t>
            </w:r>
          </w:p>
          <w:p w14:paraId="18D53B88"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Family/whānau interviews stated that they were satisfied with the choices they were provided regarding their care, activities and the services provided.</w:t>
            </w:r>
          </w:p>
          <w:p w14:paraId="47599065"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The cultural safety policy includes consideration of spiritual needs in care planning. </w:t>
            </w:r>
          </w:p>
          <w:p w14:paraId="7DBCD002" w14:textId="5205512D"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Thornbury House is working towards developing relationships with Pacific communities and organisations, to enable better planning, support, interventions, research, and evaluation of the health and wellbeing of Pacific peoples to improve outcomes.</w:t>
            </w:r>
          </w:p>
        </w:tc>
      </w:tr>
      <w:tr w:rsidR="00AF7D1B" w:rsidRPr="00072079" w14:paraId="47E9E202" w14:textId="77777777" w:rsidTr="00283551">
        <w:tc>
          <w:tcPr>
            <w:tcW w:w="2183" w:type="pct"/>
          </w:tcPr>
          <w:p w14:paraId="388F377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1.3: My rights during service delivery</w:t>
            </w:r>
          </w:p>
          <w:p w14:paraId="694F15A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19FDE668"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3C7CF59A"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20E6FC46" w14:textId="6E348B1A"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7B9C6B97" w14:textId="0AC9931F"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3AD86BC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All staff have received education on the Code as part of orientation and the mandatory two-yearly education programme. Staff interviews confirmed awareness of the Code and observations evidenced practices that demonstrate an understanding of their obligations. Evidence that the Code is implemented in their everyday practice includes (but is not limited to) maintaining residents' privacy, providing residents with choice, and providing opportunities for family/whānau and residents to be involved in resident six-monthly reviews. The annual relative satisfaction survey held in November 2021 evidenced a high level of satisfaction around implementation of the Code of Rights. </w:t>
            </w:r>
          </w:p>
          <w:p w14:paraId="1BAA942C"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Residents and their families are provided with information about the Code as part of an information pack provided on admission to Thornbury House. The admission agreement includes information on the complaints process and the advocacy service. The facility manager and the RN explains the Code during the admission process to ensure understanding. Posters of the Code and pamphlets were visible throughout the facility in te reo Māori and English.</w:t>
            </w:r>
          </w:p>
          <w:p w14:paraId="7A031347"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There is an advocacy policy for staff to follow to ensure the Code is upheld and residents have access to representation. It includes facilitating access to advocacy for a resident if required. This information is displayed at the facility entrance.</w:t>
            </w:r>
          </w:p>
          <w:p w14:paraId="63078CF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Policy and practice include ensuring that all residents right to self-determination is upheld and they are able to practice their own personal values and beliefs. The service is still working on developing a Māori health plan that recognises Māori mana motuhake.</w:t>
            </w:r>
          </w:p>
          <w:p w14:paraId="5868CF69" w14:textId="1B2F4922" w:rsidR="00AF7D1B" w:rsidRPr="00072079" w:rsidRDefault="00AF7D1B" w:rsidP="00AF7D1B">
            <w:pPr>
              <w:spacing w:after="240"/>
              <w:rPr>
                <w:rFonts w:eastAsia="Calibri"/>
                <w:sz w:val="20"/>
                <w:szCs w:val="20"/>
                <w:lang w:eastAsia="en-NZ"/>
              </w:rPr>
            </w:pPr>
            <w:r w:rsidRPr="00AF7D1B">
              <w:rPr>
                <w:rFonts w:eastAsia="Calibri"/>
                <w:sz w:val="20"/>
                <w:szCs w:val="20"/>
                <w:lang w:eastAsia="en-NZ"/>
              </w:rPr>
              <w:t xml:space="preserve">Interview with the prospective owner confirmed residents’ rights will continue to be upheld. The prospective owner interviewed knows and understands the Code and that </w:t>
            </w:r>
            <w:r>
              <w:rPr>
                <w:rFonts w:eastAsia="Calibri"/>
                <w:sz w:val="20"/>
                <w:szCs w:val="20"/>
                <w:lang w:eastAsia="en-NZ"/>
              </w:rPr>
              <w:t xml:space="preserve">it </w:t>
            </w:r>
            <w:r w:rsidRPr="00AF7D1B">
              <w:rPr>
                <w:rFonts w:eastAsia="Calibri"/>
                <w:sz w:val="20"/>
                <w:szCs w:val="20"/>
                <w:lang w:eastAsia="en-NZ"/>
              </w:rPr>
              <w:t>must be adhered to as per policy.</w:t>
            </w:r>
          </w:p>
        </w:tc>
      </w:tr>
      <w:tr w:rsidR="00AF7D1B" w:rsidRPr="00072079" w14:paraId="3437E1C4" w14:textId="77777777" w:rsidTr="00283551">
        <w:tc>
          <w:tcPr>
            <w:tcW w:w="2183" w:type="pct"/>
          </w:tcPr>
          <w:p w14:paraId="7290520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1.4: I am treated with respect</w:t>
            </w:r>
          </w:p>
          <w:p w14:paraId="25A78E3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807AC5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496AA58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1B5DCAF2" w14:textId="4FC74449"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3023E88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Thornbury House ensure that residents and whānau are included in planning and care, which is inclusive of discussion and choices regarding maintaining independence. Interviews with staff, relatives and observation confirmed that individual religious, social preferences, individual values, and beliefs are identified and upheld. These were also documented in resident files.</w:t>
            </w:r>
          </w:p>
          <w:p w14:paraId="6C9B61F2"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Elsdon Enterprises have a policy on sexuality and intimacy that provides outlines for managing expressions of sexuality. Staff interviews confirmed that they assist residents to choose the clothing they wish to wear. Interviews with relatives confirmed that residents can choose what clothing and adornments to wear each day, including make up if they wish to. </w:t>
            </w:r>
          </w:p>
          <w:p w14:paraId="20096CE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organisation has policies and procedures in place to ensure that a resident’s rights to privacy and dignity is upheld. They provide guidelines for respecting and maintaining privacy and dignity. There are spaces where residents can find privacy within communal areas. </w:t>
            </w:r>
          </w:p>
          <w:p w14:paraId="24A3109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Staff were observed to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conservations of a personal nature in private. Interviews with relatives confirmed that resident privacy is respected. Satisfaction survey results evidenced a high level of satisfaction around privacy. Culturally appropriate activities have been introduced such as celebrating Waitangi Day and Matariki. </w:t>
            </w:r>
          </w:p>
          <w:p w14:paraId="1EBF44D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Interviews with staff confirmed that understanding of the cultural needs of Māori including in death and dying as well as the importance of involving family/whānau in the delivery of care. Values and beliefs are identified and upheld. The service is working towards providing more opportunities for tāngata whaikaha to participate in te ao Māori. </w:t>
            </w:r>
          </w:p>
          <w:p w14:paraId="783F6CA5" w14:textId="2AC00455"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facility has community connections for the provision of te reo Māori if residents require this. A range of documentation including resident information and policies are available in te reo.</w:t>
            </w:r>
          </w:p>
        </w:tc>
      </w:tr>
      <w:tr w:rsidR="00AF7D1B" w:rsidRPr="00072079" w14:paraId="2169CE83" w14:textId="77777777" w:rsidTr="00283551">
        <w:tc>
          <w:tcPr>
            <w:tcW w:w="2183" w:type="pct"/>
          </w:tcPr>
          <w:p w14:paraId="5EDCDE5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1.5: I am protected from abuse</w:t>
            </w:r>
          </w:p>
          <w:p w14:paraId="5A4B7E89" w14:textId="77777777" w:rsidR="00AF7D1B" w:rsidRPr="00072079" w:rsidRDefault="00AF7D1B" w:rsidP="0021734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D42251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0D94A1B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A0DC214" w14:textId="0C24CC69"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3EDDFF3E"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policy that defines guidelines and responsibilities of staff for reporting suspected abuse. It includes definition of abuse and guidelines for managing abuse. Staff receive orientation and mandatory annual training on abuse and neglect. Staff interviews confirmed their awareness of their obligations to report any incidences of suspected abuse or neglect. Staff and family/whānau interviews confirmed there was no evidence of abuse or neglect. </w:t>
            </w:r>
          </w:p>
          <w:p w14:paraId="6595B108"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 admission agreement provides clear expectations in the management and responsibilities of personal property and finances. Activated enduring power of attorneys for residents provide consent for the facility to manage the resident’s comfort funds. There was no evidence of abuse of resident property or possessions.</w:t>
            </w:r>
          </w:p>
          <w:p w14:paraId="3AB572FF"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are policies and procedures to ensure that the environment for residents is free from discrimination, racism, coercion, harassment, and financial exploitation. They provide guidance for staff on how this will be prevented and, where suspected, reported. </w:t>
            </w:r>
          </w:p>
          <w:p w14:paraId="5E097A7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Job descriptions include the responsibilities of the position, including ethical issues relevant to each role. Staff are required to sign and abide by the code of conduct and professional boundaries within their contract agreement. All staff files reviewed evidenced these were signed. Staff interviews confirmed their understanding of professional boundaries relevant to their respective roles. Interviews with relatives confirmed that professional boundaries are maintained by staff. </w:t>
            </w:r>
          </w:p>
          <w:p w14:paraId="2CAC6BFE"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Staff interviews described that the service promotes an environment in which residents and their families/whānau feel safe and comfortable to raise any questions or queries, and that discussions are free and frank. The service is working on updating policies to include how institutional and systemic racism is addressed.</w:t>
            </w:r>
          </w:p>
          <w:p w14:paraId="1CDB3AC1" w14:textId="6DB7C8A9"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service is working on developing a Māori health plan which includes how they prioritise a strengths-based and holistic model ensuring wellbeing outcomes for Māori.</w:t>
            </w:r>
          </w:p>
        </w:tc>
      </w:tr>
      <w:tr w:rsidR="00AF7D1B" w:rsidRPr="00072079" w14:paraId="40B9BF43" w14:textId="77777777" w:rsidTr="00283551">
        <w:tc>
          <w:tcPr>
            <w:tcW w:w="2183" w:type="pct"/>
          </w:tcPr>
          <w:p w14:paraId="73244D9B"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1.6: Effective communication occurs</w:t>
            </w:r>
          </w:p>
          <w:p w14:paraId="52C2213A"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7C8199E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12F9A848"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EB98DBA" w14:textId="3298624D"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729063F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open disclosure policy is documented and implemented. All staff interviewed stated that family/whānau are advised as soon as possible of an event occurring. Evidence of this was sighted in the incident reports reviewed, and the monitoring of resident’s post falls was consistently applied. Relatives interviewed stated they felt well informed and were kept up to date with what was going on in the facility especially during Covid lockdown periods. Newsletters keep relatives informed of what’s been happening, including resident activities and what is upcoming within the facility. Management maintains an open-door policy which was confirmed by staff and relatives interviewed. The relative satisfaction survey also evidenced a high level of satisfaction around communication. </w:t>
            </w:r>
          </w:p>
          <w:p w14:paraId="2857635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Interpreter services are available through Te Whatu Ora Southern. At the time of the audit there were no residents who required an interpreter. Information for relatives can be made available in a range of languages. There is signage around the facility in te reo. There were residents residing at Thornbury House where English was not their first language. Staff interviewed described the ways they communicate with these residents and signage they use. The relatives were interviewed and were very complimentary of the care and the way the staff communicate with residents. The facility maintains good relationships with members of the allied health services including the needs assessment team. </w:t>
            </w:r>
          </w:p>
          <w:p w14:paraId="3B8B65A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Family/whānau interviews confirmed that staff are approachable and available to discuss queries and issues. </w:t>
            </w:r>
          </w:p>
          <w:p w14:paraId="7F7EDB8D" w14:textId="6DC7E8CC"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resident admission agreement signed by the enduring power of attorney (EPOA), confirms for residents, what is and what is not included in service provision.</w:t>
            </w:r>
          </w:p>
        </w:tc>
      </w:tr>
      <w:tr w:rsidR="00AF7D1B" w:rsidRPr="00072079" w14:paraId="2B51C847" w14:textId="77777777" w:rsidTr="00283551">
        <w:tc>
          <w:tcPr>
            <w:tcW w:w="2183" w:type="pct"/>
          </w:tcPr>
          <w:p w14:paraId="30EB3DB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4BAC51A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CC647C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DBC15F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3A2ECC2" w14:textId="4E60A8A4"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3A05FBC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Thornbury House has an informed consent policy which provides guidelines for staff to ensure adherence to the legal and ethical requirements of informed consent and informed choice. Staff receive orientation and training on informed consent and all staff interviewed, including non-clinical staff, demonstrated that they are cognizant of the procedures to uphold informed consent. The information pack includes information regarding informed consent. The facility manager or clinical lead discuss and explain informed consent to residents/whānau/EPOA during the admission process to ensure understanding. This includes consent for resuscitation and advance directives. </w:t>
            </w:r>
          </w:p>
          <w:p w14:paraId="12983D4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Verbal consent is expected for activities of daily living. File reviews demonstrated that advance directives and resuscitation orders are completed in accordance with policy. Enduring power of attorneys (EPOAs) were activated. </w:t>
            </w:r>
          </w:p>
          <w:p w14:paraId="5C61B461" w14:textId="7572E983"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service is working towards implementing new policies which reflect Tikanga practices in relation to consent. The RNs and manager interviewed could describe observing tikanga best practice in relation to consent. The management and staff acknowledge the importance of whānau support and involvements in the decision-making, care, and treatment of the resident.</w:t>
            </w:r>
          </w:p>
        </w:tc>
      </w:tr>
      <w:tr w:rsidR="00AF7D1B" w:rsidRPr="00072079" w14:paraId="19B05430" w14:textId="77777777" w:rsidTr="00283551">
        <w:tc>
          <w:tcPr>
            <w:tcW w:w="2183" w:type="pct"/>
          </w:tcPr>
          <w:p w14:paraId="7B7D19D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1.8: I have the right to complain</w:t>
            </w:r>
          </w:p>
          <w:p w14:paraId="09563DD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C8EC24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1BC137C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E868AEA" w14:textId="2E49F830"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6D76F43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Elsdon Enterprises have a complaints policy and process to manage complaints in line with Right 10 of the Code. The complaint process is made available in the admission agreement and explained by the facility manager or clinical nurse lead on the resident’s admission. The complaint forms and a complaint box are also available in resident areas in the facility. </w:t>
            </w:r>
          </w:p>
          <w:p w14:paraId="0783333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facility manager is responsible for managing complaints. A complaints register is in place that includes the name of the complainant, date the complaint is received, the date the complaint was responded to, the date of the resolution, as well as the date the complaint is signed off. Evidence relating to the complaint is held in the complaints register. There has been one complaint in 2020 received since the previous audit, none in 2021 and none to date in 2022. Interview with the facility manager and a review of the complaint made, indicated that complaints are investigated promptly, and issues are resolved in a timely manner. Complaints (when there are any) are discussed at staff meetings. </w:t>
            </w:r>
          </w:p>
          <w:p w14:paraId="4F5104B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Interviews with the facility manager, staff and relatives confirmed that relatives are able to raise any concerns and provide feedback on services and this includes discussing and explaining the complaints process. Relative interviews confirmed that they are aware of the complaints process and stated that they had been able to raise any issues directly with the facility manager or clinical manager. Complaint forms are available at the entrance to the facility and were available in English and te reo. The facility manager reports complaint forms can be available in a range of languages where required. </w:t>
            </w:r>
          </w:p>
          <w:p w14:paraId="722F001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have been no complaints received from external agencies since the previous audit. </w:t>
            </w:r>
          </w:p>
          <w:p w14:paraId="6A8C0BDF" w14:textId="77777777" w:rsidR="00AF7D1B" w:rsidRPr="00072079" w:rsidRDefault="00AF7D1B" w:rsidP="0021734B">
            <w:pPr>
              <w:spacing w:after="240"/>
              <w:rPr>
                <w:rFonts w:eastAsia="Calibri"/>
                <w:sz w:val="20"/>
                <w:szCs w:val="20"/>
                <w:lang w:eastAsia="en-NZ"/>
              </w:rPr>
            </w:pPr>
          </w:p>
        </w:tc>
      </w:tr>
      <w:tr w:rsidR="00AF7D1B" w:rsidRPr="00072079" w14:paraId="118E66D4" w14:textId="77777777" w:rsidTr="00283551">
        <w:tc>
          <w:tcPr>
            <w:tcW w:w="2183" w:type="pct"/>
          </w:tcPr>
          <w:p w14:paraId="1C9A77A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2.1: Governance</w:t>
            </w:r>
          </w:p>
          <w:p w14:paraId="6CEDF13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7F4B2B0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1BFD045" w14:textId="6AAABC30" w:rsidR="00AF7D1B" w:rsidRPr="00072079" w:rsidRDefault="00AF7D1B" w:rsidP="0021734B">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162824" w:rsidRPr="00072079">
              <w:rPr>
                <w:rFonts w:eastAsia="Calibri"/>
                <w:sz w:val="20"/>
                <w:szCs w:val="20"/>
                <w:lang w:eastAsia="en-NZ"/>
              </w:rPr>
              <w:t>high-quality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36A5973F" w14:textId="2354798B"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2A31481C"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Thornbury House is one of four aged care facilities owned by Elsdon Enterprises. Thornbury House provides care for up to 33 dementia level of care residents, with 29 residents living at the facility on the day of the audit. All residents were under the aged residential care (ARRC) contract. </w:t>
            </w:r>
          </w:p>
          <w:p w14:paraId="3FA81DF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Elsdon Enterprises is a family-owned company. With one chief executive officer (CEO) and an outgoing CEO providing mentorship. The head office is based in Christchurch. All resident admissions and human resources services are based in Christchurch. The facility managers provide a quarterly report to the CEO which covers all aspects of the service. </w:t>
            </w:r>
          </w:p>
          <w:p w14:paraId="2F930EC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There is a business plan for 2022- 2023 that includes a mission statement and operational objectives. An annual review of the quality programme is conducted by the manager and the CEO. The annual business plan is a living document and is reviewed and added to on a regular basis. The manager keeps a monthly overview of quality improvements including refurbishments. The CEO meets with the manager three-monthly to discuss the annual business plan, review towards meeting goals, and the monthly reports. Informal phone calls occur on a more regular basis, at least weekly.</w:t>
            </w:r>
          </w:p>
          <w:p w14:paraId="37AAFE60"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Thornbury House has a quality assurance and risk management programme in place. There is a risk management schedule and documented quality objectives that align with the identified values and philosophy. Annual satisfaction surveys are held to gauge satisfaction with all areas of the service. Results are analysed, and any area identified as low satisfaction are acted upon. </w:t>
            </w:r>
          </w:p>
          <w:p w14:paraId="35ED7C0C"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CEO has completed cultural training and a course through the health and disability commissioner. The service is working towards including Māori representation at governance level to have input into policy, ensuring equitable services are provided to tāngata whaikaha and Māori residents. Training around cultural safety and the Treaty of Waitangi is planned to be rolled out to staff before the end of the year. </w:t>
            </w:r>
          </w:p>
          <w:p w14:paraId="72BCA3A9" w14:textId="2E9FCD89"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manager (non-clinical) is responsible for the day-to-day running of the home and has been in her role for three years. Clinical oversight is provided by an experienced clinical lead/registered nurse who had just been employed the week of the audit. The RN from a sister facility has been providing clinical oversight during RN absence at Thornbury </w:t>
            </w:r>
            <w:r w:rsidR="00891B9E" w:rsidRPr="00AF7D1B">
              <w:rPr>
                <w:rFonts w:eastAsia="Calibri"/>
                <w:sz w:val="20"/>
                <w:szCs w:val="20"/>
                <w:lang w:eastAsia="en-NZ"/>
              </w:rPr>
              <w:t>house and</w:t>
            </w:r>
            <w:r w:rsidRPr="00AF7D1B">
              <w:rPr>
                <w:rFonts w:eastAsia="Calibri"/>
                <w:sz w:val="20"/>
                <w:szCs w:val="20"/>
                <w:lang w:eastAsia="en-NZ"/>
              </w:rPr>
              <w:t xml:space="preserve"> will continue to provide mentorship for the newly employed RN. The newly appointed RN has a background in psychiatric nursing and is a trained pharmacy technician. They are supported by a team of experienced long-standing staff.</w:t>
            </w:r>
          </w:p>
          <w:p w14:paraId="49DF794A"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manager has maintained at least eight hours annually of professional development activities related to managing a rest home. </w:t>
            </w:r>
          </w:p>
          <w:p w14:paraId="1D3CDF2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 prospective owners are based in Milton and have previously been directors in Eldson Enterprises (current owner). The prospective owners have owned an aged care facility in Milton since December 2021 and managed the facility for seven years prior to ownership. Both of the prospective owners have experience in aged care management and working with residents with dementia. The facility in Milton will become the head office. The takeover date is planned for 1 December 2022.</w:t>
            </w:r>
          </w:p>
          <w:p w14:paraId="4348C742"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 prospective owner interviewed reported there will be no changes to management, staffing, rosters, or the environment at Thornbury House. The current policy management and quality programme is in line with the prospective owner’s quality programme purchased from the same external contractor. Both prospective owners interviewed are knowledgeable in the requirements to meet the Health and Disability Standards and obligations under the contract.</w:t>
            </w:r>
          </w:p>
          <w:p w14:paraId="5A1119C0"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It is the new owner’s intention to facilitate a smooth transition at an operational level and to minimise disruption to staff and residents. A transition plan has been developed to change finance and payroll services from Elsdon Enterprises Ltd to Phantom 2021 Ltd for Thornbury House. </w:t>
            </w:r>
          </w:p>
          <w:p w14:paraId="5D15AE5E"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an organisational chart with a reporting structure. Organisational reporting will include monthly manager meetings. The manager will provide quarterly reports to include a range of operational information including (but not limited to) enquiries, occupancy, quality data, and finances. </w:t>
            </w:r>
          </w:p>
          <w:p w14:paraId="23CF414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a business plan documented with a mission and philosophy statement and commitment to professional support, a stable workforce, robust quality management, business strengths, weaknesses, and opportunities. </w:t>
            </w:r>
          </w:p>
          <w:p w14:paraId="09A81DDD" w14:textId="77777777" w:rsidR="00AF7D1B" w:rsidRPr="00072079" w:rsidRDefault="00AF7D1B" w:rsidP="0021734B">
            <w:pPr>
              <w:spacing w:after="240"/>
              <w:rPr>
                <w:rFonts w:eastAsia="Calibri"/>
                <w:sz w:val="20"/>
                <w:szCs w:val="20"/>
                <w:lang w:eastAsia="en-NZ"/>
              </w:rPr>
            </w:pPr>
          </w:p>
        </w:tc>
      </w:tr>
      <w:tr w:rsidR="00AF7D1B" w:rsidRPr="00072079" w14:paraId="09FB8D06" w14:textId="77777777" w:rsidTr="00283551">
        <w:tc>
          <w:tcPr>
            <w:tcW w:w="2183" w:type="pct"/>
          </w:tcPr>
          <w:p w14:paraId="1F0B87B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2.2: Quality and risk</w:t>
            </w:r>
          </w:p>
          <w:p w14:paraId="18615F6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A94CA0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69184F4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4A74378" w14:textId="53DD862D" w:rsidR="00AF7D1B" w:rsidRPr="00072079" w:rsidRDefault="00AF7D1B" w:rsidP="0021734B">
            <w:pPr>
              <w:spacing w:after="240"/>
              <w:rPr>
                <w:rFonts w:eastAsia="Calibri"/>
                <w:sz w:val="20"/>
                <w:szCs w:val="20"/>
                <w:lang w:eastAsia="en-NZ"/>
              </w:rPr>
            </w:pPr>
            <w:r>
              <w:rPr>
                <w:rFonts w:eastAsia="Calibri"/>
                <w:sz w:val="20"/>
                <w:szCs w:val="20"/>
                <w:lang w:eastAsia="en-NZ"/>
              </w:rPr>
              <w:t>PA Low</w:t>
            </w:r>
          </w:p>
        </w:tc>
        <w:tc>
          <w:tcPr>
            <w:tcW w:w="2308" w:type="pct"/>
          </w:tcPr>
          <w:p w14:paraId="62184C2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organisation has a quality and risk management plan that is reviewed annually and developed with input from facility staff. The plan outlines the quality and risk management framework to promote continuous quality improvement. The organisation is in the process of implementing recently purchased policies that align with the Ngā Paerewa 2021 Services Standard. </w:t>
            </w:r>
          </w:p>
          <w:p w14:paraId="592EF15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an implemented annual schedule of internal audits. Areas of non-compliance from the internal audits include the implementation of a corrective action plan with sign off by the facility manager when completed. Identified trends are raised for discussion within the quality meetings. </w:t>
            </w:r>
          </w:p>
          <w:p w14:paraId="78EDDA77"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clinical lead collates a range of data monthly including (but not limited to), infections, incidents and accidents, and internal audit results. Corrective actions (where identified) are completed and signed off by both managers. Graphs of the monthly data are posted in the staffrooms and are attached to meeting minutes. The service is working towards benchmarking with other sister facilities. </w:t>
            </w:r>
          </w:p>
          <w:p w14:paraId="57E30017"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Regular meetings are held with staff where a variety of topics are concerned; however, there was no evidence in the meeting minutes around discussion of quality data and any associated corrective actions required. There was no evidence of closure of corrective actions which arose from the previous meeting. </w:t>
            </w:r>
          </w:p>
          <w:p w14:paraId="3A874BBF"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health and safety officer interviewed (previous director and prospective owner) currently oversees the health and safety programme for Elsdon Enterprises. Health and safety is discussed at staff meetings. Completed hazard identification forms reviewed and staff interviews confirmed that hazards are identified. The hazard register is relevant to the service, available to staff and has been regularly updated and reviewed. The maintenance person oversees all three facilities and attend to any health and safety issues and all maintenance. The health and safety officer meets with facility managers on a regular basis and attends staff meetings annually or as required. All contractors’ complete annual inductions around hazard management and health and safety related to being in a secure environment. </w:t>
            </w:r>
          </w:p>
          <w:p w14:paraId="7371AC9C"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facility follows the adverse event reporting policy for external and internal reporting (where required) to reduce preventable harm by supporting system learnings. There was an outbreak in 2022, appropriate notifications were made in a timely manner. The facility manager could describe instances where a section 31 notification would be required. </w:t>
            </w:r>
          </w:p>
          <w:p w14:paraId="6AF7CEC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A sample of 10 incident reports were reviewed. All were fully completed and detailed a description of the incident and resident’s injury. There was evidence of timely RN notification (when not on site) and follow up. Neurological observations were fully completed and signed off by the clinical lead. All reports reviewed were signed off as reviewed by the manager. Opportunities to prevent further incidents have been identified (where able) and implemented. </w:t>
            </w:r>
          </w:p>
          <w:p w14:paraId="3FC4E76F"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Training around the Treaty of Waitangi is planned to be rolled out to staff. All staff interviewed could easily describe ways to provide high quality care for Māori residents based on past experiences. The organisation is working towards how they can improve health equity through critical analysis of organisational practices.</w:t>
            </w:r>
          </w:p>
          <w:p w14:paraId="7FD42E27" w14:textId="7FEF753F"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prospective owner advised on interview that policies and procedures and the current quality and risk management system will remain in place.</w:t>
            </w:r>
          </w:p>
        </w:tc>
      </w:tr>
      <w:tr w:rsidR="00AF7D1B" w:rsidRPr="00072079" w14:paraId="66FFA39B" w14:textId="77777777" w:rsidTr="00283551">
        <w:tc>
          <w:tcPr>
            <w:tcW w:w="2183" w:type="pct"/>
          </w:tcPr>
          <w:p w14:paraId="125DE69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2.3: Service management</w:t>
            </w:r>
          </w:p>
          <w:p w14:paraId="3763E64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E8701B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6C58EED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ACEAA02" w14:textId="2F570720" w:rsidR="00AF7D1B" w:rsidRPr="00072079" w:rsidRDefault="00AF7D1B" w:rsidP="0021734B">
            <w:pPr>
              <w:spacing w:after="240"/>
              <w:rPr>
                <w:rFonts w:eastAsia="Calibri"/>
                <w:sz w:val="20"/>
                <w:szCs w:val="20"/>
                <w:lang w:eastAsia="en-NZ"/>
              </w:rPr>
            </w:pPr>
            <w:r>
              <w:rPr>
                <w:rFonts w:eastAsia="Calibri"/>
                <w:sz w:val="20"/>
                <w:szCs w:val="20"/>
                <w:lang w:eastAsia="en-NZ"/>
              </w:rPr>
              <w:t>PA Low</w:t>
            </w:r>
          </w:p>
        </w:tc>
        <w:tc>
          <w:tcPr>
            <w:tcW w:w="2308" w:type="pct"/>
          </w:tcPr>
          <w:p w14:paraId="71982EEA"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There are policies in place to describe rostering requirements, which includes the rationale for staff rostering and skill mix to ensure staffing levels are maintained at a safe level.</w:t>
            </w:r>
          </w:p>
          <w:p w14:paraId="764CC9D4"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Interviews with relatives and staff confirmed that staffing levels are sufficient. Rosters reviewed evidenced that staff were replaced when sick by other staff members picking up extra shifts. </w:t>
            </w:r>
          </w:p>
          <w:p w14:paraId="7AE7CFE9"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 manager works 40 hours per week, Monday to Friday, and participates in the on-call roster for any non-clinical emergency issues. The RN works 40 hours per week and is available for clinical support.</w:t>
            </w:r>
          </w:p>
          <w:p w14:paraId="2A200E43"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Morning shift has four caregivers rostered: 2x (one who is medication competent) 7am to 3pm, 1x 7am to 1.30pm, and 1x 7am to 11am.</w:t>
            </w:r>
          </w:p>
          <w:p w14:paraId="2ACFFA7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Afternoon shift has three caregivers rostered; 1X 3pm to 11.15pm, 1x 3pm to 11pm, and 1x 3pm to 9.30pm. There are two caregivers rostered overnight from 11pm to 7am. The activities coordinator is available Monday to Friday. There is dedicated housekeeping staff. </w:t>
            </w:r>
          </w:p>
          <w:p w14:paraId="07C907DF"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facility manager reported there has been an unusually higher turnover of care staff since the previous audit mainly due to Covid mandates, staff retiring or moving out of the district. There has been a high turnover of RNs. </w:t>
            </w:r>
          </w:p>
          <w:p w14:paraId="463F988E"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newly appointed RN is interRAI trained and has access to external education through Te Whatu Ora and hospice. </w:t>
            </w:r>
          </w:p>
          <w:p w14:paraId="10CC4F50"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Caregivers are encouraged to complete Careerforce training in New Zealand Qualification Standards (NZQA). There are a number of experienced staff who have been employed for more than 10 years. Long-term staff have several years’ experience at the facility and are deemed as NZQA level 4 equivalent and have completed previous ACE training. There are a total of twelve caregivers; eight have completed the relevant dementia qualifications. The remaining four have been employed within the last eighteen months and are working towards completion. All staff have current first aid certificates. </w:t>
            </w:r>
          </w:p>
          <w:p w14:paraId="090B6DB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There is an implemented two-year cycle for training. Topics include (but are not limited to): fire evacuation; chemical safety; hazard management; falls prevention; infection control; manual handling; cultural safety; Health and Disability Code of Rights; restraint; and challenging behaviour. However, this has not always been adhered to. Staff competencies and education scheduled are relevant to the needs of aged care residents with dementia. The service is working towards ensuring staff have validated expertise in provision of high-quality healthcare for residents in the service by providing further training around the Treaty of Waitangi.</w:t>
            </w:r>
          </w:p>
          <w:p w14:paraId="167D6538"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Support systems promote health care and support worker wellbeing, and a positive work environment was confirmed in staff interviews. Employee support services are available as required, as well as support for staff and whānau during Covid-19 lockdowns. The staff interviewed described a good culture of teamwork and camaraderie throughout all shifts. </w:t>
            </w:r>
          </w:p>
          <w:p w14:paraId="63A0D75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 service collects resident ethnicity to inform data regarding Māori health information. There is a variety of information collated and reviewed monthly which would include information around Māori health, when there are residents who identify as Māori residing at the facility. </w:t>
            </w:r>
          </w:p>
          <w:p w14:paraId="555CDFB9" w14:textId="2C7298E0"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prospective owner does not plan to make any changes to the management, staffing or rostering.</w:t>
            </w:r>
          </w:p>
        </w:tc>
      </w:tr>
      <w:tr w:rsidR="00AF7D1B" w:rsidRPr="00072079" w14:paraId="3D8C2236" w14:textId="77777777" w:rsidTr="00283551">
        <w:tc>
          <w:tcPr>
            <w:tcW w:w="2183" w:type="pct"/>
          </w:tcPr>
          <w:p w14:paraId="7834649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2.4: Health care and support workers</w:t>
            </w:r>
          </w:p>
          <w:p w14:paraId="0D05168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73D3EB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39AA80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F2CCFF5" w14:textId="421FFF0A"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270A2F41" w14:textId="6CD4C131"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Human resource management follow policies and procedures which adhere to the principles of good employment practice and the Employment Relations Act 2000. Review of five staff files (three caregivers, one activities coordinator and the cook) confirmed the organisation’s policy is consistently implemented and records maintained. The recruitment processes include police vetting, reference checks, signed contract agreements, and job descriptions. Current practising certificates were sighted for all staff and contractors who require these to practice. Personnel involved in driving the van held current driver licences and first aid certificates. Non-clinical staff include housekeepers, a maintenance person, and kitchen staff. </w:t>
            </w:r>
          </w:p>
          <w:p w14:paraId="4CC39D6A"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it was appropriate to their role. </w:t>
            </w:r>
          </w:p>
          <w:p w14:paraId="077ACC52"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Annual performance appraisals were completed for all staff requiring these and three-monthly reviews had been carried out for newly appointed staff. </w:t>
            </w:r>
          </w:p>
          <w:p w14:paraId="0CFD0CFB"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Staff competencies and scheduled education are relevant to the needs of aged care residents with dementia.</w:t>
            </w:r>
          </w:p>
          <w:p w14:paraId="7532EBC7" w14:textId="62E7AC95" w:rsidR="00AF7D1B" w:rsidRPr="00072079" w:rsidRDefault="00AF7D1B" w:rsidP="00AF7D1B">
            <w:pPr>
              <w:spacing w:after="240"/>
              <w:rPr>
                <w:rFonts w:eastAsia="Calibri"/>
                <w:sz w:val="20"/>
                <w:szCs w:val="20"/>
                <w:lang w:eastAsia="en-NZ"/>
              </w:rPr>
            </w:pPr>
            <w:r w:rsidRPr="00AF7D1B">
              <w:rPr>
                <w:rFonts w:eastAsia="Calibri"/>
                <w:sz w:val="20"/>
                <w:szCs w:val="20"/>
                <w:lang w:eastAsia="en-NZ"/>
              </w:rPr>
              <w:t>Records show that staff ethnicity data is collected, recorded, and used in accordance with Health Information Standards Organisation (HSO) requirements. Staff meeting minutes reviewed show that staff have the opportunity to be involved in debriefing and discussion following incidents. Support for staff wellbeing is provided as required. A debrief meeting was held following the Covid outbreak. Staff have access to employee assistance programmes.</w:t>
            </w:r>
          </w:p>
        </w:tc>
      </w:tr>
      <w:tr w:rsidR="00AF7D1B" w:rsidRPr="00072079" w14:paraId="6ACD61AA" w14:textId="77777777" w:rsidTr="00283551">
        <w:tc>
          <w:tcPr>
            <w:tcW w:w="2183" w:type="pct"/>
          </w:tcPr>
          <w:p w14:paraId="4409414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2.5: Information</w:t>
            </w:r>
          </w:p>
          <w:p w14:paraId="3219AAC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DB8EB9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5A33814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4F4920A" w14:textId="7B9652B2"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2C72AED7"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Residents’ records are managed in a paper-based format, while medicines are managed in an electronic system.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46AA3271"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Any hard copy information is locked away when not in use. Documentation containing sensitive resident information is not displayed in a way that could be viewed by other residents or members of the public. </w:t>
            </w:r>
          </w:p>
          <w:p w14:paraId="0A5DE5B5"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Each resident’s information is maintained in an individual, uniquely identifiable record. Records include information obtained on admission, with input from the residents’ family where applicable.</w:t>
            </w:r>
          </w:p>
          <w:p w14:paraId="3593310C" w14:textId="4F41FD43"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clinical records are integrated, including information such as medical notes, assessment information and reports from other health professionals. The service is not responsible for registering residents with the National Health Index (NHI).</w:t>
            </w:r>
          </w:p>
        </w:tc>
      </w:tr>
      <w:tr w:rsidR="00AF7D1B" w:rsidRPr="00072079" w14:paraId="2B834D96" w14:textId="77777777" w:rsidTr="00283551">
        <w:tc>
          <w:tcPr>
            <w:tcW w:w="2183" w:type="pct"/>
          </w:tcPr>
          <w:p w14:paraId="64289B7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3.1: Entry and declining entry</w:t>
            </w:r>
          </w:p>
          <w:p w14:paraId="04E0DC8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178042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344403F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059E71D" w14:textId="0D39F65F" w:rsidR="00AF7D1B" w:rsidRPr="00072079" w:rsidRDefault="00AF7D1B" w:rsidP="0021734B">
            <w:pPr>
              <w:spacing w:after="240"/>
              <w:rPr>
                <w:rFonts w:eastAsia="Calibri"/>
                <w:sz w:val="20"/>
                <w:szCs w:val="20"/>
                <w:lang w:eastAsia="en-NZ"/>
              </w:rPr>
            </w:pPr>
            <w:r>
              <w:rPr>
                <w:rFonts w:eastAsia="Calibri"/>
                <w:sz w:val="20"/>
                <w:szCs w:val="20"/>
                <w:lang w:eastAsia="en-NZ"/>
              </w:rPr>
              <w:t>FA</w:t>
            </w:r>
          </w:p>
        </w:tc>
        <w:tc>
          <w:tcPr>
            <w:tcW w:w="2308" w:type="pct"/>
          </w:tcPr>
          <w:p w14:paraId="3C31D2BA" w14:textId="77777777" w:rsidR="00AF7D1B" w:rsidRPr="00AF7D1B" w:rsidRDefault="00AF7D1B" w:rsidP="00AF7D1B">
            <w:pPr>
              <w:spacing w:after="240"/>
              <w:rPr>
                <w:rFonts w:eastAsia="Calibri"/>
                <w:sz w:val="20"/>
                <w:szCs w:val="20"/>
                <w:lang w:eastAsia="en-NZ"/>
              </w:rPr>
            </w:pPr>
            <w:r w:rsidRPr="00AF7D1B">
              <w:rPr>
                <w:rFonts w:eastAsia="Calibri"/>
                <w:sz w:val="20"/>
                <w:szCs w:val="20"/>
                <w:lang w:eastAsia="en-NZ"/>
              </w:rPr>
              <w:t xml:space="preserve">Entry into the service is facilitated for residents and their family/ whānau in a competent, equitable, timely and respectful manner. Admission information packs are provided for family/whānau and residents prior to admission or on entry to the service. Admission agreements reviewed aligned with all contractual requirements. Exclusions from the service are included in the admission agreement. Family/whānau members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RN is available to answer any questions regarding the admission process and a waiting list is managed. Declining entry would only be if there were no beds available or the potential resident did not meet the admission criteria. Potential residents are provided with alternative options and links to the community if admission is not possible. </w:t>
            </w:r>
          </w:p>
          <w:p w14:paraId="04041416" w14:textId="5E6DFEB0" w:rsidR="00AF7D1B" w:rsidRPr="00072079" w:rsidRDefault="00AF7D1B" w:rsidP="00AF7D1B">
            <w:pPr>
              <w:spacing w:after="240"/>
              <w:rPr>
                <w:rFonts w:eastAsia="Calibri"/>
                <w:sz w:val="20"/>
                <w:szCs w:val="20"/>
                <w:lang w:eastAsia="en-NZ"/>
              </w:rPr>
            </w:pPr>
            <w:r w:rsidRPr="00AF7D1B">
              <w:rPr>
                <w:rFonts w:eastAsia="Calibri"/>
                <w:sz w:val="20"/>
                <w:szCs w:val="20"/>
                <w:lang w:eastAsia="en-NZ"/>
              </w:rPr>
              <w:t>The service collects ethnicity information at the time of admission from individual residents. The service collates ethnicity data along with entry and decline rates. The service also has relationships with Te Roopu Tautoko Ki Te Tonga - Community Health &amp; Social Services, that would be able to provide support for future residents and relatives who identify as Māori.</w:t>
            </w:r>
          </w:p>
        </w:tc>
      </w:tr>
      <w:tr w:rsidR="00AF7D1B" w:rsidRPr="00072079" w14:paraId="76CAEEDE" w14:textId="77777777" w:rsidTr="00283551">
        <w:tc>
          <w:tcPr>
            <w:tcW w:w="2183" w:type="pct"/>
          </w:tcPr>
          <w:p w14:paraId="674432C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3.2: My pathway to wellbeing</w:t>
            </w:r>
          </w:p>
          <w:p w14:paraId="3E5DF55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3599985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60753E7B"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CEAD379" w14:textId="3144011A" w:rsidR="00AF7D1B" w:rsidRPr="00072079" w:rsidRDefault="00911871" w:rsidP="0021734B">
            <w:pPr>
              <w:spacing w:after="240"/>
              <w:rPr>
                <w:rFonts w:eastAsia="Calibri"/>
                <w:sz w:val="20"/>
                <w:szCs w:val="20"/>
                <w:lang w:eastAsia="en-NZ"/>
              </w:rPr>
            </w:pPr>
            <w:r>
              <w:rPr>
                <w:rFonts w:eastAsia="Calibri"/>
                <w:sz w:val="20"/>
                <w:szCs w:val="20"/>
                <w:lang w:eastAsia="en-NZ"/>
              </w:rPr>
              <w:t>PA Moderate</w:t>
            </w:r>
          </w:p>
        </w:tc>
        <w:tc>
          <w:tcPr>
            <w:tcW w:w="2308" w:type="pct"/>
          </w:tcPr>
          <w:p w14:paraId="2A6CF550"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A sample of six resident files were reviewed, two of the six care plans were new admissions and as such were not yet due for six-monthly evaluations or six-monthly interRAI reassessments. There is evidence of family/whānau involvement in the interRAI assessments, and long-term care plans reviewed. Information is documented in paper-based progress notes and family contact forms. </w:t>
            </w:r>
          </w:p>
          <w:p w14:paraId="310BBE94"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Admission assessments and initial care plans are completed by the RN; however, not all of the assessments have been completed as per policy. Long-term care plans were developed based on a range of clinical risk assessments including falls risk, challenging behaviour, pressure injury, skin integrity, dietary profiles, and pain along with interRAI, referral information, resident, and family/ whānau input. The initial interRAI assessments were completed in all files that required them (one new admission file was not yet due). All residents had current interRAI assessments completed, and the relevant outcome scores have supported care plan goals and interventions in the reviewed files. Cultural and social assessments are completed with assessment of residents’ strengths, goals and aspirations and aligns with their values and beliefs in the planning process. However, there was limited cultural assessment and information in the long-term care plan around cultural needs. The long-term resident files reviewed did not evidence care plan evaluations. Short-term care plans are used for acute changes and were reviewed weekly or earlier if clinically indicated. There are comprehensive activity care plans and 24-hour dementia plans.</w:t>
            </w:r>
          </w:p>
          <w:p w14:paraId="2A9AF64E"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When a resident’s condition alters, the RN initiates a review with the GP. Family/whānau are notified of all changes to health including infections, accident/incidents, general practitioner visits, medication changes and changes to health status. However, care plans reviewed were not always adequately updated as short-term care plans are signed off or other changes to the residents’ requirements. Family/whānau interviewed confirm they are involved in the care planning and review processes and are informed of any changes in the resident’s condition. </w:t>
            </w:r>
          </w:p>
          <w:p w14:paraId="15E7CD34"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The RN and caregivers interviewed were able to describe supporting all residents to identify their own pae ora outcomes based on information received during the admission and care planning process. The RN described identifying and reducing barriers for EPOA of residents to accessing information and services relevant to optimising resident cares. </w:t>
            </w:r>
          </w:p>
          <w:p w14:paraId="78B80693"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Caregivers interviewed described a verbal handover at the beginning of each duty that maintains a continuity of service delivery. Progress notes are written at the end of each shift by caregivers. There was no evidence of at least weekly progress notes by the RN regarding the resident’s attainment of their goals, incidents, or changes in health status.</w:t>
            </w:r>
          </w:p>
          <w:p w14:paraId="46E12891"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The general practitioner completes medical assessments within five working days of admission, or as clinically indicated, and reviewed when a resident’s condition changes. A full medical review occurs every three months and this was verified in reviewed residents’ records and interviews with the general practitioner. Examples were sighted of referrals made to the general practitioner when a resident’s needs changed, and timely referrals to relevant specialist services as indicated. The general practitioner interviewed reported that the service is providing a comprehensive level of care, medical orders are carried out in a timely manner and staff are very proactive at contacting the general practitioner should a resident’s condition change. </w:t>
            </w:r>
          </w:p>
          <w:p w14:paraId="46DE238F"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A range of equipment and resources are available and suited to the levels of care provided and in accordance with each residents’ needs. A wound register is maintained. There were no residents with wounds on the day of the audit. Wound documentation available to the RN includes wound assessment with a body map, wound management plan and evaluation. </w:t>
            </w:r>
          </w:p>
          <w:p w14:paraId="27BF73D1" w14:textId="5FF44BAB" w:rsidR="00AF7D1B" w:rsidRPr="00072079" w:rsidRDefault="00911871" w:rsidP="0055707B">
            <w:pPr>
              <w:spacing w:after="240"/>
              <w:rPr>
                <w:rFonts w:eastAsia="Calibri"/>
                <w:sz w:val="20"/>
                <w:szCs w:val="20"/>
                <w:lang w:eastAsia="en-NZ"/>
              </w:rPr>
            </w:pPr>
            <w:r w:rsidRPr="00911871">
              <w:rPr>
                <w:rFonts w:eastAsia="Calibri"/>
                <w:sz w:val="20"/>
                <w:szCs w:val="20"/>
                <w:lang w:eastAsia="en-NZ"/>
              </w:rPr>
              <w:t>A range of monitoring charts are available for staff to utilise including (but not limited to) behaviour, vital signs and resident weights, food, and fluid charts.</w:t>
            </w:r>
          </w:p>
        </w:tc>
      </w:tr>
      <w:tr w:rsidR="00AF7D1B" w:rsidRPr="00072079" w14:paraId="57B699C6" w14:textId="77777777" w:rsidTr="00283551">
        <w:tc>
          <w:tcPr>
            <w:tcW w:w="2183" w:type="pct"/>
          </w:tcPr>
          <w:p w14:paraId="623AA199"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3.3: Individualised activities</w:t>
            </w:r>
          </w:p>
          <w:p w14:paraId="7E565A99"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1DE8EA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6212717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8976D77" w14:textId="3FCA7470" w:rsidR="00AF7D1B" w:rsidRPr="00072079" w:rsidRDefault="00911871" w:rsidP="0021734B">
            <w:pPr>
              <w:spacing w:after="240"/>
              <w:rPr>
                <w:rFonts w:eastAsia="Calibri"/>
                <w:sz w:val="20"/>
                <w:szCs w:val="20"/>
                <w:lang w:eastAsia="en-NZ"/>
              </w:rPr>
            </w:pPr>
            <w:r>
              <w:rPr>
                <w:rFonts w:eastAsia="Calibri"/>
                <w:sz w:val="20"/>
                <w:szCs w:val="20"/>
                <w:lang w:eastAsia="en-NZ"/>
              </w:rPr>
              <w:t>FA</w:t>
            </w:r>
          </w:p>
        </w:tc>
        <w:tc>
          <w:tcPr>
            <w:tcW w:w="2308" w:type="pct"/>
          </w:tcPr>
          <w:p w14:paraId="44D65DEA"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The activities programme is provided by an activities coordinator who works Monday to Friday with the weekend caregivers being responsible for activities provision. A comprehensive assessment and history are completed upon the resident’s admission to ascertain individual needs, interests, abilities, and social requirements. The service receives feedback and suggestions for the programme regular interacting with residents and family/whānau. Individual activity plans were sighted in resident files reviewed with each having a 24-hour dementia care plan which included suggestions for diversion/de-escalation. Monthly progress notes and six-monthly evaluations are maintained. The individualised activities plan for residents are made in association with the registered nurse and is incorporated into the interRAI assessment and care plan documents. The activities programme is displayed prominently for residents to plan attendance. </w:t>
            </w:r>
          </w:p>
          <w:p w14:paraId="6EDDAC47"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A resident lifestyle profile and activity assessment informs the activities plan. The activities are varied and cater for all residents, either as group participation activities, or individual activities. Activities include outings, as well as indoor and outdoor activities on site. Residents’ religious and cultural preferences are considered in the planning of activities. Family members interviewed expressed satisfaction with the activities programme, and said they were included in the planning of the programme. The activities coordinator has developed initiatives that are both colourful and interesting for visitors to look at when visiting. </w:t>
            </w:r>
          </w:p>
          <w:p w14:paraId="49270A91"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Community visitors include entertainers, and church services when Covid restrictions allow. Residents are encouraged to maintain links to the community. The activities planner includes music therapy and entertainment, van trips, celebrations and birthdays, exercises, crossword, bowls, word build, quiz, and crafts. </w:t>
            </w:r>
          </w:p>
          <w:p w14:paraId="79CD305E"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The service celebrates Māori specific cultural days and Matariki is on the activities plan. The diversional therapist is working towards providing more opportunities for residents to participate in te ao Māori. </w:t>
            </w:r>
          </w:p>
          <w:p w14:paraId="644F77DF" w14:textId="4FC5823B" w:rsidR="00AF7D1B" w:rsidRPr="00072079" w:rsidRDefault="00911871" w:rsidP="00911871">
            <w:pPr>
              <w:spacing w:after="240"/>
              <w:rPr>
                <w:rFonts w:eastAsia="Calibri"/>
                <w:sz w:val="20"/>
                <w:szCs w:val="20"/>
                <w:lang w:eastAsia="en-NZ"/>
              </w:rPr>
            </w:pPr>
            <w:r w:rsidRPr="00911871">
              <w:rPr>
                <w:rFonts w:eastAsia="Calibri"/>
                <w:sz w:val="20"/>
                <w:szCs w:val="20"/>
                <w:lang w:eastAsia="en-NZ"/>
              </w:rPr>
              <w:t>Activities take place in the lounges. There are also two separate dining rooms where group activities can occur. One-on-one activities such as individual walks, chats, and newspaper readings occur for residents who are unable to participate in activities or choose not to be involved in group activities.</w:t>
            </w:r>
          </w:p>
        </w:tc>
      </w:tr>
      <w:tr w:rsidR="00AF7D1B" w:rsidRPr="00072079" w14:paraId="278CA7AF" w14:textId="77777777" w:rsidTr="00283551">
        <w:tc>
          <w:tcPr>
            <w:tcW w:w="2183" w:type="pct"/>
          </w:tcPr>
          <w:p w14:paraId="1336332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3.4: My medication</w:t>
            </w:r>
          </w:p>
          <w:p w14:paraId="2153FF3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E72710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77667B58"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196D774" w14:textId="2A9413E9" w:rsidR="00AF7D1B" w:rsidRPr="00072079" w:rsidRDefault="00911871" w:rsidP="0021734B">
            <w:pPr>
              <w:spacing w:after="240"/>
              <w:rPr>
                <w:rFonts w:eastAsia="Calibri"/>
                <w:sz w:val="20"/>
                <w:szCs w:val="20"/>
                <w:lang w:eastAsia="en-NZ"/>
              </w:rPr>
            </w:pPr>
            <w:r>
              <w:rPr>
                <w:rFonts w:eastAsia="Calibri"/>
                <w:sz w:val="20"/>
                <w:szCs w:val="20"/>
                <w:lang w:eastAsia="en-NZ"/>
              </w:rPr>
              <w:t>PA Moderate</w:t>
            </w:r>
          </w:p>
        </w:tc>
        <w:tc>
          <w:tcPr>
            <w:tcW w:w="2308" w:type="pct"/>
          </w:tcPr>
          <w:p w14:paraId="5CC1B476" w14:textId="49FC36FD" w:rsidR="00911871" w:rsidRPr="00911871" w:rsidRDefault="00911871" w:rsidP="00911871">
            <w:pPr>
              <w:spacing w:after="240"/>
              <w:rPr>
                <w:rFonts w:eastAsia="Calibri"/>
                <w:sz w:val="20"/>
                <w:szCs w:val="20"/>
                <w:lang w:eastAsia="en-NZ"/>
              </w:rPr>
            </w:pPr>
            <w:r w:rsidRPr="00911871">
              <w:rPr>
                <w:rFonts w:eastAsia="Calibri"/>
                <w:sz w:val="20"/>
                <w:szCs w:val="20"/>
                <w:lang w:eastAsia="en-NZ"/>
              </w:rPr>
              <w:t>The medication management system is electronic. Twelve electronic medication charts were reviewed, these evidenced the recording of allergies and three-monthly reviews by the general practitioner. Interviews with family/whānau stated that consultation with family takes place during these reviews, this was evident in the medical notes reviewed and general practitioner interviewed. Medications are supplied to the facility in a robotic sachet by the contracted pharmacy. Regular medications and ‘as required’ medications are administered from these sachets. There is no process of checking in the medications from the pharmacy.</w:t>
            </w:r>
          </w:p>
          <w:p w14:paraId="0E34EE22"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All medications charts sighted were current and had been reviewed three-monthly. Medications were all prescribed appropriately on the electronic system, and all had allergies documented. As required medications had prescribed indications for use with outcomes and effectiveness completed in the sample of medication charts reviewed. Over the counter medications are prescribed on the electronic medication system as requested by the resident. Standing orders are not in use. Staff were observed administering medication following medication guidelines. Staff who administer medicines were assessed as competent and evidence was sighted. There were no residents self-administering medications within the service. </w:t>
            </w:r>
          </w:p>
          <w:p w14:paraId="1FA04AF9" w14:textId="77777777" w:rsidR="00911871" w:rsidRPr="00911871" w:rsidRDefault="00911871" w:rsidP="00911871">
            <w:pPr>
              <w:spacing w:after="240"/>
              <w:rPr>
                <w:rFonts w:eastAsia="Calibri"/>
                <w:sz w:val="20"/>
                <w:szCs w:val="20"/>
                <w:lang w:eastAsia="en-NZ"/>
              </w:rPr>
            </w:pPr>
            <w:r w:rsidRPr="00911871">
              <w:rPr>
                <w:rFonts w:eastAsia="Calibri"/>
                <w:sz w:val="20"/>
                <w:szCs w:val="20"/>
                <w:lang w:eastAsia="en-NZ"/>
              </w:rPr>
              <w:t xml:space="preserve">Internal audits were completed around medication management. The medication room and medication refrigerators are checked daily to ensure they were within the required temperature range. </w:t>
            </w:r>
          </w:p>
          <w:p w14:paraId="02D459FB" w14:textId="6368E3E8" w:rsidR="00AF7D1B" w:rsidRPr="00072079" w:rsidRDefault="00911871" w:rsidP="00911871">
            <w:pPr>
              <w:spacing w:after="240"/>
              <w:rPr>
                <w:rFonts w:eastAsia="Calibri"/>
                <w:sz w:val="20"/>
                <w:szCs w:val="20"/>
                <w:lang w:eastAsia="en-NZ"/>
              </w:rPr>
            </w:pPr>
            <w:r w:rsidRPr="00911871">
              <w:rPr>
                <w:rFonts w:eastAsia="Calibri"/>
                <w:sz w:val="20"/>
                <w:szCs w:val="20"/>
                <w:lang w:eastAsia="en-NZ"/>
              </w:rPr>
              <w:t>The RN provides information, support and advice around medications and potential side effects with all family/ whānau when they are not able to attend the GP review, or where required or requested. The RN reported they would apply the same to any whānau within the service.</w:t>
            </w:r>
          </w:p>
        </w:tc>
      </w:tr>
      <w:tr w:rsidR="00AF7D1B" w:rsidRPr="00072079" w14:paraId="22626479" w14:textId="77777777" w:rsidTr="00283551">
        <w:tc>
          <w:tcPr>
            <w:tcW w:w="2183" w:type="pct"/>
          </w:tcPr>
          <w:p w14:paraId="5A09B29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3.5: Nutrition to support wellbeing</w:t>
            </w:r>
          </w:p>
          <w:p w14:paraId="4114A59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0226DA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53D6401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D64AB2F" w14:textId="2B181D55"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40859BFA"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food service is provided on site by an experienced kitchen hand; and is in line with recognised nutritional guidelines for older people. There is a four-weekly seasonal rotating menu in use. The kitchen hand reported that opportunity is provided to family to participate in food preparation if requested. Evidence of residents’ satisfaction with meals was verified by relative interviews, and from residents’ meeting minutes. </w:t>
            </w:r>
          </w:p>
          <w:p w14:paraId="60BD8D73"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Food is served directly from the kitchen to the dining room adjacent. There is also a smaller quieter dining room where food is transferred in bain-marie and served to residents. Residents may choose to have meals in their rooms. Meals are served warm in sizeable portions required by residents and any alternatives are offered as required. Snacks and drinks are available for residents when required. The food menu has been reviewed and approved by a registered dietitian in July 2021. A nutritional assessment is undertaken for each resident on admission to the facility and a dietary profile developed. The kitchen receives resident dietary forms and is notified of any dietary changes for residents. Dislikes and special dietary requirements are accommodated including food allergies. Residents’ weights are monitored monthly and as required. Supplements are provided to residents with identified weight loss issues. </w:t>
            </w:r>
          </w:p>
          <w:p w14:paraId="62E8677E"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kitchen has a current food control plan certificate which expires on 31 August 2022.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There is a kitchen manual and a range of policies and procedures to safely manage the kitchen and meal services. The kitchen caters for residents’ diet with different cultural beliefs, values, and protocols around food. All caregiving staff complete training in food safety and food handling, infection control, handwashing, and hygiene. </w:t>
            </w:r>
          </w:p>
          <w:p w14:paraId="7A081033" w14:textId="08D72A23"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 service described how they would incorporate Māori residents’ cultural values and beliefs into menu development and food service provision.</w:t>
            </w:r>
          </w:p>
        </w:tc>
      </w:tr>
      <w:tr w:rsidR="00AF7D1B" w:rsidRPr="00072079" w14:paraId="346961BE" w14:textId="77777777" w:rsidTr="00283551">
        <w:tc>
          <w:tcPr>
            <w:tcW w:w="2183" w:type="pct"/>
          </w:tcPr>
          <w:p w14:paraId="33B537D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3.6: Transition, transfer, and discharge</w:t>
            </w:r>
          </w:p>
          <w:p w14:paraId="4A2B402A"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8497308"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34CEE9B3"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00E8522C" w14:textId="3D543801"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6BA502CD" w14:textId="46989D79" w:rsidR="00AF7D1B" w:rsidRPr="00072079" w:rsidRDefault="00283551" w:rsidP="0021734B">
            <w:pPr>
              <w:spacing w:after="240"/>
              <w:rPr>
                <w:rFonts w:eastAsia="Calibri"/>
                <w:sz w:val="20"/>
                <w:szCs w:val="20"/>
                <w:lang w:eastAsia="en-NZ"/>
              </w:rPr>
            </w:pPr>
            <w:r w:rsidRPr="00283551">
              <w:rPr>
                <w:rFonts w:eastAsia="Calibri"/>
                <w:sz w:val="20"/>
                <w:szCs w:val="20"/>
                <w:lang w:eastAsia="en-NZ"/>
              </w:rPr>
              <w:t>There were documented policies and procedures to ensure exit, discharge or transfer of residents is undertaken in a timely and safe manner. Planned exits, discharges or transfers are coordinated in collaboration with the relatives to ensure continuity of care. The transfer and referrals to other specialists is managed in collaboration by the RN and the general practitioner, with an escort as appropriate. The process facilitates and supports residents to access or seek other health and/or disability service providers as required. At the time of transition between services, appropriate information is provided for the ongoing management of the resident. There was evidence on file of transfer documentation for one resident sent to hospital which included a resident profile including contact details of next of kin, resuscitation status and medication chart. Copies of referrals were sighted in residents’ files. The relatives are kept informed of the referral process, as verified by documentation and interviews with relatives. Further to this the relatives are involved for all exits or discharges to and from the service. Any acute/urgent referrals are attended to immediately, such as sending the resident to accident and emergency in an ambulance.</w:t>
            </w:r>
          </w:p>
        </w:tc>
      </w:tr>
      <w:tr w:rsidR="00AF7D1B" w:rsidRPr="00072079" w14:paraId="017FF820" w14:textId="77777777" w:rsidTr="00283551">
        <w:tc>
          <w:tcPr>
            <w:tcW w:w="2183" w:type="pct"/>
          </w:tcPr>
          <w:p w14:paraId="49D7915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4.1: The facility</w:t>
            </w:r>
          </w:p>
          <w:p w14:paraId="6DF0605E"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9ADF03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60E4F70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AE66060" w14:textId="4B709786"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27D3282A"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A current building warrant of fitness is displayed in the entrance to the facility. Buildings, plant, and equipment comply with relevant legislation. A preventative and reactive maintenance schedule is implemented. This includes monthly maintenance checks of all areas and specified equipment. Staff identify maintenance issues on a register. This information is reviewed by the maintenance person and prioritised. Interviews confirmed staff awareness of the processes for maintenance requests and that repairs were conducted in a timely manner. Interviews with staff and visual inspection confirmed that there is adequate equipment available to support care. The facility has an up-to-date annual test and tag programme. Evidence of checking and calibration of biomedical equipment was sighted. </w:t>
            </w:r>
          </w:p>
          <w:p w14:paraId="6AB89D82"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Hot water temperatures are monitored with a process in place to ensure prompt action is taken in the event of anomalies. A review of recorded hot water temperatures and interview with the maintenance person confirmed that temperatures have been maintained at the recorded safe temperature. </w:t>
            </w:r>
          </w:p>
          <w:p w14:paraId="477F84A7"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All resident areas can be accessed with mobility aids. The external paths provide a circuit around the facility. The facility doors to the garden area are not locked during the day to allow residents to go outside if they wish. External areas are secure and have outdoor seating and shade accessible by residents and their visitors. </w:t>
            </w:r>
          </w:p>
          <w:p w14:paraId="0210E140"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There are adequate numbers of accessible showers, hand basins and toilets throughout the facility with communal toilet/bathing facilities and visitors’ toilets. Communal toilets have a system to indicate vacancy and have disability access. All shower and toilet facilities have call bells, sufficient room, approved handrails, and other equipment to facilitate ease of mobility and to promote independence. </w:t>
            </w:r>
          </w:p>
          <w:p w14:paraId="5C9DFAE9"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Residents have their own room, and each is sufficient size to allow residents to mobilise safely around their personal space and bed area with mobility aids and assistance. Observation confirmed there is enough space to accommodate personal items, furniture, equipment, and staff as required. 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relatives and staff.</w:t>
            </w:r>
          </w:p>
          <w:p w14:paraId="33AFB25C"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There have been a number of refurbishments and environmental improvements since the previous audit including (but not limited to), extending the secure outdoor area and parking to include extra storage. There are plans in place to install further shade once the summer months arrive and new patio furniture has been purchased. The service has purchased a new bus for resident outings. </w:t>
            </w:r>
          </w:p>
          <w:p w14:paraId="030C14A0" w14:textId="765A4B9C"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There are no plans for new buildings, however the management report they would be open to consultation with Māori representatives to ensure the Māori aspirations are upheld.</w:t>
            </w:r>
          </w:p>
        </w:tc>
      </w:tr>
      <w:tr w:rsidR="00AF7D1B" w:rsidRPr="00072079" w14:paraId="2363FE2D" w14:textId="77777777" w:rsidTr="00283551">
        <w:tc>
          <w:tcPr>
            <w:tcW w:w="2183" w:type="pct"/>
          </w:tcPr>
          <w:p w14:paraId="255E875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4.2: Security of people and workforce</w:t>
            </w:r>
          </w:p>
          <w:p w14:paraId="367C044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EBCC40A"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3AB9844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A139C88" w14:textId="67B593E2"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5159BE03"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confirmed that fire wardens received warden training and staff have undertaken fire training. The staff education register evidenced that there is a system to ensure staff maintain first aid currency. </w:t>
            </w:r>
          </w:p>
          <w:p w14:paraId="7ADB698E"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facility has sufficient supplies to sustain staff and residents in an emergency. Alternative energy and utility sources are available in the event of the main supplies failing. These include the availability of a gas barbeque for cooking, and enough food, water, dressings, and continence supplies. The facility’s emergency plan includes considerations of all levels of resident need and includes a detailed plan of facility information, if staff who were unfamiliar with Thornbury House were working there. </w:t>
            </w:r>
          </w:p>
          <w:p w14:paraId="4E6D5F13"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Call bells are available to summon assistance in all resident rooms, and bathrooms. Call bells are checked monthly by the maintenance person. </w:t>
            </w:r>
          </w:p>
          <w:p w14:paraId="5D691553" w14:textId="54E54AB8" w:rsidR="00AF7D1B" w:rsidRPr="00072079" w:rsidRDefault="00283551" w:rsidP="00283551">
            <w:pPr>
              <w:spacing w:after="240"/>
              <w:rPr>
                <w:rFonts w:eastAsia="Calibri"/>
                <w:sz w:val="20"/>
                <w:szCs w:val="20"/>
                <w:lang w:eastAsia="en-NZ"/>
              </w:rPr>
            </w:pPr>
            <w:r w:rsidRPr="00283551">
              <w:rPr>
                <w:rFonts w:eastAsia="Calibri"/>
                <w:sz w:val="20"/>
                <w:szCs w:val="20"/>
                <w:lang w:eastAsia="en-NZ"/>
              </w:rPr>
              <w:t>Security systems are in place to ensure the protection and safety of residents, visitors, and staff. These include visitors signing in and out of the building and the facility being locked. Family/whānau are aware of the security measures and fire systems.</w:t>
            </w:r>
          </w:p>
        </w:tc>
      </w:tr>
      <w:tr w:rsidR="00AF7D1B" w:rsidRPr="00072079" w14:paraId="419A2C72" w14:textId="77777777" w:rsidTr="00283551">
        <w:tc>
          <w:tcPr>
            <w:tcW w:w="2183" w:type="pct"/>
          </w:tcPr>
          <w:p w14:paraId="4E1AC2D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5.1: Governance</w:t>
            </w:r>
          </w:p>
          <w:p w14:paraId="73B1784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7A61767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080AB888"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E55F247" w14:textId="223ED671"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71FD287D"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service has implemented an infection control and antimicrobial stewardship (AMS) programme to minimise the risk of infection to residents, staff, and visitors. The infection control and AMS management is appropriate to the size and the scope of the service. The RN from the sister facility is the temporary infection control coordinator until the newly appointed RN completes orientation. The RN job description outlines the responsibility of the role. Infection control is linked into the quality risk and incident reporting system. </w:t>
            </w:r>
          </w:p>
          <w:p w14:paraId="180742DE"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RN has access to resources for information and education, which include, the MOH website, southern community laboratory, and the GP. The service has access to an infection prevention clinical nurse specialist from Te Whatu Ora. The programme is guided by a comprehensive and current infection control manual. </w:t>
            </w:r>
          </w:p>
          <w:p w14:paraId="623C6276" w14:textId="699CF113"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 service is working towards including infection control and antimicrobial stewardship in the quality assurance management plan. Quality data around infection control is collated, this was not evidenced as discussed at meetings (link 2.2.3). Infection control data is included in the quarterly report to the owner. Outbreaks are immediately reported to the owner.</w:t>
            </w:r>
          </w:p>
        </w:tc>
      </w:tr>
      <w:tr w:rsidR="00AF7D1B" w:rsidRPr="00072079" w14:paraId="41C0B142" w14:textId="77777777" w:rsidTr="00283551">
        <w:tc>
          <w:tcPr>
            <w:tcW w:w="2183" w:type="pct"/>
          </w:tcPr>
          <w:p w14:paraId="52A7FA9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14633C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D3D0B7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39EED57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A7EFC69" w14:textId="2DD29512" w:rsidR="00AF7D1B" w:rsidRPr="00072079" w:rsidRDefault="00283551" w:rsidP="0021734B">
            <w:pPr>
              <w:spacing w:after="240"/>
              <w:rPr>
                <w:rFonts w:eastAsia="Calibri"/>
                <w:sz w:val="20"/>
                <w:szCs w:val="20"/>
                <w:lang w:eastAsia="en-NZ"/>
              </w:rPr>
            </w:pPr>
            <w:r>
              <w:rPr>
                <w:rFonts w:eastAsia="Calibri"/>
                <w:sz w:val="20"/>
                <w:szCs w:val="20"/>
                <w:lang w:eastAsia="en-NZ"/>
              </w:rPr>
              <w:t>PA Low</w:t>
            </w:r>
          </w:p>
        </w:tc>
        <w:tc>
          <w:tcPr>
            <w:tcW w:w="2308" w:type="pct"/>
          </w:tcPr>
          <w:p w14:paraId="4A8E87CD"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interim infection control coordinator has completed online training and has access to external training through the local hospital when available, as verified in training records sighted. Additional support and information are accessed from the infection control team at the local hospital, the community laboratory, the GP, and Public Health team, as required. The RN has access to residents’ records and diagnostic results to ensure timely treatment and resolution of any infections. The RN and staff interviewed confirmed the availability of resources to support the programme and any outbreak of an infection. During Covid-19 lockdown there were regular zoom meetings with Te Whatu Ora Age Residential Care clinical nurse specialist (CNS) which provided a forum for discussion and support for facilities. </w:t>
            </w:r>
          </w:p>
          <w:p w14:paraId="58FCAB79"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infection prevention manual outlines a range of policies, standards, and guidelines. Infection control programme audits are conducted twice a year; however, due to the changes in RNs, there was no evidence of an annual review for 2020 or 2021. </w:t>
            </w:r>
          </w:p>
          <w:p w14:paraId="704B2DAD"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Staff orientation and education on infection prevention and control is conducted by the clinical lead. A record of attendance is maintained and was sighted. The training education information pack is detailed and meets current best practice and guidelines. Infection control educational posters are displayed all around the facility. Staff interviewed confirmed an understanding of how to implement infection prevention and control activities into their everyday practice. The RN is involved in the purchase process of medical devices and consumables used in the resident’s care and would be involved in the process of designing and renovations of the facility, as confirmed by the facility manger and CEO. </w:t>
            </w:r>
          </w:p>
          <w:p w14:paraId="0F243532"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service has a pandemic plan which includes planning and management of Covid 19. There are plentiful supplies of personal protective clothing (PPE). There are outbreak kits readily available and sufficient additional supplies are stored in a personal protective equipment cupboard and throughout the facility. Infection control outbreak prevention and management related policies are available to staff in a pandemic folder. </w:t>
            </w:r>
          </w:p>
          <w:p w14:paraId="7B196FA4"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Infection control precaution standards and isolation to prevent hospital acquired infections (HAI) are in place. There were hand basins available for staff to wash hands with flowing soap and hand towels available. Staff were observed to perform good hand hygiene practices. There are policies and procedures in place around disinfecting reusable equipment. All shared equipment (eg, goggles and the blood pressure cuff) are appropriately disinfected between use. Thornbury House is working towards incorporating disinfection of equipment between use into the internal audit programme. All residents are mobile and there is little use of commodes. All single use equipment such as wound packs are used for their intended purpose and disposed of appropriately. The staff interviewed could easily describe how they perform culturally safe practices around infection control. Examples included keeping clinical and food services separate, separation of laundry, and not performing any clinical procedures such as wound care around places where the residents are eating. The service is working towards accessing cultural advice around infection control practices to ensure the spirit of Te Tiriti o Waitangi is acknowledged. </w:t>
            </w:r>
          </w:p>
          <w:p w14:paraId="14A61001" w14:textId="19DCD46D"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 service is working towards incorporating translation to te reo Māori of infection control information for Māori residents.</w:t>
            </w:r>
          </w:p>
        </w:tc>
      </w:tr>
      <w:tr w:rsidR="00AF7D1B" w:rsidRPr="00072079" w14:paraId="71442835" w14:textId="77777777" w:rsidTr="00283551">
        <w:tc>
          <w:tcPr>
            <w:tcW w:w="2183" w:type="pct"/>
          </w:tcPr>
          <w:p w14:paraId="185D01FA"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432194DC"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A5888DF"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3187C1C2"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020F4EF" w14:textId="4881D06F"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4B615D46" w14:textId="36040F6E" w:rsidR="00AF7D1B" w:rsidRPr="00072079" w:rsidRDefault="00283551" w:rsidP="0021734B">
            <w:pPr>
              <w:spacing w:after="240"/>
              <w:rPr>
                <w:rFonts w:eastAsia="Calibri"/>
                <w:sz w:val="20"/>
                <w:szCs w:val="20"/>
                <w:lang w:eastAsia="en-NZ"/>
              </w:rPr>
            </w:pPr>
            <w:r w:rsidRPr="00283551">
              <w:rPr>
                <w:rFonts w:eastAsia="Calibri"/>
                <w:sz w:val="20"/>
                <w:szCs w:val="20"/>
                <w:lang w:eastAsia="en-NZ"/>
              </w:rPr>
              <w:t>Elsdon Enterprises has antimicrobial use policy and procedure documented. A report on the usage of antibiotics or antimicrobials (if any) is collated. The RN includes the type of antibiotic, duration of treatment and effectiveness in the data collated, as evidenced in the monthly infection control data reviewed for 2021 and 2022 year to date. Antimicrobial use is included in the monthly report provided to the facility manager and is included in the quarterly report to the CEO. The monitoring process includes evaluation and monitoring of medication prescriptions, and antibiotic use through the electronic medication system. The RN communicates with the GP if there are any concerns. As per the infection criteria, there is no antibiotics prescribed for prophylactic use. The RN verifies the prescription with laboratory lab results, and resident clinical symptoms.</w:t>
            </w:r>
          </w:p>
        </w:tc>
      </w:tr>
      <w:tr w:rsidR="00AF7D1B" w:rsidRPr="00072079" w14:paraId="5CC021CE" w14:textId="77777777" w:rsidTr="00283551">
        <w:tc>
          <w:tcPr>
            <w:tcW w:w="2183" w:type="pct"/>
          </w:tcPr>
          <w:p w14:paraId="5EC77B0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25C7AC76"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782FFA70"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63A7972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F5E350B" w14:textId="6597F5F7"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369E81C3"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infection prevention surveillance is an integral part of the infection control and AMS programme and is described in the service policies and procedures. The surveillance programme is appropriate for the size and complexity of the organisation. Infection data is collected, monitored, and reviewed monthly and includes infections of the urinary tract, skin, eye, gastro-intestinal, the upper and lower respiratory tract, and multi-resistant organisms. The data is collated and analysed to identify any significant trends or common possible causative factors, and action plans are implemented. The graphs reviewed evidenced a very low occurrence of infections at Thornbury House. Staff interviewed reported that they are informed of resident infections at the time of the infection, through shift handovers. They are reminded of good infection control practices and reporting requirements in line with the short-term care plan interventions. The GP is informed within the required timeframe when a resident has an infection. The service is working on including ethnicity to infection control data. </w:t>
            </w:r>
          </w:p>
          <w:p w14:paraId="4C25AF3A" w14:textId="79E4F346"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There has been one Covid outbreaks since the previous audit. The CEO was informed immediately in both cases. Documentation for the outbreak was reviewed. This included daily logs, notification and communication with the Public Health team, communication with families and debrief meetings with staff. The outbreak was well managed</w:t>
            </w:r>
          </w:p>
        </w:tc>
      </w:tr>
      <w:tr w:rsidR="00AF7D1B" w:rsidRPr="00072079" w14:paraId="31E3126A" w14:textId="77777777" w:rsidTr="00283551">
        <w:tc>
          <w:tcPr>
            <w:tcW w:w="2183" w:type="pct"/>
          </w:tcPr>
          <w:p w14:paraId="51DDBE97"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5.5: Environment</w:t>
            </w:r>
          </w:p>
          <w:p w14:paraId="42E5902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BD723B1"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781381D" w14:textId="59CD534F"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55707B">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35258ED" w14:textId="758E0D64"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248C294D"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There is documented policy and processes for the secure storage and management of recycling, waste, infectious and hazardous substances. Appropriate signage is displayed. Waste is collected at scheduled intervals by contractors and the local council. All chemicals were clearly labelled with manufacturer’s labels and stored in locked areas. Cleaning chemicals are dispensed through a pre-measured mixing unit. Material safety datasheets are available where chemicals are stored, and staff interviewed knew what to do should any chemical spill/event occur. Posters provide a summary about the use of chemicals on site. Posters and sharps boxes are in the medication room. Personal protective equipment is readily available. </w:t>
            </w:r>
          </w:p>
          <w:p w14:paraId="092A2BE8" w14:textId="3A07D6EF" w:rsidR="00AF7D1B" w:rsidRPr="00072079" w:rsidRDefault="00283551" w:rsidP="0055707B">
            <w:pPr>
              <w:spacing w:after="240"/>
              <w:rPr>
                <w:rFonts w:eastAsia="Calibri"/>
                <w:sz w:val="20"/>
                <w:szCs w:val="20"/>
                <w:lang w:eastAsia="en-NZ"/>
              </w:rPr>
            </w:pPr>
            <w:r w:rsidRPr="00283551">
              <w:rPr>
                <w:rFonts w:eastAsia="Calibri"/>
                <w:sz w:val="20"/>
                <w:szCs w:val="20"/>
                <w:lang w:eastAsia="en-NZ"/>
              </w:rPr>
              <w:t xml:space="preserve">There are policies and procedures to provide guidelines regarding safe and efficient laundry services. There is separation of a clean and dirty area. All personal clothing, bedspreads and blankets are processed on site by the caregivers. There is a designated cleaner. The cleaners’ chemicals were always attended and are stored safely when not in use. All chemicals were labelled. There was appropriate personal protective clothing readily available. The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The cleaner interviewed demonstrated a very good knowledge of infection control and the importance of cleaning high touch areas. The cleaner could describe in detail extra precautions required during an outbreak. </w:t>
            </w:r>
          </w:p>
        </w:tc>
      </w:tr>
      <w:tr w:rsidR="00AF7D1B" w:rsidRPr="00072079" w14:paraId="77D3EECC" w14:textId="77777777" w:rsidTr="00283551">
        <w:tc>
          <w:tcPr>
            <w:tcW w:w="2183" w:type="pct"/>
          </w:tcPr>
          <w:p w14:paraId="6F4640A4"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Subsection 6.1: A process of restraint</w:t>
            </w:r>
          </w:p>
          <w:p w14:paraId="752AC3DB"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4A89CED"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5398E705" w14:textId="77777777" w:rsidR="00AF7D1B" w:rsidRPr="00072079" w:rsidRDefault="00AF7D1B" w:rsidP="0021734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BE38A20" w14:textId="29A6495C" w:rsidR="00AF7D1B" w:rsidRPr="00072079" w:rsidRDefault="00283551" w:rsidP="0021734B">
            <w:pPr>
              <w:spacing w:after="240"/>
              <w:rPr>
                <w:rFonts w:eastAsia="Calibri"/>
                <w:sz w:val="20"/>
                <w:szCs w:val="20"/>
                <w:lang w:eastAsia="en-NZ"/>
              </w:rPr>
            </w:pPr>
            <w:r>
              <w:rPr>
                <w:rFonts w:eastAsia="Calibri"/>
                <w:sz w:val="20"/>
                <w:szCs w:val="20"/>
                <w:lang w:eastAsia="en-NZ"/>
              </w:rPr>
              <w:t>FA</w:t>
            </w:r>
          </w:p>
        </w:tc>
        <w:tc>
          <w:tcPr>
            <w:tcW w:w="2308" w:type="pct"/>
          </w:tcPr>
          <w:p w14:paraId="2E512677" w14:textId="77777777" w:rsidR="00283551" w:rsidRPr="00283551" w:rsidRDefault="00283551" w:rsidP="00283551">
            <w:pPr>
              <w:spacing w:after="240"/>
              <w:rPr>
                <w:rFonts w:eastAsia="Calibri"/>
                <w:sz w:val="20"/>
                <w:szCs w:val="20"/>
                <w:lang w:eastAsia="en-NZ"/>
              </w:rPr>
            </w:pPr>
            <w:r w:rsidRPr="00283551">
              <w:rPr>
                <w:rFonts w:eastAsia="Calibri"/>
                <w:sz w:val="20"/>
                <w:szCs w:val="20"/>
                <w:lang w:eastAsia="en-NZ"/>
              </w:rPr>
              <w:t xml:space="preserve">The policy states Thornbury House is committed to the principals of restraint elimination and ‘restraint free’ environments through the implementation of alternatives to restraints. The restraint policy confirms that restraint use, and application must be done in partnership with families, and the choice of device must be the least restrictive possible. The policy described the process of approvals to be taken prior to restraint use interventions. The facility was restraint free on the days of audit. The RN is the restraint coordinator. The restraint coordinator (RN from sister facility) and facility manager described the focus on maintaining a restraint-free facility, implementing de-escalation techniques and alternative interventions at times when restraint is considered. The facility manager and RN describe how they would work in partnership with Māori whānau, to promote and ensure services are mana enhancing. The RN confirmed the service is committed to providing safe care to residents without use of restraint. The use of restraint would be reported in the daily handover’s quality and staff meetings. Restraint is part of orientation and training is provided annually or as necessary. Staff orientation and training on de-escalation intervention and behavioural challenges is provided annually and through handover sessions as required. Staff interviewed showed a good understanding of restraint use and care of resident with restraints. </w:t>
            </w:r>
          </w:p>
          <w:p w14:paraId="5336C943" w14:textId="7A3D68E9" w:rsidR="00AF7D1B" w:rsidRPr="00072079" w:rsidRDefault="00283551" w:rsidP="00283551">
            <w:pPr>
              <w:spacing w:after="240"/>
              <w:rPr>
                <w:rFonts w:eastAsia="Calibri"/>
                <w:sz w:val="20"/>
                <w:szCs w:val="20"/>
                <w:lang w:eastAsia="en-NZ"/>
              </w:rPr>
            </w:pPr>
            <w:r w:rsidRPr="00283551">
              <w:rPr>
                <w:rFonts w:eastAsia="Calibri"/>
                <w:sz w:val="20"/>
                <w:szCs w:val="20"/>
                <w:lang w:eastAsia="en-NZ"/>
              </w:rPr>
              <w:t>The prospective owners are knowledgeable around restraint minimisation and requirements around restraint. There are no planned changes to current policy.</w:t>
            </w:r>
          </w:p>
        </w:tc>
      </w:tr>
    </w:tbl>
    <w:p w14:paraId="2EE1F677" w14:textId="77777777" w:rsidR="00EB7645" w:rsidRPr="00BE00C7" w:rsidRDefault="00162824" w:rsidP="00BE00C7">
      <w:pPr>
        <w:pStyle w:val="OutcomeDescription"/>
        <w:spacing w:before="120" w:after="120"/>
        <w:rPr>
          <w:rFonts w:cs="Arial"/>
          <w:lang w:eastAsia="en-NZ"/>
        </w:rPr>
      </w:pPr>
    </w:p>
    <w:p w14:paraId="2DB8F911" w14:textId="77777777" w:rsidR="00460D43" w:rsidRDefault="0035159F">
      <w:pPr>
        <w:pStyle w:val="Heading1"/>
        <w:rPr>
          <w:rFonts w:cs="Arial"/>
        </w:rPr>
      </w:pPr>
      <w:r>
        <w:rPr>
          <w:rFonts w:cs="Arial"/>
        </w:rPr>
        <w:t>Specific results for criterion where corrective actions are required</w:t>
      </w:r>
    </w:p>
    <w:p w14:paraId="2C37BFBE" w14:textId="77777777" w:rsidR="00460D43" w:rsidRDefault="0035159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1C3A932" w14:textId="77777777" w:rsidR="00460D43" w:rsidRDefault="0035159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A3EE6CF" w14:textId="77777777" w:rsidR="00460D43" w:rsidRDefault="003515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313"/>
        <w:gridCol w:w="3853"/>
        <w:gridCol w:w="3247"/>
        <w:gridCol w:w="2626"/>
      </w:tblGrid>
      <w:tr w:rsidR="00832CE9" w14:paraId="294B3DCF" w14:textId="77777777">
        <w:tc>
          <w:tcPr>
            <w:tcW w:w="0" w:type="auto"/>
          </w:tcPr>
          <w:p w14:paraId="5A2998F2" w14:textId="77777777" w:rsidR="00EB7645" w:rsidRPr="00BE00C7" w:rsidRDefault="0035159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8DD5E99" w14:textId="77777777" w:rsidR="00EB7645" w:rsidRPr="00BE00C7" w:rsidRDefault="003515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82CF87" w14:textId="77777777" w:rsidR="00EB7645" w:rsidRPr="00BE00C7" w:rsidRDefault="0035159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602D82" w14:textId="77777777" w:rsidR="00EB7645" w:rsidRPr="00BE00C7" w:rsidRDefault="0035159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CBEA84C" w14:textId="77777777" w:rsidR="00EB7645" w:rsidRPr="00BE00C7" w:rsidRDefault="0035159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32CE9" w14:paraId="6F52C5CB" w14:textId="77777777">
        <w:tc>
          <w:tcPr>
            <w:tcW w:w="0" w:type="auto"/>
          </w:tcPr>
          <w:p w14:paraId="468EEBA4" w14:textId="77777777" w:rsidR="00EB7645" w:rsidRPr="00BE00C7" w:rsidRDefault="0035159F" w:rsidP="00BE00C7">
            <w:pPr>
              <w:pStyle w:val="OutcomeDescription"/>
              <w:spacing w:before="120" w:after="120"/>
              <w:rPr>
                <w:rFonts w:cs="Arial"/>
                <w:lang w:eastAsia="en-NZ"/>
              </w:rPr>
            </w:pPr>
            <w:r w:rsidRPr="00BE00C7">
              <w:rPr>
                <w:rFonts w:cs="Arial"/>
                <w:lang w:eastAsia="en-NZ"/>
              </w:rPr>
              <w:t>Criterion 2.2.3</w:t>
            </w:r>
          </w:p>
          <w:p w14:paraId="73F2CA51" w14:textId="77777777" w:rsidR="00EB7645" w:rsidRPr="00BE00C7" w:rsidRDefault="0035159F"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4487A2A" w14:textId="77777777" w:rsidR="00EB7645" w:rsidRPr="00BE00C7" w:rsidRDefault="0035159F" w:rsidP="00BE00C7">
            <w:pPr>
              <w:pStyle w:val="OutcomeDescription"/>
              <w:spacing w:before="120" w:after="120"/>
              <w:rPr>
                <w:rFonts w:cs="Arial"/>
                <w:lang w:eastAsia="en-NZ"/>
              </w:rPr>
            </w:pPr>
            <w:r w:rsidRPr="00BE00C7">
              <w:rPr>
                <w:rFonts w:cs="Arial"/>
                <w:lang w:eastAsia="en-NZ"/>
              </w:rPr>
              <w:t>PA Low</w:t>
            </w:r>
          </w:p>
        </w:tc>
        <w:tc>
          <w:tcPr>
            <w:tcW w:w="0" w:type="auto"/>
          </w:tcPr>
          <w:p w14:paraId="2B837719"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The quality system is implemented. Internal audits occur as scheduled with any corrective actions identified, actioned and closed off. Collation of monthly data occurs, and graphs are printed with analysis of the data. The combined staff/ quality meeting occurs as scheduled (Covid restrictions allowing); however, meeting minutes reviewed do not document discussions held in meetings around quality data. There were no linkages to the previous corrective actions resulting from previous meetings, and progress towards completion of these. The service is working towards benchmarking with sister facilities. </w:t>
            </w:r>
          </w:p>
          <w:p w14:paraId="6D7CCBC0" w14:textId="77777777" w:rsidR="00EB7645" w:rsidRPr="00BE00C7" w:rsidRDefault="00162824" w:rsidP="00BE00C7">
            <w:pPr>
              <w:pStyle w:val="OutcomeDescription"/>
              <w:spacing w:before="120" w:after="120"/>
              <w:rPr>
                <w:rFonts w:cs="Arial"/>
                <w:lang w:eastAsia="en-NZ"/>
              </w:rPr>
            </w:pPr>
          </w:p>
        </w:tc>
        <w:tc>
          <w:tcPr>
            <w:tcW w:w="0" w:type="auto"/>
          </w:tcPr>
          <w:p w14:paraId="67A18480"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i). Meeting minutes reviewed did not evidence discussions around quality data and corrective actions arising from these. </w:t>
            </w:r>
          </w:p>
          <w:p w14:paraId="3A65172A" w14:textId="77777777" w:rsidR="00EB7645" w:rsidRPr="00BE00C7" w:rsidRDefault="0035159F" w:rsidP="00BE00C7">
            <w:pPr>
              <w:pStyle w:val="OutcomeDescription"/>
              <w:spacing w:before="120" w:after="120"/>
              <w:rPr>
                <w:rFonts w:cs="Arial"/>
                <w:lang w:eastAsia="en-NZ"/>
              </w:rPr>
            </w:pPr>
            <w:r w:rsidRPr="00BE00C7">
              <w:rPr>
                <w:rFonts w:cs="Arial"/>
                <w:lang w:eastAsia="en-NZ"/>
              </w:rPr>
              <w:t>ii). There were no linkages to matters outstanding (corrective actions) identified at previous meeting minutes and progress towards closing these off documented in meeting minutes.</w:t>
            </w:r>
          </w:p>
          <w:p w14:paraId="533678FA" w14:textId="77777777" w:rsidR="00EB7645" w:rsidRPr="00BE00C7" w:rsidRDefault="00162824" w:rsidP="00BE00C7">
            <w:pPr>
              <w:pStyle w:val="OutcomeDescription"/>
              <w:spacing w:before="120" w:after="120"/>
              <w:rPr>
                <w:rFonts w:cs="Arial"/>
                <w:lang w:eastAsia="en-NZ"/>
              </w:rPr>
            </w:pPr>
          </w:p>
        </w:tc>
        <w:tc>
          <w:tcPr>
            <w:tcW w:w="0" w:type="auto"/>
          </w:tcPr>
          <w:p w14:paraId="6BCBFD0A"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i). – ii). Ensure meeting minutes reflect discussions held around quality data and associated corrective actions, and corrective actions are addressed in meeting minutes. </w:t>
            </w:r>
          </w:p>
          <w:p w14:paraId="0BB749E5" w14:textId="77777777" w:rsidR="00EB7645" w:rsidRPr="00BE00C7" w:rsidRDefault="00162824" w:rsidP="00BE00C7">
            <w:pPr>
              <w:pStyle w:val="OutcomeDescription"/>
              <w:spacing w:before="120" w:after="120"/>
              <w:rPr>
                <w:rFonts w:cs="Arial"/>
                <w:lang w:eastAsia="en-NZ"/>
              </w:rPr>
            </w:pPr>
          </w:p>
          <w:p w14:paraId="119A80FB" w14:textId="77777777" w:rsidR="00EB7645" w:rsidRPr="00BE00C7" w:rsidRDefault="0035159F" w:rsidP="00BE00C7">
            <w:pPr>
              <w:pStyle w:val="OutcomeDescription"/>
              <w:spacing w:before="120" w:after="120"/>
              <w:rPr>
                <w:rFonts w:cs="Arial"/>
                <w:lang w:eastAsia="en-NZ"/>
              </w:rPr>
            </w:pPr>
            <w:r w:rsidRPr="00BE00C7">
              <w:rPr>
                <w:rFonts w:cs="Arial"/>
                <w:lang w:eastAsia="en-NZ"/>
              </w:rPr>
              <w:t>90 days</w:t>
            </w:r>
          </w:p>
        </w:tc>
      </w:tr>
      <w:tr w:rsidR="00832CE9" w14:paraId="0B645716" w14:textId="77777777">
        <w:tc>
          <w:tcPr>
            <w:tcW w:w="0" w:type="auto"/>
          </w:tcPr>
          <w:p w14:paraId="557AE7D1" w14:textId="77777777" w:rsidR="00EB7645" w:rsidRPr="00BE00C7" w:rsidRDefault="0035159F" w:rsidP="00BE00C7">
            <w:pPr>
              <w:pStyle w:val="OutcomeDescription"/>
              <w:spacing w:before="120" w:after="120"/>
              <w:rPr>
                <w:rFonts w:cs="Arial"/>
                <w:lang w:eastAsia="en-NZ"/>
              </w:rPr>
            </w:pPr>
            <w:r w:rsidRPr="00BE00C7">
              <w:rPr>
                <w:rFonts w:cs="Arial"/>
                <w:lang w:eastAsia="en-NZ"/>
              </w:rPr>
              <w:t>Criterion 2.3.4</w:t>
            </w:r>
          </w:p>
          <w:p w14:paraId="671C2C7E" w14:textId="77777777" w:rsidR="00EB7645" w:rsidRPr="00BE00C7" w:rsidRDefault="0035159F"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EE3C95F" w14:textId="77777777" w:rsidR="00EB7645" w:rsidRPr="00BE00C7" w:rsidRDefault="0035159F" w:rsidP="00BE00C7">
            <w:pPr>
              <w:pStyle w:val="OutcomeDescription"/>
              <w:spacing w:before="120" w:after="120"/>
              <w:rPr>
                <w:rFonts w:cs="Arial"/>
                <w:lang w:eastAsia="en-NZ"/>
              </w:rPr>
            </w:pPr>
            <w:r w:rsidRPr="00BE00C7">
              <w:rPr>
                <w:rFonts w:cs="Arial"/>
                <w:lang w:eastAsia="en-NZ"/>
              </w:rPr>
              <w:t>PA Low</w:t>
            </w:r>
          </w:p>
        </w:tc>
        <w:tc>
          <w:tcPr>
            <w:tcW w:w="0" w:type="auto"/>
          </w:tcPr>
          <w:p w14:paraId="43B1150F" w14:textId="77777777" w:rsidR="00EB7645" w:rsidRPr="00BE00C7" w:rsidRDefault="0035159F" w:rsidP="00BE00C7">
            <w:pPr>
              <w:pStyle w:val="OutcomeDescription"/>
              <w:spacing w:before="120" w:after="120"/>
              <w:rPr>
                <w:rFonts w:cs="Arial"/>
                <w:lang w:eastAsia="en-NZ"/>
              </w:rPr>
            </w:pPr>
            <w:r w:rsidRPr="00BE00C7">
              <w:rPr>
                <w:rFonts w:cs="Arial"/>
                <w:lang w:eastAsia="en-NZ"/>
              </w:rPr>
              <w:t>All staff have completed the required competencies. There is a two-yearly education planner documented. Due to Covid restrictions and previous low attendance numbers attending in-house training, the manager has adopted online training. The sessions are printed off and handed to all staff. There is the opportunity monthly to attend a group session with the RN and manager to complete the required training; however, there was no evidence of all compulsory sessions being held within the last two years.</w:t>
            </w:r>
          </w:p>
          <w:p w14:paraId="7B81A83A" w14:textId="77777777" w:rsidR="00EB7645" w:rsidRPr="00BE00C7" w:rsidRDefault="00162824" w:rsidP="00BE00C7">
            <w:pPr>
              <w:pStyle w:val="OutcomeDescription"/>
              <w:spacing w:before="120" w:after="120"/>
              <w:rPr>
                <w:rFonts w:cs="Arial"/>
                <w:lang w:eastAsia="en-NZ"/>
              </w:rPr>
            </w:pPr>
          </w:p>
        </w:tc>
        <w:tc>
          <w:tcPr>
            <w:tcW w:w="0" w:type="auto"/>
          </w:tcPr>
          <w:p w14:paraId="381FB9B9"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There was no evidence of education provided around falls prevention, cultural safety, wounds, pressure injury prevention and skin integrity, chemical safety, health and safety training, and the Code of Rights. </w:t>
            </w:r>
          </w:p>
          <w:p w14:paraId="3424C367" w14:textId="77777777" w:rsidR="00EB7645" w:rsidRPr="00BE00C7" w:rsidRDefault="00162824" w:rsidP="00BE00C7">
            <w:pPr>
              <w:pStyle w:val="OutcomeDescription"/>
              <w:spacing w:before="120" w:after="120"/>
              <w:rPr>
                <w:rFonts w:cs="Arial"/>
                <w:lang w:eastAsia="en-NZ"/>
              </w:rPr>
            </w:pPr>
          </w:p>
        </w:tc>
        <w:tc>
          <w:tcPr>
            <w:tcW w:w="0" w:type="auto"/>
          </w:tcPr>
          <w:p w14:paraId="01690E0E"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Ensure all staff complete mandatory training as required. </w:t>
            </w:r>
          </w:p>
          <w:p w14:paraId="364CD513" w14:textId="77777777" w:rsidR="00EB7645" w:rsidRPr="00BE00C7" w:rsidRDefault="00162824" w:rsidP="00BE00C7">
            <w:pPr>
              <w:pStyle w:val="OutcomeDescription"/>
              <w:spacing w:before="120" w:after="120"/>
              <w:rPr>
                <w:rFonts w:cs="Arial"/>
                <w:lang w:eastAsia="en-NZ"/>
              </w:rPr>
            </w:pPr>
          </w:p>
          <w:p w14:paraId="3C971744" w14:textId="77777777" w:rsidR="00EB7645" w:rsidRPr="00BE00C7" w:rsidRDefault="0035159F" w:rsidP="00BE00C7">
            <w:pPr>
              <w:pStyle w:val="OutcomeDescription"/>
              <w:spacing w:before="120" w:after="120"/>
              <w:rPr>
                <w:rFonts w:cs="Arial"/>
                <w:lang w:eastAsia="en-NZ"/>
              </w:rPr>
            </w:pPr>
            <w:r w:rsidRPr="00BE00C7">
              <w:rPr>
                <w:rFonts w:cs="Arial"/>
                <w:lang w:eastAsia="en-NZ"/>
              </w:rPr>
              <w:t>90 days</w:t>
            </w:r>
          </w:p>
        </w:tc>
      </w:tr>
      <w:tr w:rsidR="00832CE9" w14:paraId="3216A7A9" w14:textId="77777777">
        <w:tc>
          <w:tcPr>
            <w:tcW w:w="0" w:type="auto"/>
          </w:tcPr>
          <w:p w14:paraId="236D9021" w14:textId="77777777" w:rsidR="00EB7645" w:rsidRPr="00BE00C7" w:rsidRDefault="0035159F" w:rsidP="00BE00C7">
            <w:pPr>
              <w:pStyle w:val="OutcomeDescription"/>
              <w:spacing w:before="120" w:after="120"/>
              <w:rPr>
                <w:rFonts w:cs="Arial"/>
                <w:lang w:eastAsia="en-NZ"/>
              </w:rPr>
            </w:pPr>
            <w:r w:rsidRPr="00BE00C7">
              <w:rPr>
                <w:rFonts w:cs="Arial"/>
                <w:lang w:eastAsia="en-NZ"/>
              </w:rPr>
              <w:t>Criterion 3.2.5</w:t>
            </w:r>
          </w:p>
          <w:p w14:paraId="3D3F111D" w14:textId="77777777" w:rsidR="00EB7645" w:rsidRPr="00BE00C7" w:rsidRDefault="0035159F"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780582F" w14:textId="77777777" w:rsidR="00EB7645" w:rsidRPr="00BE00C7" w:rsidRDefault="00162824" w:rsidP="00BE00C7">
            <w:pPr>
              <w:pStyle w:val="OutcomeDescription"/>
              <w:spacing w:before="120" w:after="120"/>
              <w:rPr>
                <w:rFonts w:cs="Arial"/>
                <w:lang w:eastAsia="en-NZ"/>
              </w:rPr>
            </w:pPr>
          </w:p>
        </w:tc>
        <w:tc>
          <w:tcPr>
            <w:tcW w:w="0" w:type="auto"/>
          </w:tcPr>
          <w:p w14:paraId="51C3C3F6" w14:textId="77777777" w:rsidR="00EB7645" w:rsidRPr="00BE00C7" w:rsidRDefault="0035159F" w:rsidP="00BE00C7">
            <w:pPr>
              <w:pStyle w:val="OutcomeDescription"/>
              <w:spacing w:before="120" w:after="120"/>
              <w:rPr>
                <w:rFonts w:cs="Arial"/>
                <w:lang w:eastAsia="en-NZ"/>
              </w:rPr>
            </w:pPr>
            <w:r w:rsidRPr="00BE00C7">
              <w:rPr>
                <w:rFonts w:cs="Arial"/>
                <w:lang w:eastAsia="en-NZ"/>
              </w:rPr>
              <w:t>PA Moderate</w:t>
            </w:r>
          </w:p>
        </w:tc>
        <w:tc>
          <w:tcPr>
            <w:tcW w:w="0" w:type="auto"/>
          </w:tcPr>
          <w:p w14:paraId="5E4199BE" w14:textId="77777777" w:rsidR="00EB7645" w:rsidRPr="00BE00C7" w:rsidRDefault="0035159F" w:rsidP="00BE00C7">
            <w:pPr>
              <w:pStyle w:val="OutcomeDescription"/>
              <w:spacing w:before="120" w:after="120"/>
              <w:rPr>
                <w:rFonts w:cs="Arial"/>
                <w:lang w:eastAsia="en-NZ"/>
              </w:rPr>
            </w:pPr>
            <w:r w:rsidRPr="00BE00C7">
              <w:rPr>
                <w:rFonts w:cs="Arial"/>
                <w:lang w:eastAsia="en-NZ"/>
              </w:rPr>
              <w:t>Long-term care plans are in place with planned interventions for care based on updated risk assessments. Shortfalls were found in four of the four long-term files that required ongoing evaluation as the evaluations had not been completed. Progress notes reviewed were completed at the end of each shift by the caregivers; however, the progress notes reviewed did not evidence timely documentation by the RN.</w:t>
            </w:r>
          </w:p>
          <w:p w14:paraId="15B40503" w14:textId="77777777" w:rsidR="00EB7645" w:rsidRPr="00BE00C7" w:rsidRDefault="00162824" w:rsidP="00BE00C7">
            <w:pPr>
              <w:pStyle w:val="OutcomeDescription"/>
              <w:spacing w:before="120" w:after="120"/>
              <w:rPr>
                <w:rFonts w:cs="Arial"/>
                <w:lang w:eastAsia="en-NZ"/>
              </w:rPr>
            </w:pPr>
          </w:p>
        </w:tc>
        <w:tc>
          <w:tcPr>
            <w:tcW w:w="0" w:type="auto"/>
          </w:tcPr>
          <w:p w14:paraId="363108A6" w14:textId="77777777" w:rsidR="00EB7645" w:rsidRPr="00BE00C7" w:rsidRDefault="0035159F" w:rsidP="00BE00C7">
            <w:pPr>
              <w:pStyle w:val="OutcomeDescription"/>
              <w:spacing w:before="120" w:after="120"/>
              <w:rPr>
                <w:rFonts w:cs="Arial"/>
                <w:lang w:eastAsia="en-NZ"/>
              </w:rPr>
            </w:pPr>
            <w:r w:rsidRPr="00BE00C7">
              <w:rPr>
                <w:rFonts w:cs="Arial"/>
                <w:lang w:eastAsia="en-NZ"/>
              </w:rPr>
              <w:t>i). Four of the four files that required six-monthly evaluations did not have these in place.</w:t>
            </w:r>
          </w:p>
          <w:p w14:paraId="1225A9DD" w14:textId="77777777" w:rsidR="00EB7645" w:rsidRPr="00BE00C7" w:rsidRDefault="0035159F" w:rsidP="00BE00C7">
            <w:pPr>
              <w:pStyle w:val="OutcomeDescription"/>
              <w:spacing w:before="120" w:after="120"/>
              <w:rPr>
                <w:rFonts w:cs="Arial"/>
                <w:lang w:eastAsia="en-NZ"/>
              </w:rPr>
            </w:pPr>
            <w:r w:rsidRPr="00BE00C7">
              <w:rPr>
                <w:rFonts w:cs="Arial"/>
                <w:lang w:eastAsia="en-NZ"/>
              </w:rPr>
              <w:t>ii). There was no evidence of regular progress notes documented by the RN to evidence any changes to the resident’s condition or clinical assessment/review.</w:t>
            </w:r>
          </w:p>
          <w:p w14:paraId="49F249CB" w14:textId="77777777" w:rsidR="00EB7645" w:rsidRPr="00BE00C7" w:rsidRDefault="00162824" w:rsidP="00BE00C7">
            <w:pPr>
              <w:pStyle w:val="OutcomeDescription"/>
              <w:spacing w:before="120" w:after="120"/>
              <w:rPr>
                <w:rFonts w:cs="Arial"/>
                <w:lang w:eastAsia="en-NZ"/>
              </w:rPr>
            </w:pPr>
          </w:p>
        </w:tc>
        <w:tc>
          <w:tcPr>
            <w:tcW w:w="0" w:type="auto"/>
          </w:tcPr>
          <w:p w14:paraId="6F05C7A9"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i). Ensure six-monthly evaluations are completed as per policy requirements. </w:t>
            </w:r>
          </w:p>
          <w:p w14:paraId="4BC99335"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ii). Ensure at least weekly documentation by the RN in the progress notes or following changes in health status. </w:t>
            </w:r>
          </w:p>
          <w:p w14:paraId="0F2138FD" w14:textId="77777777" w:rsidR="00EB7645" w:rsidRPr="00BE00C7" w:rsidRDefault="00162824" w:rsidP="00BE00C7">
            <w:pPr>
              <w:pStyle w:val="OutcomeDescription"/>
              <w:spacing w:before="120" w:after="120"/>
              <w:rPr>
                <w:rFonts w:cs="Arial"/>
                <w:lang w:eastAsia="en-NZ"/>
              </w:rPr>
            </w:pPr>
          </w:p>
          <w:p w14:paraId="0894087F" w14:textId="77777777" w:rsidR="00EB7645" w:rsidRPr="00BE00C7" w:rsidRDefault="0035159F" w:rsidP="00BE00C7">
            <w:pPr>
              <w:pStyle w:val="OutcomeDescription"/>
              <w:spacing w:before="120" w:after="120"/>
              <w:rPr>
                <w:rFonts w:cs="Arial"/>
                <w:lang w:eastAsia="en-NZ"/>
              </w:rPr>
            </w:pPr>
            <w:r w:rsidRPr="00BE00C7">
              <w:rPr>
                <w:rFonts w:cs="Arial"/>
                <w:lang w:eastAsia="en-NZ"/>
              </w:rPr>
              <w:t>90 days</w:t>
            </w:r>
          </w:p>
        </w:tc>
      </w:tr>
      <w:tr w:rsidR="00832CE9" w14:paraId="19264F57" w14:textId="77777777">
        <w:tc>
          <w:tcPr>
            <w:tcW w:w="0" w:type="auto"/>
          </w:tcPr>
          <w:p w14:paraId="2A2AC8BA" w14:textId="77777777" w:rsidR="00EB7645" w:rsidRPr="00BE00C7" w:rsidRDefault="0035159F" w:rsidP="00BE00C7">
            <w:pPr>
              <w:pStyle w:val="OutcomeDescription"/>
              <w:spacing w:before="120" w:after="120"/>
              <w:rPr>
                <w:rFonts w:cs="Arial"/>
                <w:lang w:eastAsia="en-NZ"/>
              </w:rPr>
            </w:pPr>
            <w:r w:rsidRPr="00BE00C7">
              <w:rPr>
                <w:rFonts w:cs="Arial"/>
                <w:lang w:eastAsia="en-NZ"/>
              </w:rPr>
              <w:t>Criterion 3.4.1</w:t>
            </w:r>
          </w:p>
          <w:p w14:paraId="4663423D" w14:textId="77777777" w:rsidR="00EB7645" w:rsidRPr="00BE00C7" w:rsidRDefault="0035159F"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8F1009D" w14:textId="77777777" w:rsidR="00EB7645" w:rsidRPr="00BE00C7" w:rsidRDefault="0035159F" w:rsidP="00BE00C7">
            <w:pPr>
              <w:pStyle w:val="OutcomeDescription"/>
              <w:spacing w:before="120" w:after="120"/>
              <w:rPr>
                <w:rFonts w:cs="Arial"/>
                <w:lang w:eastAsia="en-NZ"/>
              </w:rPr>
            </w:pPr>
            <w:r w:rsidRPr="00BE00C7">
              <w:rPr>
                <w:rFonts w:cs="Arial"/>
                <w:lang w:eastAsia="en-NZ"/>
              </w:rPr>
              <w:t>PA Moderate</w:t>
            </w:r>
          </w:p>
        </w:tc>
        <w:tc>
          <w:tcPr>
            <w:tcW w:w="0" w:type="auto"/>
          </w:tcPr>
          <w:p w14:paraId="00B17ACE"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There is no evidence that medication competent staff or the RN complete medication reconciliation of medications from the pharmacy. </w:t>
            </w:r>
          </w:p>
          <w:p w14:paraId="33C0D64D" w14:textId="77777777" w:rsidR="00EB7645" w:rsidRPr="00BE00C7" w:rsidRDefault="00162824" w:rsidP="00BE00C7">
            <w:pPr>
              <w:pStyle w:val="OutcomeDescription"/>
              <w:spacing w:before="120" w:after="120"/>
              <w:rPr>
                <w:rFonts w:cs="Arial"/>
                <w:lang w:eastAsia="en-NZ"/>
              </w:rPr>
            </w:pPr>
          </w:p>
        </w:tc>
        <w:tc>
          <w:tcPr>
            <w:tcW w:w="0" w:type="auto"/>
          </w:tcPr>
          <w:p w14:paraId="07EA1AEC" w14:textId="77777777" w:rsidR="00EB7645" w:rsidRPr="00BE00C7" w:rsidRDefault="0035159F" w:rsidP="00BE00C7">
            <w:pPr>
              <w:pStyle w:val="OutcomeDescription"/>
              <w:spacing w:before="120" w:after="120"/>
              <w:rPr>
                <w:rFonts w:cs="Arial"/>
                <w:lang w:eastAsia="en-NZ"/>
              </w:rPr>
            </w:pPr>
            <w:r w:rsidRPr="00BE00C7">
              <w:rPr>
                <w:rFonts w:cs="Arial"/>
                <w:lang w:eastAsia="en-NZ"/>
              </w:rPr>
              <w:t>Medication reconciliation of medications on arrival from the pharmacy is not completed</w:t>
            </w:r>
          </w:p>
          <w:p w14:paraId="3B1791A2" w14:textId="77777777" w:rsidR="00EB7645" w:rsidRPr="00BE00C7" w:rsidRDefault="00162824" w:rsidP="00BE00C7">
            <w:pPr>
              <w:pStyle w:val="OutcomeDescription"/>
              <w:spacing w:before="120" w:after="120"/>
              <w:rPr>
                <w:rFonts w:cs="Arial"/>
                <w:lang w:eastAsia="en-NZ"/>
              </w:rPr>
            </w:pPr>
          </w:p>
        </w:tc>
        <w:tc>
          <w:tcPr>
            <w:tcW w:w="0" w:type="auto"/>
          </w:tcPr>
          <w:p w14:paraId="123AD766"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Implementation of medication reconciliation with medications from the pharmacy. </w:t>
            </w:r>
          </w:p>
          <w:p w14:paraId="76661042" w14:textId="77777777" w:rsidR="00EB7645" w:rsidRPr="00BE00C7" w:rsidRDefault="00162824" w:rsidP="00BE00C7">
            <w:pPr>
              <w:pStyle w:val="OutcomeDescription"/>
              <w:spacing w:before="120" w:after="120"/>
              <w:rPr>
                <w:rFonts w:cs="Arial"/>
                <w:lang w:eastAsia="en-NZ"/>
              </w:rPr>
            </w:pPr>
          </w:p>
          <w:p w14:paraId="448ABA9F" w14:textId="77777777" w:rsidR="00EB7645" w:rsidRPr="00BE00C7" w:rsidRDefault="0035159F" w:rsidP="00BE00C7">
            <w:pPr>
              <w:pStyle w:val="OutcomeDescription"/>
              <w:spacing w:before="120" w:after="120"/>
              <w:rPr>
                <w:rFonts w:cs="Arial"/>
                <w:lang w:eastAsia="en-NZ"/>
              </w:rPr>
            </w:pPr>
            <w:r w:rsidRPr="00BE00C7">
              <w:rPr>
                <w:rFonts w:cs="Arial"/>
                <w:lang w:eastAsia="en-NZ"/>
              </w:rPr>
              <w:t>60 days</w:t>
            </w:r>
          </w:p>
        </w:tc>
      </w:tr>
      <w:tr w:rsidR="00832CE9" w14:paraId="5C1D0B20" w14:textId="77777777">
        <w:tc>
          <w:tcPr>
            <w:tcW w:w="0" w:type="auto"/>
          </w:tcPr>
          <w:p w14:paraId="6DBE6D75" w14:textId="77777777" w:rsidR="00EB7645" w:rsidRPr="00BE00C7" w:rsidRDefault="0035159F" w:rsidP="00BE00C7">
            <w:pPr>
              <w:pStyle w:val="OutcomeDescription"/>
              <w:spacing w:before="120" w:after="120"/>
              <w:rPr>
                <w:rFonts w:cs="Arial"/>
                <w:lang w:eastAsia="en-NZ"/>
              </w:rPr>
            </w:pPr>
            <w:r w:rsidRPr="00BE00C7">
              <w:rPr>
                <w:rFonts w:cs="Arial"/>
                <w:lang w:eastAsia="en-NZ"/>
              </w:rPr>
              <w:t>Criterion 5.2.2</w:t>
            </w:r>
          </w:p>
          <w:p w14:paraId="3D7A0BD4" w14:textId="77777777" w:rsidR="00EB7645" w:rsidRPr="00BE00C7" w:rsidRDefault="0035159F"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0E249444" w14:textId="77777777" w:rsidR="00EB7645" w:rsidRPr="00BE00C7" w:rsidRDefault="00162824" w:rsidP="00BE00C7">
            <w:pPr>
              <w:pStyle w:val="OutcomeDescription"/>
              <w:spacing w:before="120" w:after="120"/>
              <w:rPr>
                <w:rFonts w:cs="Arial"/>
                <w:lang w:eastAsia="en-NZ"/>
              </w:rPr>
            </w:pPr>
          </w:p>
        </w:tc>
        <w:tc>
          <w:tcPr>
            <w:tcW w:w="0" w:type="auto"/>
          </w:tcPr>
          <w:p w14:paraId="2C58BCC9" w14:textId="77777777" w:rsidR="00EB7645" w:rsidRPr="00BE00C7" w:rsidRDefault="0035159F" w:rsidP="00BE00C7">
            <w:pPr>
              <w:pStyle w:val="OutcomeDescription"/>
              <w:spacing w:before="120" w:after="120"/>
              <w:rPr>
                <w:rFonts w:cs="Arial"/>
                <w:lang w:eastAsia="en-NZ"/>
              </w:rPr>
            </w:pPr>
            <w:r w:rsidRPr="00BE00C7">
              <w:rPr>
                <w:rFonts w:cs="Arial"/>
                <w:lang w:eastAsia="en-NZ"/>
              </w:rPr>
              <w:t>PA Low</w:t>
            </w:r>
          </w:p>
        </w:tc>
        <w:tc>
          <w:tcPr>
            <w:tcW w:w="0" w:type="auto"/>
          </w:tcPr>
          <w:p w14:paraId="634F3AD1" w14:textId="77777777" w:rsidR="00EB7645" w:rsidRPr="00BE00C7" w:rsidRDefault="0035159F" w:rsidP="00BE00C7">
            <w:pPr>
              <w:pStyle w:val="OutcomeDescription"/>
              <w:spacing w:before="120" w:after="120"/>
              <w:rPr>
                <w:rFonts w:cs="Arial"/>
                <w:lang w:eastAsia="en-NZ"/>
              </w:rPr>
            </w:pPr>
            <w:r w:rsidRPr="00BE00C7">
              <w:rPr>
                <w:rFonts w:cs="Arial"/>
                <w:lang w:eastAsia="en-NZ"/>
              </w:rPr>
              <w:t>The interim infection control coordinator has attended external training around infection control. The infection control policies and programme has been approved by the CEO and is linked to the reporting system. Infection control audits are completed as scheduled, and infection logs and monthly analysis of data is collated. However, there was no evidence of an annual review of the infection control programme.</w:t>
            </w:r>
          </w:p>
          <w:p w14:paraId="71904EEC" w14:textId="77777777" w:rsidR="00EB7645" w:rsidRPr="00BE00C7" w:rsidRDefault="00162824" w:rsidP="00BE00C7">
            <w:pPr>
              <w:pStyle w:val="OutcomeDescription"/>
              <w:spacing w:before="120" w:after="120"/>
              <w:rPr>
                <w:rFonts w:cs="Arial"/>
                <w:lang w:eastAsia="en-NZ"/>
              </w:rPr>
            </w:pPr>
          </w:p>
        </w:tc>
        <w:tc>
          <w:tcPr>
            <w:tcW w:w="0" w:type="auto"/>
          </w:tcPr>
          <w:p w14:paraId="48309C42" w14:textId="77777777" w:rsidR="00EB7645" w:rsidRPr="00BE00C7" w:rsidRDefault="0035159F" w:rsidP="00BE00C7">
            <w:pPr>
              <w:pStyle w:val="OutcomeDescription"/>
              <w:spacing w:before="120" w:after="120"/>
              <w:rPr>
                <w:rFonts w:cs="Arial"/>
                <w:lang w:eastAsia="en-NZ"/>
              </w:rPr>
            </w:pPr>
            <w:r w:rsidRPr="00BE00C7">
              <w:rPr>
                <w:rFonts w:cs="Arial"/>
                <w:lang w:eastAsia="en-NZ"/>
              </w:rPr>
              <w:t>There was no evidence of an annual review of the infection control programme in 2020 or 2021.</w:t>
            </w:r>
          </w:p>
          <w:p w14:paraId="0BE778CE" w14:textId="77777777" w:rsidR="00EB7645" w:rsidRPr="00BE00C7" w:rsidRDefault="00162824" w:rsidP="00BE00C7">
            <w:pPr>
              <w:pStyle w:val="OutcomeDescription"/>
              <w:spacing w:before="120" w:after="120"/>
              <w:rPr>
                <w:rFonts w:cs="Arial"/>
                <w:lang w:eastAsia="en-NZ"/>
              </w:rPr>
            </w:pPr>
          </w:p>
        </w:tc>
        <w:tc>
          <w:tcPr>
            <w:tcW w:w="0" w:type="auto"/>
          </w:tcPr>
          <w:p w14:paraId="4A122EBB" w14:textId="77777777" w:rsidR="00EB7645" w:rsidRPr="00BE00C7" w:rsidRDefault="0035159F" w:rsidP="00BE00C7">
            <w:pPr>
              <w:pStyle w:val="OutcomeDescription"/>
              <w:spacing w:before="120" w:after="120"/>
              <w:rPr>
                <w:rFonts w:cs="Arial"/>
                <w:lang w:eastAsia="en-NZ"/>
              </w:rPr>
            </w:pPr>
            <w:r w:rsidRPr="00BE00C7">
              <w:rPr>
                <w:rFonts w:cs="Arial"/>
                <w:lang w:eastAsia="en-NZ"/>
              </w:rPr>
              <w:t xml:space="preserve">Ensure an annual review is completed. </w:t>
            </w:r>
          </w:p>
          <w:p w14:paraId="3697A91B" w14:textId="77777777" w:rsidR="00EB7645" w:rsidRPr="00BE00C7" w:rsidRDefault="00162824" w:rsidP="00BE00C7">
            <w:pPr>
              <w:pStyle w:val="OutcomeDescription"/>
              <w:spacing w:before="120" w:after="120"/>
              <w:rPr>
                <w:rFonts w:cs="Arial"/>
                <w:lang w:eastAsia="en-NZ"/>
              </w:rPr>
            </w:pPr>
          </w:p>
          <w:p w14:paraId="733F3D3C" w14:textId="77777777" w:rsidR="00EB7645" w:rsidRPr="00BE00C7" w:rsidRDefault="0035159F" w:rsidP="00BE00C7">
            <w:pPr>
              <w:pStyle w:val="OutcomeDescription"/>
              <w:spacing w:before="120" w:after="120"/>
              <w:rPr>
                <w:rFonts w:cs="Arial"/>
                <w:lang w:eastAsia="en-NZ"/>
              </w:rPr>
            </w:pPr>
            <w:r w:rsidRPr="00BE00C7">
              <w:rPr>
                <w:rFonts w:cs="Arial"/>
                <w:lang w:eastAsia="en-NZ"/>
              </w:rPr>
              <w:t>90 days</w:t>
            </w:r>
          </w:p>
        </w:tc>
      </w:tr>
    </w:tbl>
    <w:p w14:paraId="6140ACDB" w14:textId="77777777" w:rsidR="00EB7645" w:rsidRPr="00BE00C7" w:rsidRDefault="00162824" w:rsidP="00BE00C7">
      <w:pPr>
        <w:pStyle w:val="OutcomeDescription"/>
        <w:spacing w:before="120" w:after="120"/>
        <w:rPr>
          <w:rFonts w:cs="Arial"/>
          <w:lang w:eastAsia="en-NZ"/>
        </w:rPr>
      </w:pPr>
      <w:bookmarkStart w:id="45" w:name="AuditSummaryCAMCriterion"/>
      <w:bookmarkEnd w:id="45"/>
    </w:p>
    <w:p w14:paraId="09342C6C" w14:textId="77777777" w:rsidR="00460D43" w:rsidRDefault="0035159F">
      <w:pPr>
        <w:pStyle w:val="Heading1"/>
        <w:rPr>
          <w:rFonts w:cs="Arial"/>
        </w:rPr>
      </w:pPr>
      <w:r>
        <w:rPr>
          <w:rFonts w:cs="Arial"/>
        </w:rPr>
        <w:t>Specific results for criterion where a continuous improvement has been recorded</w:t>
      </w:r>
    </w:p>
    <w:p w14:paraId="3198DD10" w14:textId="77777777" w:rsidR="00460D43" w:rsidRDefault="0035159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06580A2" w14:textId="77777777" w:rsidR="00460D43" w:rsidRDefault="003515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104AE2D" w14:textId="77777777" w:rsidR="00460D43" w:rsidRDefault="003515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32CE9" w14:paraId="4FAAD92A" w14:textId="77777777">
        <w:tc>
          <w:tcPr>
            <w:tcW w:w="0" w:type="auto"/>
          </w:tcPr>
          <w:p w14:paraId="0B9AE0B3" w14:textId="77777777" w:rsidR="00EB7645" w:rsidRPr="00BE00C7" w:rsidRDefault="0035159F" w:rsidP="00BE00C7">
            <w:pPr>
              <w:pStyle w:val="OutcomeDescription"/>
              <w:spacing w:before="120" w:after="120"/>
              <w:rPr>
                <w:rFonts w:cs="Arial"/>
                <w:lang w:eastAsia="en-NZ"/>
              </w:rPr>
            </w:pPr>
            <w:r w:rsidRPr="00BE00C7">
              <w:rPr>
                <w:rFonts w:cs="Arial"/>
                <w:lang w:eastAsia="en-NZ"/>
              </w:rPr>
              <w:t>No data to display</w:t>
            </w:r>
          </w:p>
        </w:tc>
      </w:tr>
    </w:tbl>
    <w:p w14:paraId="685A0B8E" w14:textId="77777777" w:rsidR="00EB7645" w:rsidRPr="00BE00C7" w:rsidRDefault="00162824" w:rsidP="00BE00C7">
      <w:pPr>
        <w:pStyle w:val="OutcomeDescription"/>
        <w:spacing w:before="120" w:after="120"/>
        <w:rPr>
          <w:rFonts w:cs="Arial"/>
          <w:lang w:eastAsia="en-NZ"/>
        </w:rPr>
      </w:pPr>
      <w:bookmarkStart w:id="46" w:name="AuditSummaryCAMImprovment"/>
      <w:bookmarkEnd w:id="46"/>
    </w:p>
    <w:p w14:paraId="617A249F" w14:textId="77777777" w:rsidR="008F3634" w:rsidRDefault="003515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7FEE" w14:textId="77777777" w:rsidR="00780986" w:rsidRDefault="00780986">
      <w:r>
        <w:separator/>
      </w:r>
    </w:p>
  </w:endnote>
  <w:endnote w:type="continuationSeparator" w:id="0">
    <w:p w14:paraId="1C8D2278" w14:textId="77777777" w:rsidR="00780986" w:rsidRDefault="0078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34B9" w14:textId="77777777" w:rsidR="000B00BC" w:rsidRDefault="00162824">
    <w:pPr>
      <w:pStyle w:val="Footer"/>
    </w:pPr>
  </w:p>
  <w:p w14:paraId="5BBA66A3" w14:textId="77777777" w:rsidR="005A4A55" w:rsidRDefault="00162824"/>
  <w:p w14:paraId="1900555B" w14:textId="77777777" w:rsidR="005A4A55" w:rsidRDefault="003515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526E" w14:textId="77777777" w:rsidR="000B00BC" w:rsidRPr="000B00BC" w:rsidRDefault="0035159F"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Phantom 2021 Limited - Thornbury House</w:t>
    </w:r>
    <w:bookmarkEnd w:id="47"/>
    <w:r>
      <w:rPr>
        <w:rFonts w:cs="Arial"/>
        <w:sz w:val="16"/>
        <w:szCs w:val="20"/>
      </w:rPr>
      <w:tab/>
      <w:t xml:space="preserve">Date of Audit: </w:t>
    </w:r>
    <w:bookmarkStart w:id="48" w:name="AuditStartDate1"/>
    <w:r>
      <w:rPr>
        <w:rFonts w:cs="Arial"/>
        <w:sz w:val="16"/>
        <w:szCs w:val="20"/>
      </w:rPr>
      <w:t>15 November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5D15AF" w14:textId="77777777" w:rsidR="005A4A55" w:rsidRDefault="001628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2D3E" w14:textId="77777777" w:rsidR="000B00BC" w:rsidRDefault="00162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308B" w14:textId="77777777" w:rsidR="00780986" w:rsidRDefault="00780986">
      <w:r>
        <w:separator/>
      </w:r>
    </w:p>
  </w:footnote>
  <w:footnote w:type="continuationSeparator" w:id="0">
    <w:p w14:paraId="5C4E1A48" w14:textId="77777777" w:rsidR="00780986" w:rsidRDefault="0078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9C86" w14:textId="77777777" w:rsidR="000B00BC" w:rsidRDefault="00162824">
    <w:pPr>
      <w:pStyle w:val="Header"/>
    </w:pPr>
  </w:p>
  <w:p w14:paraId="037586E4" w14:textId="77777777" w:rsidR="005A4A55" w:rsidRDefault="00162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B0F2" w14:textId="77777777" w:rsidR="000B00BC" w:rsidRDefault="00162824">
    <w:pPr>
      <w:pStyle w:val="Header"/>
    </w:pPr>
  </w:p>
  <w:p w14:paraId="7FB61312" w14:textId="77777777" w:rsidR="005A4A55" w:rsidRDefault="00162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0697" w14:textId="77777777" w:rsidR="000B00BC" w:rsidRDefault="00162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65AF938">
      <w:start w:val="1"/>
      <w:numFmt w:val="decimal"/>
      <w:lvlText w:val="%1."/>
      <w:lvlJc w:val="left"/>
      <w:pPr>
        <w:ind w:left="360" w:hanging="360"/>
      </w:pPr>
    </w:lvl>
    <w:lvl w:ilvl="1" w:tplc="637E6208" w:tentative="1">
      <w:start w:val="1"/>
      <w:numFmt w:val="lowerLetter"/>
      <w:lvlText w:val="%2."/>
      <w:lvlJc w:val="left"/>
      <w:pPr>
        <w:ind w:left="1080" w:hanging="360"/>
      </w:pPr>
    </w:lvl>
    <w:lvl w:ilvl="2" w:tplc="31D0806C" w:tentative="1">
      <w:start w:val="1"/>
      <w:numFmt w:val="lowerRoman"/>
      <w:lvlText w:val="%3."/>
      <w:lvlJc w:val="right"/>
      <w:pPr>
        <w:ind w:left="1800" w:hanging="180"/>
      </w:pPr>
    </w:lvl>
    <w:lvl w:ilvl="3" w:tplc="2F08D54C" w:tentative="1">
      <w:start w:val="1"/>
      <w:numFmt w:val="decimal"/>
      <w:lvlText w:val="%4."/>
      <w:lvlJc w:val="left"/>
      <w:pPr>
        <w:ind w:left="2520" w:hanging="360"/>
      </w:pPr>
    </w:lvl>
    <w:lvl w:ilvl="4" w:tplc="7A78C402" w:tentative="1">
      <w:start w:val="1"/>
      <w:numFmt w:val="lowerLetter"/>
      <w:lvlText w:val="%5."/>
      <w:lvlJc w:val="left"/>
      <w:pPr>
        <w:ind w:left="3240" w:hanging="360"/>
      </w:pPr>
    </w:lvl>
    <w:lvl w:ilvl="5" w:tplc="0A6C3484" w:tentative="1">
      <w:start w:val="1"/>
      <w:numFmt w:val="lowerRoman"/>
      <w:lvlText w:val="%6."/>
      <w:lvlJc w:val="right"/>
      <w:pPr>
        <w:ind w:left="3960" w:hanging="180"/>
      </w:pPr>
    </w:lvl>
    <w:lvl w:ilvl="6" w:tplc="FAB817C4" w:tentative="1">
      <w:start w:val="1"/>
      <w:numFmt w:val="decimal"/>
      <w:lvlText w:val="%7."/>
      <w:lvlJc w:val="left"/>
      <w:pPr>
        <w:ind w:left="4680" w:hanging="360"/>
      </w:pPr>
    </w:lvl>
    <w:lvl w:ilvl="7" w:tplc="13CE15D2" w:tentative="1">
      <w:start w:val="1"/>
      <w:numFmt w:val="lowerLetter"/>
      <w:lvlText w:val="%8."/>
      <w:lvlJc w:val="left"/>
      <w:pPr>
        <w:ind w:left="5400" w:hanging="360"/>
      </w:pPr>
    </w:lvl>
    <w:lvl w:ilvl="8" w:tplc="6AD848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76FD86">
      <w:start w:val="1"/>
      <w:numFmt w:val="bullet"/>
      <w:lvlText w:val=""/>
      <w:lvlJc w:val="left"/>
      <w:pPr>
        <w:ind w:left="720" w:hanging="360"/>
      </w:pPr>
      <w:rPr>
        <w:rFonts w:ascii="Symbol" w:hAnsi="Symbol" w:hint="default"/>
      </w:rPr>
    </w:lvl>
    <w:lvl w:ilvl="1" w:tplc="90163CEE" w:tentative="1">
      <w:start w:val="1"/>
      <w:numFmt w:val="bullet"/>
      <w:lvlText w:val="o"/>
      <w:lvlJc w:val="left"/>
      <w:pPr>
        <w:ind w:left="1440" w:hanging="360"/>
      </w:pPr>
      <w:rPr>
        <w:rFonts w:ascii="Courier New" w:hAnsi="Courier New" w:cs="Courier New" w:hint="default"/>
      </w:rPr>
    </w:lvl>
    <w:lvl w:ilvl="2" w:tplc="D8AE1856" w:tentative="1">
      <w:start w:val="1"/>
      <w:numFmt w:val="bullet"/>
      <w:lvlText w:val=""/>
      <w:lvlJc w:val="left"/>
      <w:pPr>
        <w:ind w:left="2160" w:hanging="360"/>
      </w:pPr>
      <w:rPr>
        <w:rFonts w:ascii="Wingdings" w:hAnsi="Wingdings" w:hint="default"/>
      </w:rPr>
    </w:lvl>
    <w:lvl w:ilvl="3" w:tplc="248C9B9C" w:tentative="1">
      <w:start w:val="1"/>
      <w:numFmt w:val="bullet"/>
      <w:lvlText w:val=""/>
      <w:lvlJc w:val="left"/>
      <w:pPr>
        <w:ind w:left="2880" w:hanging="360"/>
      </w:pPr>
      <w:rPr>
        <w:rFonts w:ascii="Symbol" w:hAnsi="Symbol" w:hint="default"/>
      </w:rPr>
    </w:lvl>
    <w:lvl w:ilvl="4" w:tplc="5DB6A714" w:tentative="1">
      <w:start w:val="1"/>
      <w:numFmt w:val="bullet"/>
      <w:lvlText w:val="o"/>
      <w:lvlJc w:val="left"/>
      <w:pPr>
        <w:ind w:left="3600" w:hanging="360"/>
      </w:pPr>
      <w:rPr>
        <w:rFonts w:ascii="Courier New" w:hAnsi="Courier New" w:cs="Courier New" w:hint="default"/>
      </w:rPr>
    </w:lvl>
    <w:lvl w:ilvl="5" w:tplc="4E2C46A2" w:tentative="1">
      <w:start w:val="1"/>
      <w:numFmt w:val="bullet"/>
      <w:lvlText w:val=""/>
      <w:lvlJc w:val="left"/>
      <w:pPr>
        <w:ind w:left="4320" w:hanging="360"/>
      </w:pPr>
      <w:rPr>
        <w:rFonts w:ascii="Wingdings" w:hAnsi="Wingdings" w:hint="default"/>
      </w:rPr>
    </w:lvl>
    <w:lvl w:ilvl="6" w:tplc="48A8DA0A" w:tentative="1">
      <w:start w:val="1"/>
      <w:numFmt w:val="bullet"/>
      <w:lvlText w:val=""/>
      <w:lvlJc w:val="left"/>
      <w:pPr>
        <w:ind w:left="5040" w:hanging="360"/>
      </w:pPr>
      <w:rPr>
        <w:rFonts w:ascii="Symbol" w:hAnsi="Symbol" w:hint="default"/>
      </w:rPr>
    </w:lvl>
    <w:lvl w:ilvl="7" w:tplc="47A023BC" w:tentative="1">
      <w:start w:val="1"/>
      <w:numFmt w:val="bullet"/>
      <w:lvlText w:val="o"/>
      <w:lvlJc w:val="left"/>
      <w:pPr>
        <w:ind w:left="5760" w:hanging="360"/>
      </w:pPr>
      <w:rPr>
        <w:rFonts w:ascii="Courier New" w:hAnsi="Courier New" w:cs="Courier New" w:hint="default"/>
      </w:rPr>
    </w:lvl>
    <w:lvl w:ilvl="8" w:tplc="464E7FE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E9"/>
    <w:rsid w:val="00162824"/>
    <w:rsid w:val="00283551"/>
    <w:rsid w:val="00305909"/>
    <w:rsid w:val="0035159F"/>
    <w:rsid w:val="0055707B"/>
    <w:rsid w:val="00780986"/>
    <w:rsid w:val="00832CE9"/>
    <w:rsid w:val="00891B9E"/>
    <w:rsid w:val="00911871"/>
    <w:rsid w:val="00AF7D1B"/>
    <w:rsid w:val="00D06E71"/>
    <w:rsid w:val="00F378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F789"/>
  <w15:docId w15:val="{5FA1768C-8CA6-4EA0-B37D-46D44FC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13262</Words>
  <Characters>75599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2022-12-06T20:37:00Z</dcterms:created>
  <dcterms:modified xsi:type="dcterms:W3CDTF">2022-12-06T20:37:00Z</dcterms:modified>
</cp:coreProperties>
</file>