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Carnarvon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Carnarvon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February 2022</w:t>
      </w:r>
      <w:bookmarkEnd w:id="7"/>
      <w:r w:rsidRPr="009418D4">
        <w:rPr>
          <w:rFonts w:cs="Arial"/>
        </w:rPr>
        <w:tab/>
        <w:t xml:space="preserve">End date: </w:t>
      </w:r>
      <w:bookmarkStart w:id="8" w:name="AuditEndDate"/>
      <w:r w:rsidR="00A4268A">
        <w:rPr>
          <w:rFonts w:cs="Arial"/>
        </w:rPr>
        <w:t>8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Carnarvon is part of the CHT group of facilities. The service provides hospital and rest home level care for up to 60 residents. On the day of audit there were 52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residents, relatives and general practitioner spoke highly of the care and service provided. The service has a well-established quality system that identifies ongoing quality improvement.</w:t>
      </w:r>
    </w:p>
    <w:p w:rsidRPr="00A4268A">
      <w:pPr>
        <w:spacing w:before="240" w:line="276" w:lineRule="auto"/>
        <w:rPr>
          <w:rFonts w:eastAsia="Calibri"/>
        </w:rPr>
      </w:pPr>
      <w:r w:rsidRPr="00A4268A">
        <w:rPr>
          <w:rFonts w:eastAsia="Calibri"/>
        </w:rPr>
        <w:t>The previous certification audit shortfall related to implementation of care has been addressed.  The environmental shortfalls related to the previous partial provisional audit have been addressed.</w:t>
      </w:r>
    </w:p>
    <w:p w:rsidRPr="00A4268A">
      <w:pPr>
        <w:spacing w:before="240" w:line="276" w:lineRule="auto"/>
        <w:rPr>
          <w:rFonts w:eastAsia="Calibri"/>
        </w:rPr>
      </w:pPr>
      <w:r w:rsidRPr="00A4268A">
        <w:rPr>
          <w:rFonts w:eastAsia="Calibri"/>
        </w:rPr>
        <w:t xml:space="preserve">This audit identified two shortfalls around complaints management and medication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A complaint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general manager is responsible for day-to-day operations. Goals are documented for the service with evidence of regular reviews. A quality and risk management programme is embedded into practice.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Ongoing education and training for staff includes in-service and online education and training. Registered nursing cover is provided seven days a week, twenty-four hours a day. Residents and families report that staffing levels are adequate to meet the needs of the residents. 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service’s policies and procedures provide documented guidelines for access and entry to the service. All residents are assessed before entry to the service to confirm their level of care. The nursing team is responsible for all assessments, care planning, and evaluation of service delivery plans. Care plans are individualised and based on the residents’ assessed needs and basic routines. Interventions developed are appropriate and evaluated within the recommended time frames. The ongoing evaluation process ensures that assessments reflect the residents’ status.</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nominated family member representatives, including all residents’ activities of interest. In interviews, residents and family/whānau expressed satisfaction with how activities are conducted at the service and the activities programme in place.</w:t>
      </w:r>
    </w:p>
    <w:p w:rsidRPr="00A4268A"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have current medication competencies.</w:t>
      </w:r>
    </w:p>
    <w:p w:rsidRPr="00A4268A" w:rsidP="00621629">
      <w:pPr>
        <w:spacing w:before="240" w:line="276" w:lineRule="auto"/>
        <w:rPr>
          <w:rFonts w:eastAsia="Calibri"/>
        </w:rPr>
      </w:pPr>
      <w:r w:rsidRPr="00A4268A">
        <w:rPr>
          <w:rFonts w:eastAsia="Calibri"/>
        </w:rPr>
        <w:t>The food service provides for specific dietary likes and dislikes of the residents. Nutritional requirements are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code of compliance in place. Resident rooms are spacious with an adequate number of shower and toilet facilities for the number of residents. All areas are accessible to people with a disability. External areas are safe and well maintained. Fixtures, fittings, and flooring are appropriate and toilet/shower facilities are constructed for ease of cleaning. Appropriate training, information, and equipment for responding to emergencies are provided.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one resident assessed as requiring the use of restraint and four residents assessed as requiring an enabler. Staff regularly receive education and training in restraint minimisation and safe practice.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Standardised definitions are used for the identification and classification of infection events. Results of surveillance are acted upon, evaluated, and reported to relevant personnel in a timely manner. There has been no outbreaks since the previous audit.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3"/>
        <w:gridCol w:w="1280"/>
        <w:gridCol w:w="101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Complaints forms are available at reception. Information about complaints is provided on admission in the services guide. Interviews with residents and relatives demonstrated their understanding of the complaints process. Staff interviewed including: three health care assistants (HCAs), one clinical coordinator, one registered nurse (RN), a housekeeper, an activity person and a maintenance person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that contains details for each lodged formal complaint. Informal complaints are followed up through resident meetings; these meetings have not always occurred and there is no log of informal or ‘lower level’ complaints. Families and residents interviewed felt that not all complaints were followed up.</w:t>
            </w:r>
          </w:p>
          <w:p w:rsidR="00EB7645" w:rsidRPr="00BE00C7" w:rsidP="00BE00C7">
            <w:pPr>
              <w:pStyle w:val="OutcomeDescription"/>
              <w:spacing w:before="120" w:after="120"/>
              <w:rPr>
                <w:rFonts w:cs="Arial"/>
                <w:b w:val="0"/>
                <w:lang w:eastAsia="en-NZ"/>
              </w:rPr>
            </w:pPr>
            <w:r w:rsidRPr="00BE00C7">
              <w:rPr>
                <w:rFonts w:cs="Arial"/>
                <w:b w:val="0"/>
                <w:lang w:eastAsia="en-NZ"/>
              </w:rPr>
              <w:t>There were two complaints on the complaint log, both were Health and Disability Complaints. Both documented a comprehensive investigation and full response to the Health and Disability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(one hospital level and one rest home) and residents interviewed (five rest home level and five hospital) stated they were welcomed on entry and given time and explanation about the services and procedures. There is an interpreter policy in place and contact details of interpreters are available. Accident/incidents, complaints procedures and the policy and process around open disclosure alerts staff to their responsibility to notify family/next of kin of any accident/incident and ensure full and frank open disclosure occurs. Ten incidents/accidents forms were reviewed, and all of the completed forms indicated family were informed about the event.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Carnarvon is owned and operated by CHT Healthcare Trust. The service provides rest home and hospital level care for up to 60 residents. On the day of the audit, there were five rest home level and 47 hospital level residents. This included one hospital level resident on a younger person with disability (YPD) contract, one hospital level ACC, one hospital level palliative resident and one hospital level respite resident. The remaining residents were on the aged related residential care (ARRC) contract. Four rooms are designated as rest home only and the remaining rooms are designated as dual 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The unit manager has significant experience in DHB aged care services and management of the service since 2016. Support for clinical leadership is provided by the clinical coordinator and competent registered nurses. The unit manager reports to the CHT area manager weekly on a variety of operational issues. </w:t>
            </w:r>
          </w:p>
          <w:p w:rsidR="00EB7645" w:rsidRPr="00BE00C7" w:rsidP="00BE00C7">
            <w:pPr>
              <w:pStyle w:val="OutcomeDescription"/>
              <w:spacing w:before="120" w:after="120"/>
              <w:rPr>
                <w:rFonts w:cs="Arial"/>
                <w:b w:val="0"/>
                <w:lang w:eastAsia="en-NZ"/>
              </w:rPr>
            </w:pPr>
            <w:r w:rsidRPr="00BE00C7">
              <w:rPr>
                <w:rFonts w:cs="Arial"/>
                <w:b w:val="0"/>
                <w:lang w:eastAsia="en-NZ"/>
              </w:rPr>
              <w:t>CHT has an overall business/strategic plan and Carnarvon Hospital has a facility quality and risk management programme in place for the current year. The organisation has a philosophy of care, which includes a mission statement. The unit manager has completed more than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performance plan for the facility includes quality goals (strategic themes) with associated actions, milestones and dates achieved. The unit manager continues to provide oversight of the quality programme. Interviews with staff confirmed their familiarity with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and updated at the organisational level. New policies or changes to policy are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continues to be collected in relation to a variety of quality activities and a comprehensive internal audit has been implemented. Data is collected around operational and clinical areas of the business including accidents, incidents, complaints, infections, restraint use, and feedback on the customer experience. Benchmarking reports are provided quarterly, and the results discussed at the quarterly quality health and safety meetings as well as staff and RN meetings. The results of the customer experience survey showed that residents continue to be very satisfied with care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policy and process. Issues and concerns are addressed in the monthly quality/health and safety meetings. These are also discussed at the monthly staff meetings. Meetings have been less frequent over the Covid lockdown periods, however, there has been at least one meeting a month to continue discussions around all aspects of the quality and risk management programme and changes related to Covid. Resident/relative meetings have not been held regularly (link 1.1.13.1).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that is being implemented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Ten accident/incident forms were randomly selected for review. A registered nurse conducts a clinical follow up of each adverse event. Neurological observations are completed for unwitnessed falls. All adverse events reviewed demonstrated that appropriate clinical follow up and investigation took place. Adverse events are also reviewed and signed off by the unit manager. Trends are identified at head office with data benchmarked against the other CHT facilities. This data is available electronically for managers to access.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unit manager confirmed that there is an awareness of the requirement to notify relevant authorities in relation to essential notifications with examples provided. Notifications have included two Health and Disability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Five staff files (two RNs, two HCAs and one activities coordinator) reviewed evidenced implementation of the recruitment process, employment contracts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were able to describe the orientation process and remarked that new staff were adequately orientated to the service. Evidence of an orientation programme being completed was sighted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being implemented that includes in-services and completion of online education modules. The competency programme is ongoing with different requirements according to work type. All HCAs are encouraged to complete New Zealand Qualification Authority (NZQA) qualifications. Currently there are six HCAs who have achieved level 4, nine who have completed level 3 and five who have completed level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and registered nurses are able to attend external training, including sessions provided by the local DHB. Six of the six registered nurses employed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Sufficient staff are rostered on to manage the care requirements of the residents. The unit manager (a registered nurse) is on duty from Monday to Friday and on call.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RNs on the morning shift, two on the afternoon shift and one at night. Advised that extra staff can be called on for increased resident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roster and staff are allocated by the lead RN each shift. One the day of audit there were five residents at rest home level and 47 at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Morning shift:  Ten healthcare assistants (five long shift and five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Six healthcare assistants including one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registered nurse and three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staffing is sufficient to meet the needs of rest home and hospital level residents. Residents and family interviewed confirmed that there were sufficient staff on duty at any given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as outlined in the Medicines Care Guide for Residential Aged Care. The service uses an electronic management system for medication prescribing, dispensing, administration, review, and reconciliation. Indications for use are noted for ‘as required’ medications, allergies are indicated, and photos were current. Administration records are maintained, and drug incident forms are completed in the event of any drug errors. The medication and associated documentation are in place. Medication reconciliation is conducted by the RNs when a resident is transferred back to the service from the hospital or any external appointments. The RNs check medicines against the prescription, and these were updated in the electronic medication management system. The GP completes three monthly reviews.</w:t>
            </w:r>
          </w:p>
          <w:p w:rsidR="00EB7645" w:rsidRPr="00BE00C7" w:rsidP="00BE00C7">
            <w:pPr>
              <w:pStyle w:val="OutcomeDescription"/>
              <w:spacing w:before="120" w:after="120"/>
              <w:rPr>
                <w:rFonts w:cs="Arial"/>
                <w:b w:val="0"/>
                <w:lang w:eastAsia="en-NZ"/>
              </w:rPr>
            </w:pPr>
            <w:r w:rsidRPr="00BE00C7">
              <w:rPr>
                <w:rFonts w:cs="Arial"/>
                <w:b w:val="0"/>
                <w:lang w:eastAsia="en-NZ"/>
              </w:rPr>
              <w:t>There were no expired or unwanted medicines and expired medicines are returned to the pharmacy promptly. Medications were stored safely and securely in the trollies and locked treatment room. Medication competencies were completed annually for all staff administering medication. The CC reported that some medication-related audits are conducted as per the facility’s internal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and there is a self-medication policy to guide staff in place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of ten medication charts sampled evidenced inconsistent evaluation of the effectiveness of pro re nata (PRN) medicines administered. This included PRN medication prescribed for pain, sleeping, topical creams, and elimination, however, not all outcomes were documented consistently.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service complies with current food safety legislation and guidelines. Meal services are outsourced to external food services. The service employs a chef who works Monday to Friday and a cook covering weekends. All kitchen staff have current food handling certificates. There is an approved food control plan for the service which expires on 7 April 2022. Meal services are prepared on-site and served in the respective dining areas. The menu was reviewed by the registered dietitian on 8 November 2021 to ensure it meets the recognised nutritional guidelines appropriate to the consumer group.</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dietary information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month. Records of temperature monitoring of food, fridges, and freezers are maintained, and these are recorded in the (safe food pro) electronic record management system. Food is transported in hot cart boxes to the respective dining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family/whānau interviewed indicated satisfaction with the food service. </w:t>
            </w:r>
          </w:p>
          <w:p w:rsidR="00EB7645" w:rsidRPr="00BE00C7" w:rsidP="00BE00C7">
            <w:pPr>
              <w:pStyle w:val="OutcomeDescription"/>
              <w:spacing w:before="120" w:after="120"/>
              <w:rPr>
                <w:rFonts w:cs="Arial"/>
                <w:b w:val="0"/>
                <w:lang w:eastAsia="en-NZ"/>
              </w:rPr>
            </w:pPr>
            <w:r w:rsidRPr="00BE00C7">
              <w:rPr>
                <w:rFonts w:cs="Arial"/>
                <w:b w:val="0"/>
                <w:lang w:eastAsia="en-NZ"/>
              </w:rPr>
              <w:t>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sampled evidenced that care plans developed had interventions that were relevant and are adequate to address the identified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residents’ changing needs were reported in a timely manner and prescribed orders were carried out. The CC reconfirmed that the GP’s medical input was sought within an appropriate timeframe, medical orders were followed, and care was person-centred. This was further reiterated by the GP in the interview conducted. Care staff confirmed that care was provided as outlined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All the previous corrective areas requiring improvement in relation to; wound care evaluations, pressure injury assessments, risks associated with warfarin use, identifying signs and symptoms of hypoglycaemia in long term care plans for residents with impaired glucose tolerance, monitoring of blood glucose levels, and documentation of resident’s cultural needs during care planning process were addressed. Evidence was sighted in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seven wounds including one stage 2 pressure injury. All had appropriate assessments, wound management plans and evaluations documented. There were adequate continence and wound supplies sighted and access to wound care and continence specialists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are available, suited to the level of care provided and following the residents’ needs.</w:t>
              <w:br/>
              <w:t xml:space="preserve">there are a range of monitoring charts used including (but not limited to); turning charts, food intake and output, blood sugar monitoring, weight, and vital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a qualified diversional therapist who is employed as an activities coordinator and is supported by an assistant activity coordinator. The activities programme is implemented from Monday to Sunday. The activities are based on assessment and reflected the residents’ social, cultural, spiritual, physical, cognitive needs/abilities, past hobbies, interests, and enjoyments. Residents’ birthdays are celebrated. A resident lifestyle questionnaire is completed for each resident within two weeks of admission in consultation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are varied and appropriate for young people with disability and those assessed as requiring rest home and hospital level of care. Residents’ activities care plans were evaluated every six months or when there was any significant change. Van trips are conducted once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care-plans reflected residents’ preferred activities of choice and are evaluated every six months or as necessary. Activity progress notes and activity attendance checklists were completed daily. The residents were observed participating in a variety of activities on the day of the audit. The monthly planner sighted included pet therapy, story reading, art, social van rides, exercises, board games, movies, music, happy hour, audio book reading, and a mobile tuckshop run by one of the residents. The activities coordinator reported that six volunteers come on different days of the week to assist with activities. The planned activities and community connections are suitable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documented on each shift by care staff and the nursing team in the progress notes. All noted changes by the health care assistants are apprised to the nursing team and interventions initiated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care plan and interRAI assessment is evaluated, reviewed, and amended either when clinically indicated by a change in the resident’s condition or at least every six months whichever is earlier. The evaluations reflected the achievement of the set goals over the previous six months. The evaluations are carried out by the RNs in conjunction with family, residents, GP, and specialist service providers. </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responded by initiating changes to the care plan. Short-term care plans were reviewed weekly or as indicated by the degree of risk noted during the assessment process. 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previous areas requiring improvement outlined below were addressed. Evidence of this was sighted in documents reviewed and also during the tour of the facility. There is a current code of compliance that was issued on 10 May 2021. All furnishings, shelving, cabinetry, paint, and floorings have now been completed in the new wing. There is running hot water in the new wing and temperature monitoring is completed every month. The sighted recordings for 2021, up to date were within the recommended ranges. Communal bathrooms had locks and identification labels in place. The ensuite and communal toilet and bathroom facilities are currently in use and disability rails were installed.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man is responsible for all reactive and planned maintenance. There is a documented maintenance schedule in place. Hot water temperatures are recorded and were within safe ranges for the whole facility. All equipment has been tagged, tested, and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inside and outside area was clean and well maintained. The corridors are wide enough to enable mobility aids and fitted with handrails to encourage independent mobility. There are ramps to enable disability access. Residents can walk around freely throughout the facility and grounds. 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are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previous areas requiring improvement were all addressed. The facility has an approved evacuation plan, and an evacuation policy is in place. A fire drill takes place every six months and the most recent was conducted on 26 January 2022. All staff complete fire training and participate in a fire drill. Orientation for new employees includes emergency and security training. The call bell system is operational with bells in each room. Those tested on the day of the audit were working and staff responded to call bells promptly. Residents interviewed confirmed that staff attends promptly when a bell is activated. There are labels on the walls to indicate call bells. Staff demonstrated awareness of emergency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prepared for Covid with training for staff, supplies of PPE and oxygen. All staff and visitors have daily temperature recording with a rapid antigen test if a temperature is elevated.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A registered nurse is the designated restraint coordinator. There was one resident with restraint and four residents with an enabler. The restraint was a lap-belt, and the enablers were either bedrails and/or a lap-belt.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files were reviewed one restraint and one enabler. All necessary documentation had been completed in relation to the enabler and restraint including written consent for use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 guidance has been given on restraint minimisation and safe practice (RMSP), enabler usage and prevention and/or de-escalation techniques. Staff education on RMSP/enablers has been provided. Restraint minimisation is regularly discussed in staff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1"/>
        <w:gridCol w:w="1280"/>
        <w:gridCol w:w="6524"/>
        <w:gridCol w:w="1844"/>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Complaints forms are available at reception. Information about complaints is provided on admission in the services guide. There is a documented complaints log for formal complaints and these complaints document comprehensive follow up. Informal and ‘lower level’ complaints are managed through the residents meeting. Resident meetings have not consistently been documented as occurring and meetings documented do not all document complaints. Residents and family interviewed did not feel all complaints were followed 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Informal complaints are not documented as followed up through resident meetings and as the complaints are not logged there is no avenue to review any complaint trends.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complaints are documented and documented as followed up to the satisfaction of the complainant.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were observed administering medicines following the required medication protocol guidelines and legislative requirements. Monitoring of medicine fridge and room temperatures is conducted regularly and deviations from normal were reported and attended to promptly. </w:t>
            </w:r>
          </w:p>
          <w:p w:rsidR="00EB7645" w:rsidRPr="00BE00C7" w:rsidP="00BE00C7">
            <w:pPr>
              <w:pStyle w:val="OutcomeDescription"/>
              <w:spacing w:before="120" w:after="120"/>
              <w:rPr>
                <w:rFonts w:cs="Arial"/>
                <w:b w:val="0"/>
                <w:lang w:eastAsia="en-NZ"/>
              </w:rPr>
            </w:pPr>
            <w:r w:rsidRPr="00BE00C7">
              <w:rPr>
                <w:rFonts w:cs="Arial"/>
                <w:b w:val="0"/>
                <w:lang w:eastAsia="en-NZ"/>
              </w:rPr>
              <w:t>PRN (as required) medicines administered to residents such as pain relief, laxatives, topical creams, and sleeping tablets were not being evaluated for effectiveness. This was evidenced in nine of ten medication charts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Outcomes of PRN medicines administered in nine out of 10 medication charts sampled were not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administered PRN medicines are evaluated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Carnarvon Private Hospital</w:t>
    </w:r>
    <w:bookmarkEnd w:id="58"/>
    <w:r>
      <w:rPr>
        <w:rFonts w:cs="Arial"/>
        <w:sz w:val="16"/>
        <w:szCs w:val="20"/>
      </w:rPr>
      <w:tab/>
      <w:t xml:space="preserve">Date of Audit: </w:t>
    </w:r>
    <w:bookmarkStart w:id="59" w:name="AuditStartDate1"/>
    <w:r>
      <w:rPr>
        <w:rFonts w:cs="Arial"/>
        <w:sz w:val="16"/>
        <w:szCs w:val="20"/>
      </w:rPr>
      <w:t>8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