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Kowhai Resthome (2002) Limited - Kowhai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Kowhai Resthome (2002)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Kowhai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February 2022</w:t>
      </w:r>
      <w:bookmarkEnd w:id="7"/>
      <w:r w:rsidRPr="009418D4">
        <w:rPr>
          <w:rFonts w:cs="Arial"/>
        </w:rPr>
        <w:tab/>
        <w:t xml:space="preserve">End date: </w:t>
      </w:r>
      <w:bookmarkStart w:id="8" w:name="AuditEndDate"/>
      <w:r w:rsidR="00A4268A">
        <w:rPr>
          <w:rFonts w:cs="Arial"/>
        </w:rPr>
        <w:t>25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Kowhai Rest Home is certified to provide rest home level care, and residential disability level - physical and intellectual level care for up to 28 residents. On the day of the audit there were 28 residents. The service is managed by a facility manager (a registered nurse) who has co-owned the service for 20 years; she is supported by a registered nurse, a long-standing enrolled nurse, and experienced staff.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has embedded a quality system, policies and procedures and education plan to enable staff to deliver good care. Residents and family/whānau and the GP interviewed commented positively on the standard of care and services provided at Kowhai Rest Home.</w:t>
      </w:r>
    </w:p>
    <w:p w:rsidRPr="00A4268A">
      <w:pPr>
        <w:spacing w:before="240" w:line="276" w:lineRule="auto"/>
        <w:rPr>
          <w:rFonts w:eastAsia="Calibri"/>
        </w:rPr>
      </w:pPr>
      <w:r w:rsidRPr="00A4268A">
        <w:rPr>
          <w:rFonts w:eastAsia="Calibri"/>
        </w:rPr>
        <w:t>This audit identified improvement is required around medication expiry dates.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a policy to guide staff on the process around open disclosure. Residents and families are welcomed on entry, information is provided and explained about the services and procedures. Regular contact is maintained with family including if an accident/incident or a change in resident’s health status occurs. </w:t>
      </w:r>
    </w:p>
    <w:p w:rsidRPr="00A4268A">
      <w:pPr>
        <w:spacing w:before="240" w:line="276" w:lineRule="auto"/>
        <w:rPr>
          <w:rFonts w:eastAsia="Calibri"/>
        </w:rPr>
      </w:pPr>
      <w:r w:rsidRPr="00A4268A">
        <w:rPr>
          <w:rFonts w:eastAsia="Calibri"/>
        </w:rPr>
        <w:t>There is a complaints policy to guide practice which aligns with Right 10 of the Code. A complaints procedure is provided to residents within the information pack at entry. Complaints reviewed in 2021 reflected evidence of responding to the complaints in a timely manner with appropriate follow-up actions taken.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Kowhai Rest Home is implementing a quality and risk management system that supports the provision of clinical care. There are policies and procedures to provide appropriate support and care to residents’ rest home level needs and younger people with disabilities. This includes a documented quality and risk management programme that includes analysis of data. Quality and risk data is collated for residents’ falls, infection rates, complaints received, restraint use, pressure injuries and medication errors. </w:t>
      </w:r>
    </w:p>
    <w:p w:rsidRPr="00A4268A">
      <w:pPr>
        <w:spacing w:before="240" w:line="276" w:lineRule="auto"/>
        <w:rPr>
          <w:rFonts w:eastAsia="Calibri"/>
        </w:rPr>
      </w:pPr>
      <w:r w:rsidRPr="00A4268A">
        <w:rPr>
          <w:rFonts w:eastAsia="Calibri"/>
        </w:rPr>
        <w:t xml:space="preserve">The business plan is tailored to reflect the goals of Kowhai Rest Home. Meetings are held at regular intervals to discuss quality and risk management and to ensure these are further embedded into practice.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r w:rsidRPr="00A4268A">
        <w:rPr>
          <w:rFonts w:eastAsia="Calibri"/>
        </w:rPr>
        <w:t xml:space="preserve">An orientation programme is in place and there is ongoing training provided as per the training plan developed for 2022. Rosters and interviews indicated sufficient staff that are appropriately skilled, with flexibility of staffing around clients’ needs. A roster provides sufficient and appropriate coverage for the effective delivery of care and support for residents.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completes initial assessments, risk assessments, interRAI assessments and long-term care plans within the required timeframes. Care plans are evaluated at least six monthly and meet the residents’ current needs and supports.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enrolled nurse and senior caregivers are responsible for administration of medicines and complete annual education and medication competencies. The medicine charts reviewed met prescribing requirements and were reviewed at least three-monthly. </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The programme includes community visitors and outings, entertainment and activities that meet the individual and group preferences.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Ongoing maintenance issues are addressed. The facility has easy access to all communal areas for residents using mobility aids. There is seating and shade provided in the garden areas.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no residents using restraint or enablers. Staff training has been provided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(enrolled nurse) is responsible for coordinating education and training for staff. The infection control coordinator uses the information obtained through surveillance to determine infection control activities and education needs within the facility. This includes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manager is responsible for ensuring complaints are addressed within the required timeframe and maintains contact with the complainant throughout the complaints process. A complaints procedure is provided to residents within the information pack at entry. The residents and families interviewed were aware of the complaints process and to whom they should direct complaints. There were no complaints recorded in 2020. Two complaints received in 2021 were reviewed and reflected evidence of responding to the complaints in a timely manner with appropriate follow-up actions taken. Documentation including follow up letters and resolution demonstrated that complaints are being managed in accordance with guidelines set forth by the Health and Disability Commissioner. Complaints forms and a suggestions box are located in key areas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Ten accident/incident forms reviewed identified that family are kept informed. Three relatives interviewed stated they are kept informed when their family member’s health status changes or if there has been an adverse event. All six residents interviewed said there were regular meetings and that communication with staff was good.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w:t>
            </w:r>
          </w:p>
          <w:p w:rsidR="00EB7645" w:rsidRPr="00BE00C7" w:rsidP="00BE00C7">
            <w:pPr>
              <w:pStyle w:val="OutcomeDescription"/>
              <w:spacing w:before="120" w:after="120"/>
              <w:rPr>
                <w:rFonts w:cs="Arial"/>
                <w:b w:val="0"/>
                <w:lang w:eastAsia="en-NZ"/>
              </w:rPr>
            </w:pPr>
            <w:r w:rsidRPr="00BE00C7">
              <w:rPr>
                <w:rFonts w:cs="Arial"/>
                <w:b w:val="0"/>
                <w:lang w:eastAsia="en-NZ"/>
              </w:rPr>
              <w:t>Family/enduring power of attorney (EPOA) are informed prior to entry of the scope of services and any items they have to pay for that are not covered by the agreement. The information pack is available in large print.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Kowhai Rest Home is certified to provide rest home and residential disability (intellectual and physical) level care for up to 28 residents. On the day of the audit, there were 28 residents. Three residents were on mental health (MH) individual funding plans, three on long-term support - chronic health contracts (LTS-CHC) and eight on younger people with disability (YPD) contracts. One resident is assessed as hospital level care and the service had documentation confirming continued care at the facility. The remainder were under rest home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The service is overseen by the facility manager (one of the co-owners), who is a registered nurse and has owned Kowhai Rest Home for 20 years. She is supported by a registered nurse who was on leave on the day of audit, an enrolled nurse and long service caregivers. The business plan was reviewed in December 2021. Business goals are documented, and progress evaluated. The owner has maintained over eight hours annually of professional development activities related to managing an aged care service including zoom webinars and NZACA meetings and attended an aged sector leadership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management systems are implemented by the manager and registered nurse (RN). Interviews with the manager and staff (five caregivers, and one enrolled nurse, and the cook) reflect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associated implementation systems provide a good level of assurance that the facility is meeting accepted good practice and adhering to relevant standards, including those standards relating to the Health and Disability Services (Safety) Act 2001. Policies are regularly reviewed and have been updated to include changes relevant to the new Health and Disability sector standards. New policies or changes to policy are communicated to staff. Quality goals for 2022 have been established and include increased cultural awareness for staff, decrease fall rates and refurbish and enhance the smoking area.</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areas, and medication errors. An annual internal audit schedule was sighted for the service with evidence of internal audits occurring as per the audit schedule. Quality and risk data, including data trends are discussed in staff meetings. Corrective actions are implemented when required and are signed off by the manager when completed.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health and safety and risk management system in place including policies to guide practice. The service has a health and safety committee with specific role responsibilities. A senior caregiver (20yrs service) is the designated health and safety officer – overseen by the manager and has completed training relating to this role. Hazard identification forms and a hazard register are in place. Training around health and safety is provided by the online education system. Health and safety issues are discussed at every monthly management and staff meeting with action plans documented to address issues raised. Fall prevention strategies are in place that include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incident forms are completed for each accident/incident with immediate action noted and any follow up action(s) required. Accident/Incident data is linked to the organisation's quality and risk management programme and is used for comparative purposes. All incidents are reviewed, and trends identified. There is a discussion of incidents/accidents at management/quality and staff meetings including actions to minimise recurrence. Clinical follow-up of residents is conducted by the registered nurse (when on duty or on-call).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for the month of January were reviewed. Each event involving a resident reflected a clinical assessment and follow up by a registered nurse. Data collected on accident/incident forms are linked to the quality management system. Neurological observations were completed for unwitnessed falls and where there was potential for head injury. The incident forms reviewed documented the opportunity to minimise the future risks, and family were notified as documented on the resident file. The registered nurse reviews all incident reports and signs them off. The service has 24-hour access to an afterhours medical service. Discussions with the manager confirmed their awareness of the requirement to notify relevant authorities in relation to essential notifications. No notifications have been required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address recruitment, orientation and staff training and development. Five staff files were reviewed (two caregivers, one registered nurse, one enrolled nurse and one diversional therapist). All five staff files included an employment contract, reference checks and police check prior to employment, relevant job descriptions, evidence of an orientation on employment and annual appraisals. The orientation programme provides new staff with relevant information for safe work practice and is developed specifically to worker type. Five caregivers interviewed stated that new staff are adequately orientated to the service and described the orientation programme includes a period of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training policy and schedule for in-service education. The service has implemented an online education system, the in-service calendar for 2021 exceeds eight hours annually, and includes specific education for residents with mental health issues. The training considers working with younger people. Online training records identify all staff have completed modules as required. There are currently 10 caregivers and the diversional therapist with level 4 NZQA qualifications, three caregivers with level 3 and four at level 2. Ten staff including the diversional therapist and night shift caregivers have current first aid certificates. Education and training for registered nursing (RN) staff is supported by the local district health board and nurse practitioners/specialists. Competency assessments are in place for medication management, manual handling, and hand washing. The practising certificates of the registered nurse, the facility manager and enrolled nurse are current. The service also maintains copies of other visiting practitioner’s certification including GP, pharmacist, and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Sufficient staff are rostered to manage the care requirements of the residents. The facility manager works 40 hours per week and is available on call 24/7. Additional registered nurse cover is provided three days a week and an enrolled nurse works Monday to Friday 35hrs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care staff on duty in the morning for 28 rest home residents and one hospital level resident; (1x 6.45 am to 3 pm, 1x 6.45 am to 11 am, 1x 6.45 am to 1 pm, 1 x 8.30 am to 4.30 pm) </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three caregivers: 1x 3 pm to 11 pm, 1x 4 pm to 11 pm, 1x 4 pm to 8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has two caregivers from 10.45 pm to 7 am. </w:t>
            </w:r>
          </w:p>
          <w:p w:rsidR="00EB7645" w:rsidRPr="00BE00C7" w:rsidP="00BE00C7">
            <w:pPr>
              <w:pStyle w:val="OutcomeDescription"/>
              <w:spacing w:before="120" w:after="120"/>
              <w:rPr>
                <w:rFonts w:cs="Arial"/>
                <w:b w:val="0"/>
                <w:lang w:eastAsia="en-NZ"/>
              </w:rPr>
            </w:pPr>
            <w:r w:rsidRPr="00BE00C7">
              <w:rPr>
                <w:rFonts w:cs="Arial"/>
                <w:b w:val="0"/>
                <w:lang w:eastAsia="en-NZ"/>
              </w:rPr>
              <w:t>In addition, there is 18 hours a day provided to special two residents who require one on one supervision.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that staffing is adequate to meet the needs of residents. Caregivers interviewed confirmed that there are adequate staff numbers on duty to safely deliver residents cares. Resident acuity is monitored, and additional staff are available to assist with more dependant residents. The care staff stated there is good support from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 RNs, enrolled nurses and senior caregivers who administer medications have been assessed for competency on an annual basis. Education around safe medication administration has been provided by the supplying pharmacy. There were no residents self-medicating on the day of audit. Standing orders are not used. The service has recently introduced an electronic medication system. Medications (blister packs) are checked on delivery against the medication chart and any discrepancies fed back to the pharmacy. All medications are stored safely in the clinic room. All eye drops were dated on opening but not all were discarded within required timeframes. The medication fridge is monitored weekly and clinic room temperatures are monitored daily. All recordings are within required ranges.</w:t>
            </w:r>
          </w:p>
          <w:p w:rsidR="00EB7645" w:rsidRPr="00BE00C7" w:rsidP="00BE00C7">
            <w:pPr>
              <w:pStyle w:val="OutcomeDescription"/>
              <w:spacing w:before="120" w:after="120"/>
              <w:rPr>
                <w:rFonts w:cs="Arial"/>
                <w:b w:val="0"/>
                <w:lang w:eastAsia="en-NZ"/>
              </w:rPr>
            </w:pPr>
            <w:r w:rsidRPr="00BE00C7">
              <w:rPr>
                <w:rFonts w:cs="Arial"/>
                <w:b w:val="0"/>
                <w:lang w:eastAsia="en-NZ"/>
              </w:rPr>
              <w:t>All ten medication charts reviewed (one hospital, nine rest home) met legislative prescribing requirements. The GP has reviewed the medication charts three monthly. All medication charts had photo identification and an allergy status. The electronic administration signing sheets reviewed identified medications had been administered as prescribed. Prescribed ‘as required’ medications include the indication for use. Effectiveness of ‘as required’ analgesia is recorded in the electronic medication system and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Kowhai rest home are prepared and cooked on site by experienced and/or qualified cooks. Cooks work from 8 am to 1.30 pm. Kitchen staff have attended food safety and hygiene training. There is a seasonal menu which had been reviewed by a dietitian in September 2020. There is an implemented food control plan next due for review in April 2023. Meals are plated in the kitchen and served directly to the residents in the adjacent dining room. Dietary needs are known with individual likes and dislikes accommodated. Dietary requirements, cultural and religious food preferences are met. Additional or modified foods are also provided by the service. Special diets including diabetic, vegetarian, and pureed diets are provided. The cook prepares the evening meal, care staff heat and serve, reheating temperatures are checked and recorded. All temperatures recorded were within safe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in the rest home dining room. Resident meetings and surveys, along with direct input from residents, provide resident feedback on the meals and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end cooked temperatures are monitored daily. All dried goods and perishable foods were date labelled. A cleaning schedule is maintained. Residents with weight loss are provided with food supplements.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a GP or nurse specialist consultation. There is evidence that family members were notified of any changes to their relative’s health including (but not limited to) accident/incidents, infections, health professional visits and changes in medications. Discussions with families and notifications are identified with a relative contact stamp documented in the resident progress notes and whānau contact sheets.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Wound assessment forms, wound evaluations and comments were in place for one current chronic wound and included external specialist support. Chronic wounds and the risk of pressure injuries have been linked to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vital signs, blood glucose, pain charts, behaviour chart, continence, daily skin checks and two hourly positioning. Registered nurses review the monitoring charts and report identified concerns to the GP, nurse practitioner or nurse specialist. Residents are weighed monthly or more frequently if weight is of concern.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document appropriate interventions to manage short term changes in health such as skin tears, infections, pain management, return from hospital and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(not available for interview) is employed from 8 am to 4:30 pm Monday to Friday to coordinate and implement an activity programme that meets the recreational needs of the resident groups. The diversional therapist attends on site in-service and diversional therapy group meetings. Care staff provide activities on weekends. </w:t>
            </w:r>
          </w:p>
          <w:p w:rsidR="00EB7645" w:rsidRPr="00BE00C7" w:rsidP="00BE00C7">
            <w:pPr>
              <w:pStyle w:val="OutcomeDescription"/>
              <w:spacing w:before="120" w:after="120"/>
              <w:rPr>
                <w:rFonts w:cs="Arial"/>
                <w:b w:val="0"/>
                <w:lang w:eastAsia="en-NZ"/>
              </w:rPr>
            </w:pPr>
            <w:r w:rsidRPr="00BE00C7">
              <w:rPr>
                <w:rFonts w:cs="Arial"/>
                <w:b w:val="0"/>
                <w:lang w:eastAsia="en-NZ"/>
              </w:rPr>
              <w:t>There is a variety of activities that meets the abilities of all residents and to meet the physical, intellectual, sensory, and social needs of the residents. Individual one-on-one time is spent with residents who choose not to join in group activities or are unable to participate in activities. Activities take place in either the main lounge or dining room. Activities are meaningful and include (but not limited to) exercises, crafts, group walks, bowls, quizzes, board games, singing, news and views activities, and visits to a communal men’s shed. Entertainment occurs weekly. There are visiting churches.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brings her dog to work most days and residents enjoy one-on-one time with her. The facility has a house cat who interacts with a number of residents on a daily basis. All festivities and birthdays are celebrated. Outings in the facility owned van occur twice or three times weekly. Outings include movies, coffee outings, picnics, penny lane shopping, museum, and heritage park visits. Residents are supported to attend external church groups, shopping at the mall and other community functions as covid restrictions allow.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persons are supported to maintain their community links and are also involved in meaningful activities such as assisting with the activities or tasks within the rest home environment. Personal planning/assistance is allocated within the activities programme for all residents and also focusing on the needs of younger people in regard to shopping, men’s shed, walking groups individualised activities, internet access to movies and individual interests. </w:t>
            </w:r>
          </w:p>
          <w:p w:rsidR="00EB7645" w:rsidRPr="00BE00C7" w:rsidP="00BE00C7">
            <w:pPr>
              <w:pStyle w:val="OutcomeDescription"/>
              <w:spacing w:before="120" w:after="120"/>
              <w:rPr>
                <w:rFonts w:cs="Arial"/>
                <w:b w:val="0"/>
                <w:lang w:eastAsia="en-NZ"/>
              </w:rPr>
            </w:pPr>
            <w:r w:rsidRPr="00BE00C7">
              <w:rPr>
                <w:rFonts w:cs="Arial"/>
                <w:b w:val="0"/>
                <w:lang w:eastAsia="en-NZ"/>
              </w:rPr>
              <w:t>A resident profile is completed on admission. Each resident has an individual activity plan which is evaluated three-monthly. A monthly review of each resident records participation and specific interests. Residents and families have the opportunity to feedback on the activity programme through meetings and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Care plans had been evaluated six-monthly for five of the six resident files reviewed. One resident had not been at the service six months. Long-term care plans have been reviewed at least six monthly or earlier for any health changes. The written evaluation documents the residents progress against identified goals. The GP reviews the residents at least three monthly or earlier if required. The resident review team includes the RN, DT, resident/relative and any other allied health professional involved in the care of the resident. Ongoing nursing evaluations occur as indicated and are documented within the progress notes. Changes are updated on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warrant of fitness that expires 1 April 2022. Reactive maintenance is addressed by a maintenance person (interviewed) who comes in whenever needed. There is a documented preventative and reactive maintenance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medical and electrical equipment was recently serviced and/or calibrated. Hot water temperatures are monitored and managed within 43-45 degrees Celsius. The facility has sufficient space for residents to mobilise using mobility aids. External areas are maintained. Residents have access to safely designed external areas that have shade. The smoking area is being redeveloped with new furniture and a roof.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(EN) and the registered nurse collate information obtained through surveillance to determine infection control activities and education needs in the facility. Infection control data and relevant information is displayed for staff. A covid management plan is in place and staff interviewed confirmed related education has been provided. Definitions of infections are in place appropriate to the complexity of service provided. Infection control data is discussed at facility meetings. Annual infection control reports are provided. Internal audits for infection control are included in the annual audit schedule. There is close liaison with the GP that advises and provides feedback/information to the service. 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definitions of restraints and of enablers. Interviews with caregivers confirmed their understanding of restraints and enablers and could describe the differences. Restraint is only used as a last resort. There were no residents at the time of the audit using restraint. Restraint is included in the annual education programme.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085"/>
        <w:gridCol w:w="1280"/>
        <w:gridCol w:w="2937"/>
        <w:gridCol w:w="2012"/>
        <w:gridCol w:w="16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Eyedrops are dated on opening and stored correctly, however not all eyedrops have been discarded within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eyedrops in current use had not been discarded within recommended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eyedrops are discarded as per manufacturer’s instructions.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Kowhai Resthome (2002) Limited - Kowhai Rest Home</w:t>
    </w:r>
    <w:bookmarkEnd w:id="58"/>
    <w:r>
      <w:rPr>
        <w:rFonts w:cs="Arial"/>
        <w:sz w:val="16"/>
        <w:szCs w:val="20"/>
      </w:rPr>
      <w:tab/>
      <w:t xml:space="preserve">Date of Audit: </w:t>
    </w:r>
    <w:bookmarkStart w:id="59" w:name="AuditStartDate1"/>
    <w:r>
      <w:rPr>
        <w:rFonts w:cs="Arial"/>
        <w:sz w:val="16"/>
        <w:szCs w:val="20"/>
      </w:rPr>
      <w:t>24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