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Lexham Gardens Limited - Lexham Gardens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Lexham Gardens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Lexham Gardens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February 2022</w:t>
      </w:r>
      <w:bookmarkEnd w:id="7"/>
      <w:r w:rsidRPr="009418D4">
        <w:rPr>
          <w:rFonts w:cs="Arial"/>
        </w:rPr>
        <w:tab/>
        <w:t xml:space="preserve">End date: </w:t>
      </w:r>
      <w:bookmarkStart w:id="8" w:name="AuditEndDate"/>
      <w:r w:rsidR="00A4268A">
        <w:rPr>
          <w:rFonts w:cs="Arial"/>
        </w:rPr>
        <w:t>17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Lexham Gardens Limited (Lexham Gardens) provides rest home and hospital level care for up to 50 residents. The service is operated by New Zealand Aged Care Services Limited and is managed by a care home manager and a clinical leader, with support from a general manager clinical and operations, who oversees the five facilities owned by the organisation. New Zealand Aged Care Services Limited has owned Lexham Gardens since November 2020. The care home is operated under a lease agreement with a landlord owning the building and land.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contracts with the district health board and the Ministry of Health.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 xml:space="preserve">There were no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plans include the scope, philosophy and objectives with values and the mission statement displayed in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has been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were safely stored. Laundry is undertaken both onsite and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residents were using enablers at the time of audit. Use of enablers is voluntary for the safety of residents in response to individual requests.   One resident was using a restraint. A comprehensive assessment, approval and monitoring process with regular reviews was occurring.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83"/>
        <w:gridCol w:w="1280"/>
        <w:gridCol w:w="89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Lexham Gardens Rest Home and Hospital (Lexham Gardens)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forms as needed.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as relevant, in the resident’s record. Resident files had evidence of enduring power of attorney (EPOA), and these had been enacted.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activities and could appropriately detail how they would respond to refusal of care, medicines or food/fluid.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and staff members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their family and the community by attending a variety of organised outings, visits,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and friends, except when otherwise indicated to comply with the Covid-19 National Alert Level in place at the time.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r w:rsidRPr="00BE00C7">
              <w:rPr>
                <w:rFonts w:cs="Arial"/>
                <w:b w:val="0"/>
                <w:lang w:eastAsia="en-NZ"/>
              </w:rPr>
              <w:t>Even though there were visitors’ restrictions recently due to the pandemic, residents and family members interviewed stated they felt comfortable about the way it was managed and were kept well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responsible for the complaints process, with support from the general manager clinical and operations (GM) for more serious complaints. Policy and associated forms meet the requirements of Right 10 of the Code.  Information on the complaint process is provided to residents and families on admission and those interviewed knew how to do so.  Information is displayed in several places around the facility along with complaint forms.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minor concerns/complaints have been received over the past year and that actions taken, through to an agreed resolution, were documented and promptly resolved. Action plans showed any required follow up and improvements have been made where possible.   A complaint received from the Auckland District Health Board was received in January 2021. All related correspondence and an action plan to address findings were reviewed and showed actions were addressed or are in progress. Areas for improvement were also reviewed by the clinical auditor and demonstrated no further concerns in the areas identified.  </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 sound understanding of the complaint process and what actions are required. There have been no complaints received from the Health and Disability Commissioner.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during discussion with staff. </w:t>
            </w:r>
          </w:p>
          <w:p w:rsidR="00EB7645" w:rsidRPr="00BE00C7" w:rsidP="00BE00C7">
            <w:pPr>
              <w:pStyle w:val="OutcomeDescription"/>
              <w:spacing w:before="120" w:after="120"/>
              <w:rPr>
                <w:rFonts w:cs="Arial"/>
                <w:b w:val="0"/>
                <w:lang w:eastAsia="en-NZ"/>
              </w:rPr>
            </w:pPr>
            <w:r w:rsidRPr="00BE00C7">
              <w:rPr>
                <w:rFonts w:cs="Arial"/>
                <w:b w:val="0"/>
                <w:lang w:eastAsia="en-NZ"/>
              </w:rPr>
              <w:t>The Code is displayed in common areas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when attending to personal cares, by ensuring residents’ information is held securely and privately, when exchanging verbal information and in discussions with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through community activities and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are incorporated into day-to-day practice, as is the importance of whānau. A Māori health plan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Guidance on tikanga best practice is available and is supported by staff who identify as Māori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reported that staff acknowledged and respected their individual cultural needs. Guidance on tikanga best practice is readily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verified that they were consulted on their individual culture, values and beliefs and that staff respected these. Resident’s personal preferences, required interventions and special needs were included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felt safe.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expected behaviours and the Code of Conduct. Ongoing education is provided on an annual basis which was confirmed in training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Staff are guided by policies and procedures and demonstrated a clear understanding of the process they would follow, should they suspect any form of exploitation,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well informed about any changes to their relative’s status, were advised in a timely manner about any incidents or accidents and outcomes of regular and any urgent medical reviews. This was supported in residents’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through the district health board, if needed. Staff reported interpreter services were rarely required due to all present residents being able to speak English and/or te reo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for Lexham Gardens was developed following purchase of the facility in November 2020 and has recently been reviewed. Opportunities for development and actions have been identified.  The philosophy is defined, as is the scope of service. Values and the mission are well displayed in the facility.  A sample of four monthly reports to the board showed adequate information to monitor performance was reported including financial performance, emerging risks and issues, COVID-19 updates and any section 31 reports. The GM was clear about the direction and priorities for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(CHM) who holds relevant qualifications and has been in the role for around one year. The clinical management is overseen by a clinical leader (CL) who is also experienced in aged care. Responsibilities and accountabilities are defined in a job descriptions and individual employment agreements.  During the time of the audit, the GM, who normally overseas the five facilities owned by New Zealand Aged Care Services Limited, was based at Lexham Gardens as both the CHM and CL were also working as registered nurses (RNs) to fill in roster shortfalls due to RN vacancies that have been hard to recruit to. The GM previously managed Lexham Gardens and is familiar with systems and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aged related residential care (ARRC) - hospital and rest home level care and with the MoH for younger people with a disability (YPD). There were 21 hospital care residents and 20 rest home care residents at the time of audit. There was also one resident receiving respite care (hospital level). Two of the hospital care residents were on ACC contracts. Three residents were under the age of 65 years (one rest home and two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CHM is absent, the CL will normally fill in with support from the GM as needed. On occasions, relief roles/staff can be sourced from the other four facilities owned by New Zealand Aged Care Services Limited.  The management team reported the current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quality and risk system that reflects the principles of continuous quality improvement. This includes management of incidents and complaints, audit activities, a regular patient satisfaction survey, monitoring of outcomes, and clinical incidents including infections and pressure injuries. Staff meetings act as the forum for discussion of quality and risk components. Meeting minutes reviewed provided evidence of reporting and discussion with areas for improvement identified.  Data was reviewed and compared with previous months. The GM reported that benchmarking with the other facilities within the group is in the development phase.  Staff reported their involvement in quality and risk management activities through audit activities and attending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corrective actions are developed and implemented to address any shortfalls. Resident and family satisfaction surveys are completed annually. The most recent survey showed residents were either satisfied or very satisfied with care. There were no areas of dissatisfaction identified. A food specific survey was also completed in August 2021, again with no areas of concern noted. There is also a residents’ meeting, chaired by the activities coordinator. Minutes reviewed showed discussion on activities and food services with suggestions made followed through.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Policies were current and reviewed two yearly, unless there was a need to review earlier.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CHM is familiar with health and safety requirements. Health and safety hazards have been identified and were documented on a hazard register and displayed in the specific areas (eg, laundry).  A range of health and safety policies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(seven) showed these were fully completed, incidents were investigated, action plans developed and actions followed-up in a timely manner.  Adverse event data is collated, analysed and reported to staff at meetings, and to the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and CHM described essential notification reporting requirements, including for pressure injuries.  They advised there have been notifications made for a missing resident (notified to and found by the police) and for the appointment of the CL in June 2021. There have been no coroners’ inquests.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three-months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annually, including mandatory training requirements. Several care staff (HCAs) have either completed or part completed a New Zealand Qualification Authority education programme. At the time of audit, the programme was on hold with plans to restart this later in the year. Competencies are regularly assessed for a wide range of skills to meet the requirements of the provider’s agreement with the DHB.  There was a wide array of training opportunities provided with each evaluated and a report documented.  Both the CL and CHM are maintaining their competency requirements to undertake interRAI assessments. Records reviewed demonstrated completion of the required training and completion of annual performance appraisals.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as described by the CL and CHM.  An afterhours on call roster is in place, with staff reporting good access to advice is available when needed.  Care staff reported there were adequate staff available to complete the work allocated to them, although at times they were busy. They reported working as a team.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past year, there was a significant reduction in occupancy. The occupancy is now increasing, and two health care assistants (HCAs) are being recruited to manage the increase.  Observations and review of a four-week roster cycle confirmed adequate HCA cover had been provided, with staff replaced in any unplanned absence.  The roster for the week following the audit, where there was to be an increase in resident numbers, showed an increase in HCA hours on the morning and afternoon shifts. A casual pool of HCAs has not been used recently due to the risks imposed from COVID-19.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the CL and CHM have been working rostered shifts of varying lengths, from eight to 12 hours. The current four RNs available have been able to cover the shifts with the support of the GM who is now based at Lexham Gardens, and by using a flexible approach. Health care assistants reported that the RNs are available for support and advice when needed. The GM described a range of strategies being explored to address the RN shortage, with an overseas recruitment pending and additional RN support to cover non-clinical aspects of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staff members on duty have a current first aid certificate and there is 24/7 RN coverage in the hospital. There is also a cook and kitchen hands, laundry staff, a maintenance person (20 hours a week) and household staff rostered.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demographics, personal, clinical and health information was fully completed in the residents’ files sampled for review. Clinical notes were current and integrated with GP and allied health service provider notes. This includes interRAI assessment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catalogue system. 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w:t>
            </w:r>
          </w:p>
          <w:p w:rsidR="00EB7645" w:rsidRPr="00BE00C7" w:rsidP="00BE00C7">
            <w:pPr>
              <w:pStyle w:val="OutcomeDescription"/>
              <w:spacing w:before="120" w:after="120"/>
              <w:rPr>
                <w:rFonts w:cs="Arial"/>
                <w:b w:val="0"/>
                <w:lang w:eastAsia="en-NZ"/>
              </w:rPr>
            </w:pPr>
            <w:r w:rsidRPr="00BE00C7">
              <w:rPr>
                <w:rFonts w:cs="Arial"/>
                <w:b w:val="0"/>
                <w:lang w:eastAsia="en-NZ"/>
              </w:rPr>
              <w:t>Files reviewed contained completed demographic detail, assessments, EPOA had signed admission agreements and consented for admission.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Family members interviewed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There was evidence of pharmacy involvement. There was one rest home resident who was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 Vaccines are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 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experienced cooks and is in line with recognised nutritional guidelines for older people. The menu follows summer and winter patterns and was reviewed by a qualified dietitian in July 2020.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expires on 21 July 2022. Food temperatures, including for high risk items, are monitored appropriately and recorded as part of the plan. All kitchen staff have completed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have access to food, snack foods, and fluids to meet their nutritional needs.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GP and whānau/family. Examples of this occurring were discussed with the nurse leader and office administrator.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are assessed to develop an initial care plan. Within three weeks of admission a comprehensive assessment is completed using nursing assessment tools, such as a pain scale, falls risk, skin integrity, nutritional screening and interRAI, as a means to identify any deficits and to inform long term care planning. The sample of care plans reviewed had an integrated range of resident-related information. All residents have current interRAI assessments completed by a trained interRAI assessor on site. </w:t>
            </w:r>
          </w:p>
          <w:p w:rsidR="00EB7645" w:rsidRPr="00BE00C7" w:rsidP="00BE00C7">
            <w:pPr>
              <w:pStyle w:val="OutcomeDescription"/>
              <w:spacing w:before="120" w:after="120"/>
              <w:rPr>
                <w:rFonts w:cs="Arial"/>
                <w:b w:val="0"/>
                <w:lang w:eastAsia="en-NZ"/>
              </w:rPr>
            </w:pPr>
            <w:r w:rsidRPr="00BE00C7">
              <w:rPr>
                <w:rFonts w:cs="Arial"/>
                <w:b w:val="0"/>
                <w:lang w:eastAsia="en-NZ"/>
              </w:rPr>
              <w:t>Files audited had evidence of wound management, such as a wound care plan and evaluation. Evidence of wound management, including photographs of chronic wounds, was sighted.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is documented and verbally passed on to relevant staff. Family members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Documents,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high standard. Care staff confirmed that care was provided as outlined in the documentation. A range of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diversional therapist (DT) with the support of care staff. A wide range of activities are provided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Social history including past likes and important past events was completed during the admission. An activities plan was completed by the DT and was reviewed as part of the six-monthly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The monthly activities planner sighted matches the skills, likes, dislikes and interests identified in the assessments. Individual, group activities and regular events are offered. Residents and families/whānau are involved in evaluating and improving the programme through care plan reviews and satisfaction surveys. Family members interviewed confirmed the residents enjoy the programme. Residents were observed actively participating in the planned activities occurring during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w:t>
            </w:r>
          </w:p>
          <w:p w:rsidR="00EB7645" w:rsidRPr="00BE00C7" w:rsidP="00BE00C7">
            <w:pPr>
              <w:pStyle w:val="OutcomeDescription"/>
              <w:spacing w:before="120" w:after="120"/>
              <w:rPr>
                <w:rFonts w:cs="Arial"/>
                <w:b w:val="0"/>
                <w:lang w:eastAsia="en-NZ"/>
              </w:rPr>
            </w:pPr>
            <w:r w:rsidRPr="00BE00C7">
              <w:rPr>
                <w:rFonts w:cs="Arial"/>
                <w:b w:val="0"/>
                <w:lang w:eastAsia="en-NZ"/>
              </w:rPr>
              <w:t>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The service has a contracted GP who does weekly visits or virtual consultations during the pandemic. If the need for other non-urgent services is indicated or requested, the GP or RN sends a referral to seek specialist input. Copies of referrals were sighted in residents’ files. All referrals are followed up by the GP or RN.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A weekly rubbish collection meets the needs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(PPE)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systems status report (in lieu of a warrant of fitness – due to COVID-19 restrictions) was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were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 and CL and from observation of the environment.  The environment was hazard free and resident safety was promoted.  Personalised equipment is available for the younger residents and those under an ACC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were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15 ensuites and additional facilities.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Most bedrooms provide single accommodation with four rooms able to accommodate two residents or form a larger area in the case of one current resident.   Where rooms are shared, approval is sought.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 several dining and lounge areas of various sizes enable easy access for residents and staff.  Residents can access areas for privacy, if required.  Furniture is appropriate to the setting and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Laundering of large items is undertaken off site with a small laundry on site for residents’ personal clothing/items. Care staff have dedicated hours in the laundry and the HCA/laundry person spoken with demonstrated a sound knowledge of the laundry processes, dirty to 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The cleaning person interviewed was familiar with chemicals in use and cleaning processes. Training has been undertaken, as confirmed in training records reviewed. Cleaning equipment is colour coded.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The facility was observed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There is an infection control outbreak plan with plentiful PPE supplies available.  The current fire evacuation plan was approved by the New Zealand Fire Service on the 27 March 2000.  A trial evacuation takes place six-monthly with a copy sent to the New Zealand Fire Service. A record of fire training attendance is held.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National Emergency Management Agency recommendations for the region.  There is an increased supply (two weeks supply) at the time of audit, in case of specific pandemic requirements. A generator is on site and tested regularly.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and communal areas are heated and ventilated appropriately.  Rooms have natural light and opening external windows.  Many have doors that open onto the outside internal courtyard area. Heating is provided by a central heating system, which can be adjusted as needed.  Areas were warm and well ventilated throughout the audit and residents and families confirmed the facilities are maintained at a comfortable temperature.  There is a designated external smoking area for those residents who smoke.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Lexham Gardens implements an infection prevention and control (IPC) programme to minimises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IPC coordinator, whose role and responsibilities are defined in a job description. Infection control matters, including surveillance results, are reported monthly to the facility manager. Infection control data is discussed during the staff meetings and a copy of the minutes are available for staff. This infection control committee includes the RN, health care assistant, clinical leader and care home manager.</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Due to the COVID-19 pandemic, all visitors are requested to log their visit by entering their details on a paper log or by scanning a Ministry of Health bar code.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The RN has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There have been no infectious disease outbreaks reported in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are reviewed annually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observation and documentation verified staff have received education in infection prevention and control at orientation and ongoing education sessions. Education is provided by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When an infection outbreak or an increase in infection incidence has occurred, there is evidence that additional staff education has been provided in response. In response to the recent pandemic, staff have completed training on the COVID-19 pandemic, hand hygiene, isolation precautions and use of personal protective equipment.</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and reminded about handwashing and increasing oral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skin infections. The IPC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and comparisons against previous months and this is reported to the clinical manager and staff. The monthly infection rates remain low. There was evidence of staff education on ‘chain of infection transmission’ following an increase in number of infections. </w:t>
            </w:r>
          </w:p>
          <w:p w:rsidR="00EB7645" w:rsidRPr="00BE00C7" w:rsidP="00BE00C7">
            <w:pPr>
              <w:pStyle w:val="OutcomeDescription"/>
              <w:spacing w:before="120" w:after="120"/>
              <w:rPr>
                <w:rFonts w:cs="Arial"/>
                <w:b w:val="0"/>
                <w:lang w:eastAsia="en-NZ"/>
              </w:rPr>
            </w:pPr>
            <w:r w:rsidRPr="00BE00C7">
              <w:rPr>
                <w:rFonts w:cs="Arial"/>
                <w:b w:val="0"/>
                <w:lang w:eastAsia="en-NZ"/>
              </w:rPr>
              <w:t>A COVID-19 pandemic preparedness document was sighted and staff interviewed were aware of this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designated restraint coordinator is one of the registered nurses; however, was not available for interview during the audit. The CHM was interviewed and was familiar with processes and demonstrated a sound understanding of the organisation’s policies, procedures and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a restraint (bedrail). Two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committee minutes, the file reviewed, and from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made up of the restraint coordinator, an HCA, domestic and maintenance staff, are responsible for the approval of the use of restraints and the restraint processes. It was evident from review of the restraint committee meeting minutes, review of the file of the one resident using restraint, review of the restraint register and interviews with the CHM that there are clear lines of accountability, that all restraints have been approved, and the overall use of restraint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family/EPOA involvement in the decision making was on file for the resident using the restraint.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RN/restraint coordinator undertakes an initial assessment of the need for restraint with involvement of the team and the resident’s family/whānau/EPOA. The CHM described the documented process. The general practitioner is involved in the final decision on the safety of the use of the restraint. The assessment process identified all necessary requirements relevant to the person. A trial without the restraint was attempted for the current resident which was not successful.  The restraint was recommenced to ensure the resident’s safety and security. Completed assessments were sighted in the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The CHM described how alternatives to restraints are discussed with staff and family members (e.g.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was maintained, updated every month and reviewed at each restraint committee meeting. The register was reviewed and contained the residents currently using a restraint and enablers.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one resident’s file showed that the use of restraint was reviewed and evaluated during care plan and interRAI reviews, six monthly restraint evaluations and at the restraint committee meetings.  There was evidence of family involvement in the 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a six-monthly review of all restraint use which includes all the requirements of this Standard. Six monthly restraint meetings and reports are completed, and individual use of restraint use is reported to the staff meetings.  Minutes of meetings reviewed confirmed this included analysis and evaluation of the amount and type of restraint use in the facility, whether all alternatives to restraint have been considered, the effectiveness of the restraint in use, the competency of staff and the appropriateness of restraint/enabler education and feedback from the doctor, staff and families. A six-monthly internal audit also informs these meetings. Any changes to policies, guidelines, education and processes are implemented if indicated. Data reviewed, minutes and interviews with the CHM confirmed that the use of restraint has reduced from eight to one over the past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Lexham Gardens Limited - Lexham Gardens Rest Home and Hospital</w:t>
    </w:r>
    <w:bookmarkEnd w:id="58"/>
    <w:r>
      <w:rPr>
        <w:rFonts w:cs="Arial"/>
        <w:sz w:val="16"/>
        <w:szCs w:val="20"/>
      </w:rPr>
      <w:tab/>
      <w:t xml:space="preserve">Date of Audit: </w:t>
    </w:r>
    <w:bookmarkStart w:id="59" w:name="AuditStartDate1"/>
    <w:r>
      <w:rPr>
        <w:rFonts w:cs="Arial"/>
        <w:sz w:val="16"/>
        <w:szCs w:val="20"/>
      </w:rPr>
      <w:t>16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